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E779B">
      <w:pPr>
        <w:pStyle w:val="4"/>
        <w:keepNext w:val="0"/>
        <w:keepLines w:val="0"/>
        <w:pageBreakBefore w:val="0"/>
        <w:widowControl/>
        <w:kinsoku w:val="0"/>
        <w:wordWrap/>
        <w:overflowPunct/>
        <w:topLinePunct w:val="0"/>
        <w:autoSpaceDE w:val="0"/>
        <w:autoSpaceDN w:val="0"/>
        <w:bidi w:val="0"/>
        <w:adjustRightInd w:val="0"/>
        <w:snapToGrid w:val="0"/>
        <w:spacing w:before="162" w:line="560" w:lineRule="exact"/>
        <w:textAlignment w:val="baseline"/>
        <w:rPr>
          <w:rFonts w:hint="eastAsia" w:ascii="黑体" w:hAnsi="黑体" w:eastAsia="黑体" w:cs="黑体"/>
          <w:sz w:val="34"/>
          <w:szCs w:val="34"/>
          <w:lang w:eastAsia="zh-CN"/>
        </w:rPr>
      </w:pPr>
      <w:r>
        <w:rPr>
          <w:rFonts w:hint="eastAsia" w:ascii="黑体" w:hAnsi="黑体" w:eastAsia="黑体" w:cs="黑体"/>
          <w:spacing w:val="14"/>
          <w:sz w:val="34"/>
          <w:szCs w:val="34"/>
        </w:rPr>
        <w:t>附件</w:t>
      </w:r>
      <w:r>
        <w:rPr>
          <w:rFonts w:hint="eastAsia" w:ascii="黑体" w:hAnsi="黑体" w:eastAsia="黑体" w:cs="黑体"/>
          <w:spacing w:val="14"/>
          <w:sz w:val="34"/>
          <w:szCs w:val="34"/>
          <w:lang w:val="en-US" w:eastAsia="zh-CN"/>
        </w:rPr>
        <w:t>3</w:t>
      </w:r>
    </w:p>
    <w:p w14:paraId="33738981">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黑体" w:hAnsi="黑体" w:eastAsia="黑体" w:cs="黑体"/>
          <w:sz w:val="44"/>
          <w:szCs w:val="44"/>
        </w:rPr>
      </w:pPr>
    </w:p>
    <w:p w14:paraId="4097EFB5">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黑体" w:hAnsi="黑体" w:eastAsia="黑体" w:cs="黑体"/>
          <w:sz w:val="44"/>
          <w:szCs w:val="44"/>
        </w:rPr>
      </w:pPr>
    </w:p>
    <w:p w14:paraId="44A74DCE">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黑体" w:hAnsi="黑体" w:eastAsia="黑体" w:cs="黑体"/>
          <w:sz w:val="44"/>
          <w:szCs w:val="44"/>
        </w:rPr>
      </w:pPr>
    </w:p>
    <w:p w14:paraId="4118FCE9">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2023年度炎陵县农业农村局</w:t>
      </w:r>
      <w:r>
        <w:rPr>
          <w:rFonts w:hint="eastAsia" w:ascii="方正小标宋简体" w:hAnsi="方正小标宋简体" w:eastAsia="方正小标宋简体" w:cs="方正小标宋简体"/>
          <w:sz w:val="44"/>
          <w:szCs w:val="44"/>
        </w:rPr>
        <w:t>整体支出绩效</w:t>
      </w:r>
    </w:p>
    <w:p w14:paraId="0DFB6BB4">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自评</w:t>
      </w:r>
      <w:r>
        <w:rPr>
          <w:rFonts w:hint="eastAsia" w:ascii="方正小标宋简体" w:hAnsi="方正小标宋简体" w:eastAsia="方正小标宋简体" w:cs="方正小标宋简体"/>
          <w:sz w:val="44"/>
          <w:szCs w:val="44"/>
        </w:rPr>
        <w:t>报告</w:t>
      </w:r>
    </w:p>
    <w:p w14:paraId="17F58897">
      <w:pPr>
        <w:spacing w:line="600" w:lineRule="exact"/>
        <w:jc w:val="center"/>
        <w:rPr>
          <w:rFonts w:eastAsia="楷体_GB2312"/>
          <w:sz w:val="32"/>
          <w:szCs w:val="32"/>
        </w:rPr>
      </w:pPr>
    </w:p>
    <w:p w14:paraId="28E354DE">
      <w:pPr>
        <w:spacing w:line="600" w:lineRule="exact"/>
        <w:jc w:val="center"/>
        <w:rPr>
          <w:rFonts w:eastAsia="楷体_GB2312"/>
          <w:sz w:val="32"/>
          <w:szCs w:val="32"/>
        </w:rPr>
      </w:pPr>
    </w:p>
    <w:p w14:paraId="315F8578">
      <w:pPr>
        <w:spacing w:line="600" w:lineRule="exact"/>
        <w:jc w:val="center"/>
        <w:rPr>
          <w:rFonts w:eastAsia="楷体_GB2312"/>
          <w:sz w:val="32"/>
          <w:szCs w:val="32"/>
        </w:rPr>
      </w:pPr>
    </w:p>
    <w:p w14:paraId="2E029910">
      <w:pPr>
        <w:spacing w:line="600" w:lineRule="exact"/>
        <w:jc w:val="center"/>
        <w:rPr>
          <w:rFonts w:eastAsia="楷体_GB2312"/>
          <w:sz w:val="32"/>
          <w:szCs w:val="32"/>
        </w:rPr>
      </w:pPr>
    </w:p>
    <w:p w14:paraId="1C92C148">
      <w:pPr>
        <w:spacing w:line="600" w:lineRule="exact"/>
        <w:jc w:val="center"/>
        <w:rPr>
          <w:rFonts w:eastAsia="楷体_GB2312"/>
          <w:sz w:val="32"/>
          <w:szCs w:val="32"/>
        </w:rPr>
      </w:pPr>
    </w:p>
    <w:p w14:paraId="2E9017B2">
      <w:pPr>
        <w:spacing w:line="600" w:lineRule="exact"/>
        <w:jc w:val="center"/>
        <w:rPr>
          <w:rFonts w:eastAsia="楷体_GB2312"/>
          <w:sz w:val="32"/>
          <w:szCs w:val="32"/>
        </w:rPr>
      </w:pPr>
    </w:p>
    <w:p w14:paraId="0FA4C78A">
      <w:pPr>
        <w:spacing w:line="600" w:lineRule="exact"/>
        <w:jc w:val="center"/>
        <w:rPr>
          <w:rFonts w:eastAsia="楷体_GB2312"/>
          <w:sz w:val="32"/>
          <w:szCs w:val="32"/>
        </w:rPr>
      </w:pPr>
    </w:p>
    <w:p w14:paraId="6833FC49">
      <w:pPr>
        <w:spacing w:line="600" w:lineRule="exact"/>
        <w:jc w:val="center"/>
        <w:rPr>
          <w:rFonts w:eastAsia="楷体_GB2312"/>
          <w:sz w:val="32"/>
          <w:szCs w:val="32"/>
        </w:rPr>
      </w:pPr>
    </w:p>
    <w:p w14:paraId="082DCFC8">
      <w:pPr>
        <w:spacing w:line="6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单位名称（盖章）：</w:t>
      </w:r>
    </w:p>
    <w:p w14:paraId="123D12D1">
      <w:pPr>
        <w:spacing w:line="600" w:lineRule="exact"/>
        <w:jc w:val="center"/>
        <w:rPr>
          <w:rFonts w:hint="eastAsia" w:ascii="黑体" w:hAnsi="黑体" w:eastAsia="黑体" w:cs="黑体"/>
          <w:sz w:val="36"/>
          <w:szCs w:val="36"/>
          <w:lang w:val="en-US" w:eastAsia="zh-CN"/>
        </w:rPr>
      </w:pPr>
    </w:p>
    <w:p w14:paraId="70828991">
      <w:pPr>
        <w:spacing w:line="600" w:lineRule="exact"/>
        <w:jc w:val="center"/>
        <w:rPr>
          <w:rFonts w:hint="eastAsia" w:ascii="黑体" w:hAnsi="黑体" w:eastAsia="黑体" w:cs="黑体"/>
          <w:sz w:val="36"/>
          <w:szCs w:val="36"/>
          <w:lang w:val="en-US" w:eastAsia="zh-CN"/>
        </w:rPr>
      </w:pPr>
    </w:p>
    <w:p w14:paraId="17DB65AB">
      <w:pPr>
        <w:spacing w:line="600" w:lineRule="exact"/>
        <w:jc w:val="center"/>
        <w:rPr>
          <w:rFonts w:hint="eastAsia" w:ascii="黑体" w:hAnsi="黑体" w:eastAsia="黑体" w:cs="黑体"/>
          <w:sz w:val="36"/>
          <w:szCs w:val="36"/>
          <w:lang w:val="en-US" w:eastAsia="zh-CN"/>
        </w:rPr>
      </w:pPr>
    </w:p>
    <w:p w14:paraId="2010740C">
      <w:pPr>
        <w:spacing w:line="600" w:lineRule="exact"/>
        <w:jc w:val="center"/>
        <w:rPr>
          <w:rFonts w:hint="eastAsia" w:ascii="黑体" w:hAnsi="黑体" w:eastAsia="黑体" w:cs="黑体"/>
          <w:sz w:val="36"/>
          <w:szCs w:val="36"/>
          <w:lang w:val="en-US" w:eastAsia="zh-CN"/>
        </w:rPr>
      </w:pPr>
    </w:p>
    <w:p w14:paraId="084269F2">
      <w:pPr>
        <w:spacing w:line="600" w:lineRule="exact"/>
        <w:jc w:val="center"/>
        <w:rPr>
          <w:rFonts w:hint="eastAsia" w:ascii="黑体" w:hAnsi="黑体" w:eastAsia="黑体" w:cs="黑体"/>
          <w:sz w:val="36"/>
          <w:szCs w:val="36"/>
          <w:lang w:val="en-US" w:eastAsia="zh-CN"/>
        </w:rPr>
      </w:pPr>
    </w:p>
    <w:p w14:paraId="698BEB94">
      <w:pPr>
        <w:spacing w:line="600" w:lineRule="exact"/>
        <w:jc w:val="center"/>
        <w:rPr>
          <w:rFonts w:hint="eastAsia" w:ascii="仿宋_GB2312" w:hAnsi="仿宋_GB2312" w:eastAsia="仿宋_GB2312" w:cs="仿宋_GB2312"/>
          <w:sz w:val="32"/>
          <w:szCs w:val="32"/>
          <w:lang w:val="en-US" w:eastAsia="zh-CN"/>
        </w:rPr>
      </w:pPr>
    </w:p>
    <w:p w14:paraId="660F4AB2">
      <w:pPr>
        <w:rPr>
          <w:rFonts w:eastAsia="楷体_GB2312"/>
          <w:sz w:val="32"/>
          <w:szCs w:val="32"/>
        </w:rPr>
      </w:pPr>
      <w:r>
        <w:rPr>
          <w:rFonts w:hint="eastAsia" w:ascii="仿宋_GB2312" w:hAnsi="仿宋_GB2312" w:eastAsia="仿宋_GB2312" w:cs="仿宋_GB2312"/>
          <w:sz w:val="32"/>
          <w:szCs w:val="32"/>
          <w:lang w:val="en-US" w:eastAsia="zh-CN"/>
        </w:rPr>
        <w:br w:type="page"/>
      </w:r>
    </w:p>
    <w:p w14:paraId="69FD9C40">
      <w:pPr>
        <w:pStyle w:val="8"/>
        <w:widowControl/>
        <w:numPr>
          <w:ilvl w:val="0"/>
          <w:numId w:val="1"/>
        </w:numPr>
        <w:spacing w:line="520" w:lineRule="exact"/>
        <w:ind w:firstLine="640"/>
        <w:rPr>
          <w:rFonts w:ascii="Times New Roman" w:hAnsi="Times New Roman" w:eastAsia="黑体"/>
          <w:sz w:val="32"/>
          <w:szCs w:val="32"/>
        </w:rPr>
      </w:pPr>
      <w:r>
        <w:rPr>
          <w:rFonts w:ascii="Times New Roman" w:hAnsi="Times New Roman" w:eastAsia="黑体"/>
          <w:sz w:val="32"/>
          <w:szCs w:val="32"/>
        </w:rPr>
        <w:t>基本情况</w:t>
      </w:r>
    </w:p>
    <w:p w14:paraId="049DC1A2">
      <w:pPr>
        <w:pStyle w:val="8"/>
        <w:widowControl/>
        <w:numPr>
          <w:ilvl w:val="0"/>
          <w:numId w:val="2"/>
        </w:numPr>
        <w:spacing w:line="520" w:lineRule="exact"/>
        <w:ind w:left="-10" w:leftChars="0" w:firstLine="640" w:firstLineChars="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部门</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单位</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基本情况</w:t>
      </w:r>
      <w:bookmarkStart w:id="0" w:name="_GoBack"/>
      <w:bookmarkEnd w:id="0"/>
    </w:p>
    <w:p w14:paraId="7B74E4F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5FE9F74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cs="仿宋_GB2312"/>
          <w:sz w:val="32"/>
          <w:szCs w:val="32"/>
        </w:rPr>
        <w:t>（1）</w:t>
      </w:r>
      <w:r>
        <w:rPr>
          <w:rFonts w:hint="eastAsia" w:ascii="仿宋_GB2312" w:hAnsi="仿宋_GB2312" w:eastAsia="仿宋_GB2312" w:cs="仿宋_GB2312"/>
          <w:sz w:val="32"/>
          <w:szCs w:val="32"/>
        </w:rPr>
        <w:t>贯彻执行国家种植业、畜牧业、渔业、农业机械化、农产品加工业、农垦等农业各产业发展的方针政策</w:t>
      </w:r>
      <w:r>
        <w:rPr>
          <w:rFonts w:hint="eastAsia" w:ascii="仿宋_GB2312" w:hAnsi="仿宋_GB2312" w:cs="仿宋_GB2312"/>
          <w:sz w:val="32"/>
          <w:szCs w:val="32"/>
        </w:rPr>
        <w:t>。</w:t>
      </w:r>
    </w:p>
    <w:p w14:paraId="1D1BB50E">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（2）负责全县农业、农村工作的协调和综合工作。</w:t>
      </w:r>
    </w:p>
    <w:p w14:paraId="712F2E13">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（3）指导、扶持农业社会化服务体系、农村合作经济组织、农民专业合作社和农产品行业协会的建设与发展。</w:t>
      </w:r>
    </w:p>
    <w:p w14:paraId="58F19CFA">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（4）依法负责农业生产的监督管理，组织实施农机惠农政策。负责农作物重大病虫害防治。</w:t>
      </w:r>
    </w:p>
    <w:p w14:paraId="0F0D38C7">
      <w:pPr>
        <w:pStyle w:val="2"/>
        <w:keepNext w:val="0"/>
        <w:keepLines w:val="0"/>
        <w:pageBreakBefore w:val="0"/>
        <w:widowControl/>
        <w:kinsoku w:val="0"/>
        <w:wordWrap/>
        <w:overflowPunct/>
        <w:topLinePunct w:val="0"/>
        <w:autoSpaceDE w:val="0"/>
        <w:autoSpaceDN w:val="0"/>
        <w:bidi w:val="0"/>
        <w:adjustRightInd w:val="0"/>
        <w:snapToGrid w:val="0"/>
        <w:spacing w:after="0" w:line="520" w:lineRule="exact"/>
        <w:ind w:left="0" w:lef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（5）完成县委县政府安排的其他工作任务。</w:t>
      </w:r>
    </w:p>
    <w:p w14:paraId="451B858D">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textAlignment w:val="baseline"/>
        <w:rPr>
          <w:rFonts w:ascii="仿宋_GB2312" w:hAnsi="仿宋" w:eastAsia="仿宋_GB2312"/>
          <w:sz w:val="32"/>
          <w:szCs w:val="32"/>
        </w:rPr>
      </w:pPr>
      <w:r>
        <w:rPr>
          <w:rFonts w:hint="eastAsia" w:ascii="仿宋_GB2312" w:hAnsi="仿宋" w:eastAsia="仿宋_GB2312"/>
          <w:sz w:val="32"/>
          <w:szCs w:val="32"/>
        </w:rPr>
        <w:t>2．机构情况。本部门内设科室7个，分别为：1.办公室（市场信息股）、2.政策法规股（行政审批股）、3.计划财务股（农田建设股）、4.农村经济与社会事业股、5.农产品质量安全监管股、6.产业管理股、7.机关党委（人事股）。独立编制机构10个，分别是：行政单位为农业农村局、所属事业单位：一、公益一类：1.畜牧水产事务中心、2.农机事务中心、3.农业综合服务中心、4.农业技术推广中心、5.湖南省农业广播电视学校炎陵县分校、6.农产品质量安全检测中心、7.炎陵黄桃产业发展中心因工作需要已变更为炎陵县动物疫病预防控制中心、8.炎陵县农业综合行政执法大队。二、公益二类：农业技术服务中心。</w:t>
      </w:r>
    </w:p>
    <w:p w14:paraId="669F620E">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rPr>
        <w:t>3．人员情况。</w:t>
      </w:r>
      <w:r>
        <w:rPr>
          <w:rFonts w:hint="eastAsia" w:ascii="仿宋_GB2312" w:eastAsia="仿宋_GB2312" w:cs="仿宋_GB2312"/>
          <w:sz w:val="32"/>
          <w:szCs w:val="32"/>
        </w:rPr>
        <w:t>截止2023年12月底，</w:t>
      </w:r>
      <w:r>
        <w:rPr>
          <w:rFonts w:hint="eastAsia" w:ascii="仿宋_GB2312" w:hAnsi="仿宋" w:eastAsia="仿宋_GB2312"/>
          <w:sz w:val="32"/>
          <w:szCs w:val="32"/>
        </w:rPr>
        <w:t>本部门共有编制人数 119 人，</w:t>
      </w:r>
      <w:r>
        <w:rPr>
          <w:rFonts w:hint="eastAsia" w:ascii="仿宋_GB2312" w:eastAsia="仿宋_GB2312" w:cs="仿宋_GB2312"/>
          <w:sz w:val="32"/>
          <w:szCs w:val="32"/>
        </w:rPr>
        <w:t>年末在职人员85人，退休人员134人，遗属18人。在职人员比上年减少9人，减少的原因是人员调出及退休，其中调入2人，新招1人，调出1人，办理退休11人；年末无离休人员。</w:t>
      </w:r>
    </w:p>
    <w:p w14:paraId="5556C9CE">
      <w:pPr>
        <w:pStyle w:val="8"/>
        <w:widowControl/>
        <w:numPr>
          <w:ilvl w:val="0"/>
          <w:numId w:val="2"/>
        </w:numPr>
        <w:spacing w:line="520" w:lineRule="exact"/>
        <w:ind w:left="-10" w:leftChars="0" w:firstLine="640" w:firstLineChars="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部门</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单位</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年度整体支出绩效目标，专项资金绩效目标、其他项目支出（除专项资金以外）绩效目标</w:t>
      </w:r>
    </w:p>
    <w:p w14:paraId="6E533043">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0" w:firstLine="640" w:firstLineChars="200"/>
        <w:textAlignment w:val="baseline"/>
        <w:rPr>
          <w:rFonts w:hint="default" w:ascii="仿宋_GB2312" w:hAnsi="Arial" w:eastAsia="仿宋_GB2312" w:cs="仿宋_GB2312"/>
          <w:snapToGrid w:val="0"/>
          <w:color w:val="000000"/>
          <w:kern w:val="0"/>
          <w:sz w:val="32"/>
          <w:szCs w:val="32"/>
          <w:lang w:val="en-US" w:eastAsia="zh-CN" w:bidi="ar-SA"/>
        </w:rPr>
      </w:pPr>
      <w:r>
        <w:rPr>
          <w:rFonts w:hint="eastAsia" w:ascii="仿宋_GB2312" w:hAnsi="Arial" w:eastAsia="仿宋_GB2312" w:cs="仿宋_GB2312"/>
          <w:snapToGrid w:val="0"/>
          <w:color w:val="000000"/>
          <w:kern w:val="0"/>
          <w:sz w:val="32"/>
          <w:szCs w:val="32"/>
          <w:lang w:val="en-US" w:eastAsia="zh-CN" w:bidi="ar-SA"/>
        </w:rPr>
        <w:t>1.</w:t>
      </w:r>
      <w:r>
        <w:rPr>
          <w:rFonts w:hint="default" w:ascii="仿宋_GB2312" w:hAnsi="Arial" w:eastAsia="仿宋_GB2312" w:cs="仿宋_GB2312"/>
          <w:snapToGrid w:val="0"/>
          <w:color w:val="000000"/>
          <w:kern w:val="0"/>
          <w:sz w:val="32"/>
          <w:szCs w:val="32"/>
          <w:lang w:val="en-US" w:eastAsia="zh-CN" w:bidi="ar-SA"/>
        </w:rPr>
        <w:t>单位年度整体支出绩效目标：</w:t>
      </w:r>
      <w:r>
        <w:rPr>
          <w:rFonts w:hint="eastAsia" w:ascii="仿宋_GB2312" w:hAnsi="Arial" w:eastAsia="仿宋_GB2312" w:cs="仿宋_GB2312"/>
          <w:snapToGrid w:val="0"/>
          <w:color w:val="000000"/>
          <w:kern w:val="0"/>
          <w:sz w:val="32"/>
          <w:szCs w:val="32"/>
          <w:lang w:val="en-US" w:eastAsia="zh-CN" w:bidi="ar-SA"/>
        </w:rPr>
        <w:t>（1）</w:t>
      </w:r>
      <w:r>
        <w:rPr>
          <w:rFonts w:hint="default" w:ascii="仿宋_GB2312" w:hAnsi="Arial" w:eastAsia="仿宋_GB2312" w:cs="仿宋_GB2312"/>
          <w:snapToGrid w:val="0"/>
          <w:color w:val="000000"/>
          <w:kern w:val="0"/>
          <w:sz w:val="32"/>
          <w:szCs w:val="32"/>
          <w:lang w:val="en-US" w:eastAsia="zh-CN" w:bidi="ar-SA"/>
        </w:rPr>
        <w:t>稳粮食，保丰收，牢牢守住粮食生产安全底线。</w:t>
      </w:r>
      <w:r>
        <w:rPr>
          <w:rFonts w:hint="eastAsia" w:ascii="仿宋_GB2312" w:hAnsi="Arial" w:eastAsia="仿宋_GB2312" w:cs="仿宋_GB2312"/>
          <w:snapToGrid w:val="0"/>
          <w:color w:val="000000"/>
          <w:kern w:val="0"/>
          <w:sz w:val="32"/>
          <w:szCs w:val="32"/>
          <w:lang w:val="en-US" w:eastAsia="zh-CN" w:bidi="ar-SA"/>
        </w:rPr>
        <w:t>（2）</w:t>
      </w:r>
      <w:r>
        <w:rPr>
          <w:rFonts w:hint="default" w:ascii="仿宋_GB2312" w:hAnsi="Arial" w:eastAsia="仿宋_GB2312" w:cs="仿宋_GB2312"/>
          <w:snapToGrid w:val="0"/>
          <w:color w:val="000000"/>
          <w:kern w:val="0"/>
          <w:sz w:val="32"/>
          <w:szCs w:val="32"/>
          <w:lang w:val="en-US" w:eastAsia="zh-CN" w:bidi="ar-SA"/>
        </w:rPr>
        <w:t>兴产业、塑品牌，着力夯实农业高质量发展根基。</w:t>
      </w:r>
      <w:r>
        <w:rPr>
          <w:rFonts w:hint="eastAsia" w:ascii="仿宋_GB2312" w:hAnsi="Arial" w:eastAsia="仿宋_GB2312" w:cs="仿宋_GB2312"/>
          <w:snapToGrid w:val="0"/>
          <w:color w:val="000000"/>
          <w:kern w:val="0"/>
          <w:sz w:val="32"/>
          <w:szCs w:val="32"/>
          <w:lang w:val="en-US" w:eastAsia="zh-CN" w:bidi="ar-SA"/>
        </w:rPr>
        <w:t>（3）</w:t>
      </w:r>
      <w:r>
        <w:rPr>
          <w:rFonts w:hint="default" w:ascii="仿宋_GB2312" w:hAnsi="Arial" w:eastAsia="仿宋_GB2312" w:cs="仿宋_GB2312"/>
          <w:snapToGrid w:val="0"/>
          <w:color w:val="000000"/>
          <w:kern w:val="0"/>
          <w:sz w:val="32"/>
          <w:szCs w:val="32"/>
          <w:lang w:val="en-US" w:eastAsia="zh-CN" w:bidi="ar-SA"/>
        </w:rPr>
        <w:t>强治理，优示范，努力打造生态宜居和美乡村。</w:t>
      </w:r>
      <w:r>
        <w:rPr>
          <w:rFonts w:hint="eastAsia" w:ascii="仿宋_GB2312" w:hAnsi="Arial" w:eastAsia="仿宋_GB2312" w:cs="仿宋_GB2312"/>
          <w:snapToGrid w:val="0"/>
          <w:color w:val="000000"/>
          <w:kern w:val="0"/>
          <w:sz w:val="32"/>
          <w:szCs w:val="32"/>
          <w:lang w:val="en-US" w:eastAsia="zh-CN" w:bidi="ar-SA"/>
        </w:rPr>
        <w:t>（4）</w:t>
      </w:r>
      <w:r>
        <w:rPr>
          <w:rFonts w:hint="default" w:ascii="仿宋_GB2312" w:hAnsi="Arial" w:eastAsia="仿宋_GB2312" w:cs="仿宋_GB2312"/>
          <w:snapToGrid w:val="0"/>
          <w:color w:val="000000"/>
          <w:kern w:val="0"/>
          <w:sz w:val="32"/>
          <w:szCs w:val="32"/>
          <w:lang w:val="en-US" w:eastAsia="zh-CN" w:bidi="ar-SA"/>
        </w:rPr>
        <w:t>抓服务，促提升，全力打造农业农村主阵地。</w:t>
      </w:r>
      <w:r>
        <w:rPr>
          <w:rFonts w:hint="eastAsia" w:ascii="仿宋_GB2312" w:hAnsi="Arial" w:eastAsia="仿宋_GB2312" w:cs="仿宋_GB2312"/>
          <w:snapToGrid w:val="0"/>
          <w:color w:val="000000"/>
          <w:kern w:val="0"/>
          <w:sz w:val="32"/>
          <w:szCs w:val="32"/>
          <w:lang w:val="en-US" w:eastAsia="zh-CN" w:bidi="ar-SA"/>
        </w:rPr>
        <w:t>一是</w:t>
      </w:r>
      <w:r>
        <w:rPr>
          <w:rFonts w:hint="default" w:ascii="仿宋_GB2312" w:hAnsi="Arial" w:eastAsia="仿宋_GB2312" w:cs="仿宋_GB2312"/>
          <w:snapToGrid w:val="0"/>
          <w:color w:val="000000"/>
          <w:kern w:val="0"/>
          <w:sz w:val="32"/>
          <w:szCs w:val="32"/>
          <w:lang w:val="en-US" w:eastAsia="zh-CN" w:bidi="ar-SA"/>
        </w:rPr>
        <w:t>加大农业技术服务。</w:t>
      </w:r>
      <w:r>
        <w:rPr>
          <w:rFonts w:hint="eastAsia" w:ascii="仿宋_GB2312" w:hAnsi="Arial" w:eastAsia="仿宋_GB2312" w:cs="仿宋_GB2312"/>
          <w:snapToGrid w:val="0"/>
          <w:color w:val="000000"/>
          <w:kern w:val="0"/>
          <w:sz w:val="32"/>
          <w:szCs w:val="32"/>
          <w:lang w:val="en-US" w:eastAsia="zh-CN" w:bidi="ar-SA"/>
        </w:rPr>
        <w:t>二是</w:t>
      </w:r>
      <w:r>
        <w:rPr>
          <w:rFonts w:hint="default" w:ascii="仿宋_GB2312" w:hAnsi="Arial" w:eastAsia="仿宋_GB2312" w:cs="仿宋_GB2312"/>
          <w:snapToGrid w:val="0"/>
          <w:color w:val="000000"/>
          <w:kern w:val="0"/>
          <w:sz w:val="32"/>
          <w:szCs w:val="32"/>
          <w:lang w:val="en-US" w:eastAsia="zh-CN" w:bidi="ar-SA"/>
        </w:rPr>
        <w:t>大力发展统防统治服务组织。</w:t>
      </w:r>
      <w:r>
        <w:rPr>
          <w:rFonts w:hint="eastAsia" w:ascii="仿宋_GB2312" w:hAnsi="Arial" w:eastAsia="仿宋_GB2312" w:cs="仿宋_GB2312"/>
          <w:snapToGrid w:val="0"/>
          <w:color w:val="000000"/>
          <w:kern w:val="0"/>
          <w:sz w:val="32"/>
          <w:szCs w:val="32"/>
          <w:lang w:val="en-US" w:eastAsia="zh-CN" w:bidi="ar-SA"/>
        </w:rPr>
        <w:t>三是</w:t>
      </w:r>
      <w:r>
        <w:rPr>
          <w:rFonts w:hint="default" w:ascii="仿宋_GB2312" w:hAnsi="Arial" w:eastAsia="仿宋_GB2312" w:cs="仿宋_GB2312"/>
          <w:snapToGrid w:val="0"/>
          <w:color w:val="000000"/>
          <w:kern w:val="0"/>
          <w:sz w:val="32"/>
          <w:szCs w:val="32"/>
          <w:lang w:val="en-US" w:eastAsia="zh-CN" w:bidi="ar-SA"/>
        </w:rPr>
        <w:t>完善法治化监管体系。</w:t>
      </w:r>
      <w:r>
        <w:rPr>
          <w:rFonts w:hint="eastAsia" w:ascii="仿宋_GB2312" w:hAnsi="Arial" w:eastAsia="仿宋_GB2312" w:cs="仿宋_GB2312"/>
          <w:snapToGrid w:val="0"/>
          <w:color w:val="000000"/>
          <w:kern w:val="0"/>
          <w:sz w:val="32"/>
          <w:szCs w:val="32"/>
          <w:lang w:val="en-US" w:eastAsia="zh-CN" w:bidi="ar-SA"/>
        </w:rPr>
        <w:t>四是</w:t>
      </w:r>
      <w:r>
        <w:rPr>
          <w:rFonts w:hint="default" w:ascii="仿宋_GB2312" w:hAnsi="Arial" w:eastAsia="仿宋_GB2312" w:cs="仿宋_GB2312"/>
          <w:snapToGrid w:val="0"/>
          <w:color w:val="000000"/>
          <w:kern w:val="0"/>
          <w:sz w:val="32"/>
          <w:szCs w:val="32"/>
          <w:lang w:val="en-US" w:eastAsia="zh-CN" w:bidi="ar-SA"/>
        </w:rPr>
        <w:t>提供返乡创业服务。</w:t>
      </w:r>
      <w:r>
        <w:rPr>
          <w:rFonts w:hint="eastAsia" w:ascii="仿宋_GB2312" w:hAnsi="Arial" w:eastAsia="仿宋_GB2312" w:cs="仿宋_GB2312"/>
          <w:snapToGrid w:val="0"/>
          <w:color w:val="000000"/>
          <w:kern w:val="0"/>
          <w:sz w:val="32"/>
          <w:szCs w:val="32"/>
          <w:lang w:val="en-US" w:eastAsia="zh-CN" w:bidi="ar-SA"/>
        </w:rPr>
        <w:t>（5）</w:t>
      </w:r>
      <w:r>
        <w:rPr>
          <w:rFonts w:hint="default" w:ascii="仿宋_GB2312" w:hAnsi="Arial" w:eastAsia="仿宋_GB2312" w:cs="仿宋_GB2312"/>
          <w:snapToGrid w:val="0"/>
          <w:color w:val="000000"/>
          <w:kern w:val="0"/>
          <w:sz w:val="32"/>
          <w:szCs w:val="32"/>
          <w:lang w:val="en-US" w:eastAsia="zh-CN" w:bidi="ar-SA"/>
        </w:rPr>
        <w:t>抓指导，助经济，持续健全乡村治理体系。</w:t>
      </w:r>
      <w:r>
        <w:rPr>
          <w:rFonts w:hint="eastAsia" w:ascii="仿宋_GB2312" w:hAnsi="Arial" w:eastAsia="仿宋_GB2312" w:cs="仿宋_GB2312"/>
          <w:snapToGrid w:val="0"/>
          <w:color w:val="000000"/>
          <w:kern w:val="0"/>
          <w:sz w:val="32"/>
          <w:szCs w:val="32"/>
          <w:lang w:val="en-US" w:eastAsia="zh-CN" w:bidi="ar-SA"/>
        </w:rPr>
        <w:t>一是</w:t>
      </w:r>
      <w:r>
        <w:rPr>
          <w:rFonts w:hint="default" w:ascii="仿宋_GB2312" w:hAnsi="Arial" w:eastAsia="仿宋_GB2312" w:cs="仿宋_GB2312"/>
          <w:snapToGrid w:val="0"/>
          <w:color w:val="000000"/>
          <w:kern w:val="0"/>
          <w:sz w:val="32"/>
          <w:szCs w:val="32"/>
          <w:lang w:val="en-US" w:eastAsia="zh-CN" w:bidi="ar-SA"/>
        </w:rPr>
        <w:t>稳步推进农村集体产权制度改革。</w:t>
      </w:r>
      <w:r>
        <w:rPr>
          <w:rFonts w:hint="eastAsia" w:ascii="仿宋_GB2312" w:hAnsi="Arial" w:eastAsia="仿宋_GB2312" w:cs="仿宋_GB2312"/>
          <w:snapToGrid w:val="0"/>
          <w:color w:val="000000"/>
          <w:kern w:val="0"/>
          <w:sz w:val="32"/>
          <w:szCs w:val="32"/>
          <w:lang w:val="en-US" w:eastAsia="zh-CN" w:bidi="ar-SA"/>
        </w:rPr>
        <w:t>二是</w:t>
      </w:r>
      <w:r>
        <w:rPr>
          <w:rFonts w:hint="default" w:ascii="仿宋_GB2312" w:hAnsi="Arial" w:eastAsia="仿宋_GB2312" w:cs="仿宋_GB2312"/>
          <w:snapToGrid w:val="0"/>
          <w:color w:val="000000"/>
          <w:kern w:val="0"/>
          <w:sz w:val="32"/>
          <w:szCs w:val="32"/>
          <w:lang w:val="en-US" w:eastAsia="zh-CN" w:bidi="ar-SA"/>
        </w:rPr>
        <w:t>新型经营主体蓬勃发展。</w:t>
      </w:r>
      <w:r>
        <w:rPr>
          <w:rFonts w:hint="eastAsia" w:ascii="仿宋_GB2312" w:hAnsi="Arial" w:eastAsia="仿宋_GB2312" w:cs="仿宋_GB2312"/>
          <w:snapToGrid w:val="0"/>
          <w:color w:val="000000"/>
          <w:kern w:val="0"/>
          <w:sz w:val="32"/>
          <w:szCs w:val="32"/>
          <w:lang w:val="en-US" w:eastAsia="zh-CN" w:bidi="ar-SA"/>
        </w:rPr>
        <w:t>三是</w:t>
      </w:r>
      <w:r>
        <w:rPr>
          <w:rFonts w:hint="default" w:ascii="仿宋_GB2312" w:hAnsi="Arial" w:eastAsia="仿宋_GB2312" w:cs="仿宋_GB2312"/>
          <w:snapToGrid w:val="0"/>
          <w:color w:val="000000"/>
          <w:kern w:val="0"/>
          <w:sz w:val="32"/>
          <w:szCs w:val="32"/>
          <w:lang w:val="en-US" w:eastAsia="zh-CN" w:bidi="ar-SA"/>
        </w:rPr>
        <w:t xml:space="preserve">村集体经济进一步壮大。 </w:t>
      </w:r>
    </w:p>
    <w:p w14:paraId="64557F05">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0" w:firstLine="640" w:firstLineChars="200"/>
        <w:textAlignment w:val="baseline"/>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2.专项资金项目绩效目标：一是村党组织书记激励机制经费有效落实了上级及县委县政府文件精神，保障了村党组织书记激励机制费用及时拨付到位。二是村级强制免疫劳务补助经费对开展和完成全县动物强制免疫工作提供了经费保障。三是酃县白鹅资源保种专项经费确保了白鹅保种家系，核心群种鹅的日常管理，酃县白鹅家系系谱档案的建立以及酃县白鹅扩繁群种鹅的新增。四是退休兽医生活补助保障了退休兽医生活补助按时发放。</w:t>
      </w:r>
    </w:p>
    <w:p w14:paraId="05F4EC13">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0" w:firstLine="640" w:firstLineChars="200"/>
        <w:textAlignment w:val="baseline"/>
        <w:rPr>
          <w:rFonts w:hint="default" w:eastAsia="仿宋_GB2312"/>
          <w:color w:val="000000"/>
          <w:kern w:val="0"/>
          <w:sz w:val="32"/>
          <w:szCs w:val="32"/>
          <w:lang w:val="en-US" w:eastAsia="zh-CN"/>
        </w:rPr>
      </w:pPr>
      <w:r>
        <w:rPr>
          <w:rFonts w:hint="default" w:eastAsia="仿宋_GB2312"/>
          <w:color w:val="000000"/>
          <w:kern w:val="0"/>
          <w:sz w:val="32"/>
          <w:szCs w:val="32"/>
          <w:lang w:val="en-US" w:eastAsia="zh-CN"/>
        </w:rPr>
        <w:t>3.其他项目绩效目标：</w:t>
      </w:r>
      <w:r>
        <w:rPr>
          <w:rFonts w:hint="eastAsia" w:eastAsia="仿宋_GB2312"/>
          <w:color w:val="000000"/>
          <w:kern w:val="0"/>
          <w:sz w:val="32"/>
          <w:szCs w:val="32"/>
          <w:lang w:val="en-US" w:eastAsia="zh-CN"/>
        </w:rPr>
        <w:t>开展各项农业生产工作，促进了农民增收、农业增产、农村稳定发展。</w:t>
      </w:r>
    </w:p>
    <w:p w14:paraId="7587B28A">
      <w:pPr>
        <w:pStyle w:val="8"/>
        <w:widowControl/>
        <w:spacing w:line="52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14:paraId="55115D6B">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0" w:firstLine="640" w:firstLineChars="200"/>
        <w:textAlignment w:val="baseline"/>
        <w:rPr>
          <w:rFonts w:hint="eastAsia" w:eastAsia="仿宋_GB2312" w:cs="Times New Roman"/>
          <w:color w:val="000000"/>
          <w:kern w:val="0"/>
          <w:sz w:val="32"/>
          <w:szCs w:val="32"/>
          <w:lang w:val="en-US" w:eastAsia="zh-CN"/>
        </w:rPr>
      </w:pPr>
      <w:r>
        <w:rPr>
          <w:rFonts w:hint="eastAsia" w:ascii="仿宋" w:hAnsi="仿宋" w:eastAsia="仿宋" w:cs="仿宋"/>
          <w:color w:val="000000"/>
          <w:kern w:val="0"/>
          <w:sz w:val="32"/>
          <w:szCs w:val="32"/>
          <w:lang w:val="en-US" w:eastAsia="zh-CN"/>
        </w:rPr>
        <w:t>2023年本年支出65348232.78元，其中：基本支出14554068.24元，项目支出50794164.54元。全年收入比上年54243971.79元增加11104260.99元，增加20.47%，</w:t>
      </w:r>
      <w:r>
        <w:rPr>
          <w:rFonts w:hint="eastAsia" w:eastAsia="仿宋_GB2312" w:cs="Times New Roman"/>
          <w:color w:val="000000"/>
          <w:kern w:val="0"/>
          <w:sz w:val="32"/>
          <w:szCs w:val="32"/>
          <w:lang w:val="en-US" w:eastAsia="zh-CN"/>
        </w:rPr>
        <w:t>增加的原因主要是上级安排项目资金增加，项目资金拨付及时，投入农业生产资金比上年增多。</w:t>
      </w:r>
    </w:p>
    <w:p w14:paraId="7C11EFB6">
      <w:pPr>
        <w:pStyle w:val="8"/>
        <w:widowControl/>
        <w:numPr>
          <w:ilvl w:val="0"/>
          <w:numId w:val="3"/>
        </w:numPr>
        <w:spacing w:line="520" w:lineRule="exact"/>
        <w:ind w:left="640" w:firstLine="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基本支出情况</w:t>
      </w:r>
    </w:p>
    <w:p w14:paraId="25BA88C0">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0" w:firstLine="640" w:firstLineChars="200"/>
        <w:textAlignment w:val="baseline"/>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2023年基本支出</w:t>
      </w:r>
      <w:r>
        <w:rPr>
          <w:rFonts w:ascii="仿宋_GB2312" w:eastAsia="仿宋_GB2312"/>
          <w:kern w:val="0"/>
          <w:sz w:val="32"/>
          <w:szCs w:val="32"/>
        </w:rPr>
        <w:t>14554068.24</w:t>
      </w:r>
      <w:r>
        <w:rPr>
          <w:rFonts w:hint="eastAsia" w:ascii="仿宋_GB2312" w:hAnsi="仿宋" w:eastAsia="仿宋_GB2312"/>
          <w:color w:val="auto"/>
          <w:sz w:val="32"/>
          <w:szCs w:val="32"/>
          <w:highlight w:val="none"/>
          <w:lang w:val="en-US" w:eastAsia="zh-CN"/>
        </w:rPr>
        <w:t>元，其中：人员经费</w:t>
      </w:r>
      <w:r>
        <w:rPr>
          <w:rFonts w:ascii="仿宋_GB2312" w:eastAsia="仿宋_GB2312"/>
          <w:kern w:val="0"/>
          <w:sz w:val="32"/>
          <w:szCs w:val="32"/>
        </w:rPr>
        <w:t>12938065.62</w:t>
      </w:r>
      <w:r>
        <w:rPr>
          <w:rFonts w:hint="eastAsia" w:ascii="仿宋_GB2312" w:hAnsi="仿宋" w:eastAsia="仿宋_GB2312"/>
          <w:color w:val="auto"/>
          <w:sz w:val="32"/>
          <w:szCs w:val="32"/>
          <w:highlight w:val="none"/>
          <w:lang w:val="en-US" w:eastAsia="zh-CN"/>
        </w:rPr>
        <w:t>元、日常公用经费1616002.62元。基本支出比上年减少2442194.43元，减少14.36%，减少原因主要为人员退休，经费支出减少。</w:t>
      </w:r>
    </w:p>
    <w:p w14:paraId="3407B481">
      <w:pPr>
        <w:pStyle w:val="8"/>
        <w:keepNext w:val="0"/>
        <w:keepLines w:val="0"/>
        <w:pageBreakBefore w:val="0"/>
        <w:widowControl/>
        <w:numPr>
          <w:ilvl w:val="0"/>
          <w:numId w:val="3"/>
        </w:numPr>
        <w:kinsoku w:val="0"/>
        <w:wordWrap/>
        <w:overflowPunct/>
        <w:topLinePunct w:val="0"/>
        <w:autoSpaceDE w:val="0"/>
        <w:autoSpaceDN w:val="0"/>
        <w:bidi w:val="0"/>
        <w:adjustRightInd w:val="0"/>
        <w:snapToGrid w:val="0"/>
        <w:spacing w:line="520" w:lineRule="exact"/>
        <w:ind w:left="640" w:leftChars="0" w:firstLine="0" w:firstLineChars="0"/>
        <w:textAlignment w:val="baseline"/>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项目支出情况</w:t>
      </w:r>
    </w:p>
    <w:p w14:paraId="65B9D127">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firstLine="640" w:firstLineChars="200"/>
        <w:textAlignment w:val="baseline"/>
        <w:rPr>
          <w:rFonts w:hint="eastAsia" w:ascii="仿宋_GB2312" w:hAnsi="仿宋" w:eastAsia="仿宋_GB2312" w:cs="Times New Roman"/>
          <w:snapToGrid w:val="0"/>
          <w:color w:val="auto"/>
          <w:kern w:val="0"/>
          <w:sz w:val="32"/>
          <w:szCs w:val="32"/>
          <w:highlight w:val="none"/>
          <w:lang w:val="en-US" w:eastAsia="zh-CN" w:bidi="ar-SA"/>
        </w:rPr>
      </w:pPr>
      <w:r>
        <w:rPr>
          <w:rFonts w:hint="eastAsia" w:ascii="仿宋_GB2312" w:hAnsi="仿宋" w:eastAsia="仿宋_GB2312" w:cs="Times New Roman"/>
          <w:snapToGrid w:val="0"/>
          <w:color w:val="auto"/>
          <w:kern w:val="0"/>
          <w:sz w:val="32"/>
          <w:szCs w:val="32"/>
          <w:highlight w:val="none"/>
          <w:lang w:val="en-US" w:eastAsia="zh-CN" w:bidi="ar-SA"/>
        </w:rPr>
        <w:t>2023年项目支出</w:t>
      </w:r>
      <w:r>
        <w:rPr>
          <w:rFonts w:hint="eastAsia" w:ascii="仿宋" w:hAnsi="仿宋" w:eastAsia="仿宋" w:cs="仿宋"/>
          <w:color w:val="000000"/>
          <w:kern w:val="0"/>
          <w:sz w:val="32"/>
          <w:szCs w:val="32"/>
          <w:lang w:val="en-US" w:eastAsia="zh-CN"/>
        </w:rPr>
        <w:t>50794164.54</w:t>
      </w:r>
      <w:r>
        <w:rPr>
          <w:rFonts w:hint="eastAsia" w:ascii="仿宋_GB2312" w:hAnsi="仿宋" w:eastAsia="仿宋_GB2312" w:cs="Times New Roman"/>
          <w:snapToGrid w:val="0"/>
          <w:color w:val="auto"/>
          <w:kern w:val="0"/>
          <w:sz w:val="32"/>
          <w:szCs w:val="32"/>
          <w:highlight w:val="none"/>
          <w:lang w:val="en-US" w:eastAsia="zh-CN" w:bidi="ar-SA"/>
        </w:rPr>
        <w:t>元。项目支出比上年增加13546455.42元，增加36.36%，增加原因主要为</w:t>
      </w:r>
      <w:r>
        <w:rPr>
          <w:rFonts w:hint="eastAsia" w:eastAsia="仿宋_GB2312" w:cs="Times New Roman"/>
          <w:color w:val="000000"/>
          <w:kern w:val="0"/>
          <w:sz w:val="32"/>
          <w:szCs w:val="32"/>
          <w:lang w:val="en-US" w:eastAsia="zh-CN"/>
        </w:rPr>
        <w:t>上级安排项目资金增加，项目资金拨付及时，投入农业生产资金比上年增多</w:t>
      </w:r>
      <w:r>
        <w:rPr>
          <w:rFonts w:hint="eastAsia" w:ascii="仿宋_GB2312" w:hAnsi="仿宋" w:eastAsia="仿宋_GB2312" w:cs="Times New Roman"/>
          <w:snapToGrid w:val="0"/>
          <w:color w:val="auto"/>
          <w:kern w:val="0"/>
          <w:sz w:val="32"/>
          <w:szCs w:val="32"/>
          <w:highlight w:val="none"/>
          <w:lang w:val="en-US" w:eastAsia="zh-CN" w:bidi="ar-SA"/>
        </w:rPr>
        <w:t>。</w:t>
      </w:r>
    </w:p>
    <w:p w14:paraId="73AF5767">
      <w:pPr>
        <w:widowControl/>
        <w:numPr>
          <w:ilvl w:val="0"/>
          <w:numId w:val="0"/>
        </w:numPr>
        <w:spacing w:line="520" w:lineRule="exact"/>
        <w:ind w:firstLine="640" w:firstLineChars="200"/>
        <w:jc w:val="left"/>
        <w:rPr>
          <w:rFonts w:hint="eastAsia" w:ascii="仿宋" w:hAnsi="仿宋" w:eastAsia="仿宋" w:cs="仿宋"/>
          <w:snapToGrid w:val="0"/>
          <w:color w:val="auto"/>
          <w:kern w:val="0"/>
          <w:sz w:val="32"/>
          <w:szCs w:val="32"/>
          <w:highlight w:val="none"/>
          <w:lang w:val="en-US" w:eastAsia="zh-CN" w:bidi="ar-SA"/>
        </w:rPr>
      </w:pPr>
      <w:r>
        <w:rPr>
          <w:rFonts w:hint="eastAsia" w:ascii="仿宋_GB2312" w:hAnsi="仿宋" w:eastAsia="仿宋_GB2312" w:cs="Times New Roman"/>
          <w:snapToGrid w:val="0"/>
          <w:color w:val="auto"/>
          <w:kern w:val="0"/>
          <w:sz w:val="32"/>
          <w:szCs w:val="32"/>
          <w:highlight w:val="none"/>
          <w:lang w:val="en-US" w:eastAsia="zh-CN" w:bidi="ar-SA"/>
        </w:rPr>
        <w:t>1.县</w:t>
      </w:r>
      <w:r>
        <w:rPr>
          <w:rFonts w:hint="eastAsia" w:eastAsia="仿宋_GB2312"/>
          <w:color w:val="000000"/>
          <w:kern w:val="0"/>
          <w:sz w:val="32"/>
          <w:szCs w:val="32"/>
          <w:lang w:val="en-US" w:eastAsia="zh-CN"/>
        </w:rPr>
        <w:t>本级专项资金</w:t>
      </w:r>
      <w:r>
        <w:rPr>
          <w:rFonts w:hint="eastAsia" w:ascii="仿宋" w:hAnsi="仿宋" w:eastAsia="仿宋" w:cs="仿宋"/>
          <w:color w:val="000000"/>
          <w:kern w:val="0"/>
          <w:sz w:val="32"/>
          <w:szCs w:val="32"/>
          <w:lang w:val="en-US" w:eastAsia="zh-CN"/>
        </w:rPr>
        <w:t>620200元</w:t>
      </w:r>
      <w:r>
        <w:rPr>
          <w:rFonts w:hint="eastAsia" w:ascii="仿宋" w:hAnsi="仿宋" w:eastAsia="仿宋" w:cs="仿宋"/>
          <w:snapToGrid w:val="0"/>
          <w:color w:val="auto"/>
          <w:kern w:val="0"/>
          <w:sz w:val="32"/>
          <w:szCs w:val="32"/>
          <w:highlight w:val="none"/>
          <w:lang w:val="en-US" w:eastAsia="zh-CN" w:bidi="ar-SA"/>
        </w:rPr>
        <w:t>，分别为：</w:t>
      </w:r>
      <w:r>
        <w:rPr>
          <w:rFonts w:hint="eastAsia" w:ascii="仿宋" w:hAnsi="仿宋" w:eastAsia="仿宋" w:cs="仿宋"/>
          <w:color w:val="000000"/>
          <w:kern w:val="0"/>
          <w:sz w:val="32"/>
          <w:szCs w:val="32"/>
          <w:lang w:val="en-US" w:eastAsia="zh-CN"/>
        </w:rPr>
        <w:t>（1）村党组织书记激励机制经费120000元，用于缴纳3名村党组织书记保险。（2）村级强制免疫劳务补助经费378200元，用于全县120个村动物强制免疫工作支出，补助标准4000元/村。（3）酃县白鹅资源保种专项经费50000元，用于酃县白鹅保种支出。（4）退休兽医生活补助72000元，用于发放6名退休兽医生活补助，1000元/月/人。</w:t>
      </w:r>
    </w:p>
    <w:p w14:paraId="63D49570">
      <w:pPr>
        <w:widowControl/>
        <w:numPr>
          <w:ilvl w:val="0"/>
          <w:numId w:val="0"/>
        </w:numPr>
        <w:spacing w:line="520" w:lineRule="exact"/>
        <w:ind w:firstLine="640" w:firstLineChars="200"/>
        <w:jc w:val="left"/>
        <w:rPr>
          <w:rFonts w:hint="default" w:ascii="仿宋_GB2312" w:hAnsi="仿宋" w:eastAsia="仿宋_GB2312" w:cs="Times New Roman"/>
          <w:snapToGrid w:val="0"/>
          <w:color w:val="auto"/>
          <w:kern w:val="0"/>
          <w:sz w:val="32"/>
          <w:szCs w:val="32"/>
          <w:highlight w:val="none"/>
          <w:lang w:val="en-US" w:eastAsia="zh-CN" w:bidi="ar-SA"/>
        </w:rPr>
      </w:pPr>
      <w:r>
        <w:rPr>
          <w:rFonts w:hint="eastAsia" w:ascii="仿宋_GB2312" w:hAnsi="仿宋" w:eastAsia="仿宋_GB2312" w:cs="Times New Roman"/>
          <w:snapToGrid w:val="0"/>
          <w:color w:val="auto"/>
          <w:kern w:val="0"/>
          <w:sz w:val="32"/>
          <w:szCs w:val="32"/>
          <w:highlight w:val="none"/>
          <w:lang w:val="en-US" w:eastAsia="zh-CN" w:bidi="ar-SA"/>
        </w:rPr>
        <w:t>2.</w:t>
      </w:r>
      <w:r>
        <w:rPr>
          <w:rFonts w:hint="eastAsia" w:ascii="仿宋" w:hAnsi="仿宋" w:eastAsia="仿宋" w:cs="仿宋"/>
          <w:color w:val="000000"/>
          <w:kern w:val="0"/>
          <w:sz w:val="32"/>
          <w:szCs w:val="32"/>
          <w:lang w:val="en-US" w:eastAsia="zh-CN"/>
        </w:rPr>
        <w:t>其他项目资金50173964.54元</w:t>
      </w:r>
    </w:p>
    <w:p w14:paraId="30A3D974">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firstLine="640" w:firstLineChars="200"/>
        <w:textAlignment w:val="baseline"/>
        <w:rPr>
          <w:rFonts w:hint="eastAsia" w:ascii="仿宋_GB2312" w:eastAsia="仿宋_GB2312" w:cs="宋体"/>
          <w:kern w:val="0"/>
          <w:sz w:val="32"/>
          <w:szCs w:val="32"/>
          <w:lang w:eastAsia="zh-CN"/>
        </w:rPr>
      </w:pPr>
      <w:r>
        <w:rPr>
          <w:rFonts w:hint="eastAsia" w:ascii="仿宋_GB2312" w:hAnsi="仿宋" w:eastAsia="仿宋_GB2312" w:cs="Times New Roman"/>
          <w:snapToGrid w:val="0"/>
          <w:color w:val="auto"/>
          <w:kern w:val="0"/>
          <w:sz w:val="32"/>
          <w:szCs w:val="32"/>
          <w:highlight w:val="none"/>
          <w:lang w:val="en-US" w:eastAsia="zh-CN" w:bidi="ar-SA"/>
        </w:rPr>
        <w:t>（1）</w:t>
      </w:r>
      <w:r>
        <w:rPr>
          <w:rFonts w:hint="eastAsia" w:ascii="仿宋_GB2312" w:hAnsi="仿宋" w:eastAsia="仿宋_GB2312"/>
          <w:sz w:val="32"/>
          <w:szCs w:val="32"/>
        </w:rPr>
        <w:t>农村人居环境整治项目</w:t>
      </w:r>
      <w:r>
        <w:rPr>
          <w:rFonts w:hint="eastAsia" w:ascii="仿宋_GB2312" w:hAnsi="仿宋" w:eastAsia="仿宋_GB2312"/>
          <w:sz w:val="32"/>
          <w:szCs w:val="32"/>
          <w:lang w:eastAsia="zh-CN"/>
        </w:rPr>
        <w:t>资金</w:t>
      </w:r>
      <w:r>
        <w:rPr>
          <w:rFonts w:ascii="仿宋_GB2312" w:eastAsia="仿宋_GB2312" w:cs="宋体"/>
          <w:kern w:val="0"/>
          <w:sz w:val="32"/>
          <w:szCs w:val="32"/>
        </w:rPr>
        <w:t>3109597</w:t>
      </w:r>
      <w:r>
        <w:rPr>
          <w:rFonts w:hint="eastAsia" w:ascii="仿宋_GB2312" w:eastAsia="仿宋_GB2312" w:cs="宋体"/>
          <w:kern w:val="0"/>
          <w:sz w:val="32"/>
          <w:szCs w:val="32"/>
          <w:lang w:eastAsia="zh-CN"/>
        </w:rPr>
        <w:t>元，用于炎陵县农村人居环境整治工作，其中湖南中垚建设集团有限公司农村人居环境整治垃圾治理项目资金100</w:t>
      </w:r>
      <w:r>
        <w:rPr>
          <w:rFonts w:hint="eastAsia" w:ascii="仿宋_GB2312" w:eastAsia="仿宋_GB2312" w:cs="宋体"/>
          <w:kern w:val="0"/>
          <w:sz w:val="32"/>
          <w:szCs w:val="32"/>
          <w:lang w:val="en-US" w:eastAsia="zh-CN"/>
        </w:rPr>
        <w:t>0000</w:t>
      </w:r>
      <w:r>
        <w:rPr>
          <w:rFonts w:hint="eastAsia" w:ascii="仿宋_GB2312" w:eastAsia="仿宋_GB2312" w:cs="宋体"/>
          <w:kern w:val="0"/>
          <w:sz w:val="32"/>
          <w:szCs w:val="32"/>
          <w:lang w:eastAsia="zh-CN"/>
        </w:rPr>
        <w:t>元；江苏欧亚照明股份有限公司太阳能路灯款2109597元。</w:t>
      </w:r>
    </w:p>
    <w:p w14:paraId="678CC5C0">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firstLine="640" w:firstLineChars="200"/>
        <w:textAlignment w:val="baseline"/>
        <w:rPr>
          <w:rFonts w:hint="default" w:ascii="仿宋_GB2312" w:eastAsia="仿宋_GB2312" w:cs="宋体"/>
          <w:kern w:val="0"/>
          <w:sz w:val="32"/>
          <w:szCs w:val="32"/>
          <w:lang w:val="en-US" w:eastAsia="zh-CN"/>
        </w:rPr>
      </w:pPr>
      <w:r>
        <w:rPr>
          <w:rFonts w:hint="eastAsia" w:ascii="仿宋_GB2312" w:eastAsia="仿宋_GB2312" w:cs="宋体"/>
          <w:kern w:val="0"/>
          <w:sz w:val="32"/>
          <w:szCs w:val="32"/>
          <w:lang w:eastAsia="zh-CN"/>
        </w:rPr>
        <w:t>（</w:t>
      </w:r>
      <w:r>
        <w:rPr>
          <w:rFonts w:hint="eastAsia" w:ascii="仿宋_GB2312" w:eastAsia="仿宋_GB2312" w:cs="宋体"/>
          <w:kern w:val="0"/>
          <w:sz w:val="32"/>
          <w:szCs w:val="32"/>
          <w:lang w:val="en-US" w:eastAsia="zh-CN"/>
        </w:rPr>
        <w:t>2</w:t>
      </w:r>
      <w:r>
        <w:rPr>
          <w:rFonts w:hint="eastAsia" w:ascii="仿宋_GB2312" w:eastAsia="仿宋_GB2312" w:cs="宋体"/>
          <w:kern w:val="0"/>
          <w:sz w:val="32"/>
          <w:szCs w:val="32"/>
          <w:lang w:eastAsia="zh-CN"/>
        </w:rPr>
        <w:t>）村集体经济扶持发展资金</w:t>
      </w:r>
      <w:r>
        <w:rPr>
          <w:rFonts w:hint="eastAsia" w:ascii="仿宋_GB2312" w:eastAsia="仿宋_GB2312" w:cs="宋体"/>
          <w:kern w:val="0"/>
          <w:sz w:val="32"/>
          <w:szCs w:val="32"/>
          <w:lang w:val="en-US" w:eastAsia="zh-CN"/>
        </w:rPr>
        <w:t>5000000元，用于炎陵县霞阳镇西台村等10个村村集体经济发展，50万元/村。</w:t>
      </w:r>
    </w:p>
    <w:p w14:paraId="7AC34448">
      <w:pPr>
        <w:widowControl/>
        <w:spacing w:line="520" w:lineRule="exact"/>
        <w:ind w:firstLine="640" w:firstLineChars="200"/>
        <w:jc w:val="left"/>
        <w:rPr>
          <w:rFonts w:hint="eastAsia" w:ascii="仿宋" w:hAnsi="仿宋" w:eastAsia="仿宋" w:cs="仿宋"/>
          <w:sz w:val="32"/>
          <w:szCs w:val="32"/>
          <w:lang w:eastAsia="zh-CN"/>
        </w:rPr>
      </w:pPr>
      <w:r>
        <w:rPr>
          <w:rFonts w:hint="eastAsia" w:eastAsia="仿宋_GB2312"/>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）巩固拓展脱贫攻坚成果和乡村振兴-重点产业资金180</w:t>
      </w:r>
      <w:r>
        <w:rPr>
          <w:rFonts w:hint="eastAsia" w:ascii="仿宋" w:hAnsi="仿宋" w:eastAsia="仿宋" w:cs="仿宋"/>
          <w:sz w:val="32"/>
          <w:szCs w:val="32"/>
          <w:lang w:val="en-US" w:eastAsia="zh-CN"/>
        </w:rPr>
        <w:t>0000</w:t>
      </w:r>
      <w:r>
        <w:rPr>
          <w:rFonts w:hint="eastAsia" w:ascii="仿宋" w:hAnsi="仿宋" w:eastAsia="仿宋" w:cs="仿宋"/>
          <w:sz w:val="32"/>
          <w:szCs w:val="32"/>
          <w:lang w:eastAsia="zh-CN"/>
        </w:rPr>
        <w:t>元，用于炎陵县重点产业奖补，其中炎陵县神农生态茶叶有限责任公司奖补100万元；炎陵县娟林农机服务专业合作社奖补30万元；炎陵县乐果种植专业合作社奖补20万元；炎陵县绿佳源粽叶种植专业合作社奖补30万元。</w:t>
      </w:r>
    </w:p>
    <w:p w14:paraId="3FE08DF5">
      <w:pPr>
        <w:pStyle w:val="2"/>
        <w:keepNext w:val="0"/>
        <w:keepLines w:val="0"/>
        <w:pageBreakBefore w:val="0"/>
        <w:widowControl/>
        <w:kinsoku w:val="0"/>
        <w:wordWrap/>
        <w:overflowPunct/>
        <w:topLinePunct w:val="0"/>
        <w:autoSpaceDE w:val="0"/>
        <w:autoSpaceDN w:val="0"/>
        <w:bidi w:val="0"/>
        <w:adjustRightInd w:val="0"/>
        <w:snapToGrid w:val="0"/>
        <w:spacing w:after="0" w:line="520" w:lineRule="exact"/>
        <w:ind w:left="0" w:leftChars="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）新型经营主体贷款贴息资金</w:t>
      </w:r>
      <w:r>
        <w:rPr>
          <w:rFonts w:hint="eastAsia" w:ascii="仿宋" w:hAnsi="仿宋" w:eastAsia="仿宋" w:cs="仿宋"/>
          <w:sz w:val="32"/>
          <w:szCs w:val="32"/>
          <w:lang w:val="en-US" w:eastAsia="zh-CN"/>
        </w:rPr>
        <w:t>2193717元，用于新型经营主体贷款贴息奖补，其中付</w:t>
      </w:r>
      <w:r>
        <w:rPr>
          <w:rFonts w:hint="eastAsia" w:ascii="仿宋" w:hAnsi="仿宋" w:eastAsia="仿宋" w:cs="仿宋"/>
          <w:sz w:val="32"/>
          <w:szCs w:val="32"/>
          <w:lang w:eastAsia="zh-CN"/>
        </w:rPr>
        <w:t>湖南福来喜鹅业有限责任公司等52家主体2022年省级贷款贴息补助201.42222万元、付11家单位2021年省级贷款贴息尾款17.9495万元。</w:t>
      </w:r>
    </w:p>
    <w:p w14:paraId="5E3414B8">
      <w:pPr>
        <w:pStyle w:val="2"/>
        <w:keepNext w:val="0"/>
        <w:keepLines w:val="0"/>
        <w:pageBreakBefore w:val="0"/>
        <w:widowControl/>
        <w:kinsoku w:val="0"/>
        <w:wordWrap/>
        <w:overflowPunct/>
        <w:topLinePunct w:val="0"/>
        <w:autoSpaceDE w:val="0"/>
        <w:autoSpaceDN w:val="0"/>
        <w:bidi w:val="0"/>
        <w:adjustRightInd w:val="0"/>
        <w:snapToGrid w:val="0"/>
        <w:spacing w:after="0" w:line="520" w:lineRule="exact"/>
        <w:ind w:left="0" w:leftChars="0"/>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）其他农业生产项目资金</w:t>
      </w:r>
      <w:r>
        <w:rPr>
          <w:rFonts w:hint="eastAsia" w:ascii="仿宋" w:hAnsi="仿宋" w:eastAsia="仿宋" w:cs="仿宋"/>
          <w:sz w:val="32"/>
          <w:szCs w:val="32"/>
          <w:lang w:val="en-US" w:eastAsia="zh-CN"/>
        </w:rPr>
        <w:t>38070650.54元，主要用于农业生产保险、高素质农民及农机手培训项目、院士服务团科技服务补助、乡村振兴带头人补助、特聘防疫员补助、动植物防疫防控补助、农产品质量检测及农作物安全监管费用、农业生态环境监测与保护费用、农业生产救灾资金、酃县白鹅保种资金、农机购置补贴及保费补贴资金、耕地地力保护补贴资金、优势特色产业补助、2022年农机现代合作社建设奖补、区域品牌建设奖补资金、美丽乡村建设补助、农业资源保种和利用资金、渔业补助资金、农田建设资金、2021年地理标志农产品保护与发展资金等其他农业生产项目。</w:t>
      </w:r>
    </w:p>
    <w:p w14:paraId="751A51C8">
      <w:pPr>
        <w:pStyle w:val="8"/>
        <w:widowControl/>
        <w:spacing w:line="52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14:paraId="1CE88809">
      <w:pPr>
        <w:pStyle w:val="8"/>
        <w:keepNext w:val="0"/>
        <w:keepLines w:val="0"/>
        <w:pageBreakBefore w:val="0"/>
        <w:widowControl/>
        <w:kinsoku w:val="0"/>
        <w:wordWrap/>
        <w:overflowPunct/>
        <w:topLinePunct w:val="0"/>
        <w:autoSpaceDE w:val="0"/>
        <w:autoSpaceDN w:val="0"/>
        <w:bidi w:val="0"/>
        <w:adjustRightInd w:val="0"/>
        <w:snapToGrid w:val="0"/>
        <w:spacing w:line="520" w:lineRule="exact"/>
        <w:ind w:left="0" w:firstLine="640" w:firstLineChars="200"/>
        <w:jc w:val="left"/>
        <w:textAlignment w:val="baseline"/>
        <w:rPr>
          <w:rFonts w:ascii="Times New Roman" w:hAnsi="Times New Roman" w:eastAsia="黑体"/>
          <w:sz w:val="32"/>
          <w:szCs w:val="32"/>
        </w:rPr>
      </w:pPr>
      <w:r>
        <w:rPr>
          <w:rFonts w:hint="eastAsia" w:ascii="仿宋_GB2312" w:hAnsi="仿宋" w:eastAsia="仿宋_GB2312"/>
          <w:color w:val="auto"/>
          <w:sz w:val="32"/>
          <w:szCs w:val="32"/>
          <w:highlight w:val="none"/>
          <w:lang w:val="en-US" w:eastAsia="zh-CN"/>
        </w:rPr>
        <w:t>2023年度本单位政府性基金预算支出</w:t>
      </w:r>
      <w:r>
        <w:rPr>
          <w:rFonts w:ascii="仿宋_GB2312" w:eastAsia="仿宋_GB2312" w:cs="宋体"/>
          <w:kern w:val="0"/>
          <w:sz w:val="32"/>
          <w:szCs w:val="32"/>
        </w:rPr>
        <w:t>3109597</w:t>
      </w:r>
      <w:r>
        <w:rPr>
          <w:rFonts w:hint="eastAsia" w:ascii="仿宋_GB2312" w:eastAsia="仿宋_GB2312" w:cs="宋体"/>
          <w:kern w:val="0"/>
          <w:sz w:val="32"/>
          <w:szCs w:val="32"/>
          <w:lang w:eastAsia="zh-CN"/>
        </w:rPr>
        <w:t>元，农村人居环境整治项目资金，主要用于炎陵县农村人居环境整治工作，其中：拨付湖南中垚建设集团有限公司农村人居环境整治垃圾治理项目资金100</w:t>
      </w:r>
      <w:r>
        <w:rPr>
          <w:rFonts w:hint="eastAsia" w:ascii="仿宋_GB2312" w:eastAsia="仿宋_GB2312" w:cs="宋体"/>
          <w:kern w:val="0"/>
          <w:sz w:val="32"/>
          <w:szCs w:val="32"/>
          <w:lang w:val="en-US" w:eastAsia="zh-CN"/>
        </w:rPr>
        <w:t>0000</w:t>
      </w:r>
      <w:r>
        <w:rPr>
          <w:rFonts w:hint="eastAsia" w:ascii="仿宋_GB2312" w:eastAsia="仿宋_GB2312" w:cs="宋体"/>
          <w:kern w:val="0"/>
          <w:sz w:val="32"/>
          <w:szCs w:val="32"/>
          <w:lang w:eastAsia="zh-CN"/>
        </w:rPr>
        <w:t>元；江苏欧亚照明股份有限公司太阳能路灯款2109597元。</w:t>
      </w:r>
    </w:p>
    <w:p w14:paraId="216101D4">
      <w:pPr>
        <w:pStyle w:val="8"/>
        <w:widowControl/>
        <w:numPr>
          <w:ilvl w:val="0"/>
          <w:numId w:val="4"/>
        </w:numPr>
        <w:spacing w:line="520" w:lineRule="exact"/>
        <w:ind w:left="640" w:firstLine="0" w:firstLineChars="0"/>
        <w:jc w:val="left"/>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国有资本经营预算支出情况</w:t>
      </w:r>
    </w:p>
    <w:p w14:paraId="469BF2CA">
      <w:pPr>
        <w:pStyle w:val="8"/>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40" w:firstLineChars="200"/>
        <w:jc w:val="left"/>
        <w:textAlignment w:val="baseline"/>
        <w:rPr>
          <w:rFonts w:hint="default" w:ascii="Times New Roman" w:hAnsi="Times New Roman" w:eastAsia="黑体"/>
          <w:sz w:val="32"/>
          <w:szCs w:val="32"/>
          <w:lang w:val="en-US" w:eastAsia="zh-CN"/>
        </w:rPr>
      </w:pPr>
      <w:r>
        <w:rPr>
          <w:rFonts w:hint="eastAsia" w:ascii="仿宋_GB2312" w:hAnsi="仿宋" w:eastAsia="仿宋_GB2312"/>
          <w:color w:val="auto"/>
          <w:sz w:val="32"/>
          <w:szCs w:val="32"/>
          <w:highlight w:val="none"/>
          <w:lang w:val="en-US" w:eastAsia="zh-CN"/>
        </w:rPr>
        <w:t>2023年度本单位无国有资本经营预算支出。</w:t>
      </w:r>
    </w:p>
    <w:p w14:paraId="690EE68D">
      <w:pPr>
        <w:pStyle w:val="8"/>
        <w:widowControl/>
        <w:spacing w:line="52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val="en-US" w:eastAsia="zh-CN"/>
        </w:rPr>
        <w:t>五、</w:t>
      </w:r>
      <w:r>
        <w:rPr>
          <w:rFonts w:ascii="Times New Roman" w:hAnsi="Times New Roman" w:eastAsia="黑体"/>
          <w:sz w:val="32"/>
          <w:szCs w:val="32"/>
        </w:rPr>
        <w:t>社会保险基金预算支出情况</w:t>
      </w:r>
    </w:p>
    <w:p w14:paraId="0530834D">
      <w:pPr>
        <w:widowControl/>
        <w:spacing w:line="520" w:lineRule="exact"/>
        <w:ind w:firstLine="645"/>
        <w:jc w:val="left"/>
        <w:rPr>
          <w:rFonts w:hint="eastAsia" w:eastAsia="黑体"/>
          <w:sz w:val="32"/>
          <w:szCs w:val="32"/>
          <w:lang w:val="en-US" w:eastAsia="zh-CN"/>
        </w:rPr>
      </w:pPr>
      <w:r>
        <w:rPr>
          <w:rFonts w:hint="eastAsia" w:ascii="仿宋_GB2312" w:hAnsi="仿宋" w:eastAsia="仿宋_GB2312"/>
          <w:color w:val="auto"/>
          <w:sz w:val="32"/>
          <w:szCs w:val="32"/>
          <w:highlight w:val="none"/>
          <w:lang w:val="en-US" w:eastAsia="zh-CN"/>
        </w:rPr>
        <w:t>2023年度本单位无社会保险基金预算支出。</w:t>
      </w:r>
    </w:p>
    <w:p w14:paraId="7074D3E2">
      <w:pPr>
        <w:widowControl/>
        <w:spacing w:line="520" w:lineRule="exact"/>
        <w:ind w:firstLine="645"/>
        <w:jc w:val="left"/>
        <w:rPr>
          <w:rFonts w:eastAsia="黑体"/>
          <w:sz w:val="32"/>
          <w:szCs w:val="32"/>
        </w:rPr>
      </w:pPr>
      <w:r>
        <w:rPr>
          <w:rFonts w:hint="eastAsia" w:eastAsia="黑体"/>
          <w:sz w:val="32"/>
          <w:szCs w:val="32"/>
          <w:lang w:val="en-US" w:eastAsia="zh-CN"/>
        </w:rPr>
        <w:t>六</w:t>
      </w:r>
      <w:r>
        <w:rPr>
          <w:rFonts w:eastAsia="黑体"/>
          <w:sz w:val="32"/>
          <w:szCs w:val="32"/>
        </w:rPr>
        <w:t>、部门整体支出绩效情况</w:t>
      </w:r>
    </w:p>
    <w:p w14:paraId="1DFBC8BC">
      <w:pPr>
        <w:widowControl/>
        <w:spacing w:line="560" w:lineRule="exact"/>
        <w:ind w:firstLine="640" w:firstLineChars="200"/>
        <w:rPr>
          <w:rFonts w:ascii="仿宋_GB2312" w:hAnsi="仿宋" w:eastAsia="仿宋_GB2312"/>
          <w:sz w:val="32"/>
          <w:szCs w:val="32"/>
        </w:rPr>
      </w:pPr>
      <w:r>
        <w:rPr>
          <w:rFonts w:hint="eastAsia" w:ascii="仿宋_GB2312" w:eastAsia="仿宋_GB2312"/>
          <w:kern w:val="0"/>
          <w:sz w:val="32"/>
          <w:szCs w:val="32"/>
        </w:rPr>
        <w:t>2023年</w:t>
      </w:r>
      <w:r>
        <w:rPr>
          <w:rFonts w:ascii="仿宋_GB2312" w:eastAsia="仿宋_GB2312"/>
          <w:kern w:val="0"/>
          <w:sz w:val="32"/>
          <w:szCs w:val="32"/>
        </w:rPr>
        <w:t>我局深入贯彻落实创新、协调、绿色、开放、共享的发展理念，围绕全县</w:t>
      </w:r>
      <w:r>
        <w:rPr>
          <w:rFonts w:hint="eastAsia" w:ascii="仿宋_GB2312" w:eastAsia="仿宋_GB2312"/>
          <w:kern w:val="0"/>
          <w:sz w:val="32"/>
          <w:szCs w:val="32"/>
        </w:rPr>
        <w:t>乡村振兴</w:t>
      </w:r>
      <w:r>
        <w:rPr>
          <w:rFonts w:ascii="仿宋_GB2312" w:eastAsia="仿宋_GB2312"/>
          <w:kern w:val="0"/>
          <w:sz w:val="32"/>
          <w:szCs w:val="32"/>
        </w:rPr>
        <w:t>大局，以农业稳定发展和农民持续增收为农业工作出发点和落脚点，坚持走产出高效、产品安全、资源节约、环境友好的农业现代化道路，</w:t>
      </w:r>
      <w:r>
        <w:rPr>
          <w:rFonts w:hint="eastAsia" w:ascii="仿宋_GB2312" w:eastAsia="仿宋_GB2312"/>
          <w:kern w:val="0"/>
          <w:sz w:val="32"/>
          <w:szCs w:val="32"/>
        </w:rPr>
        <w:t>各项农业项目基本完成，</w:t>
      </w:r>
      <w:r>
        <w:rPr>
          <w:rFonts w:ascii="仿宋_GB2312" w:eastAsia="仿宋_GB2312"/>
          <w:kern w:val="0"/>
          <w:sz w:val="32"/>
          <w:szCs w:val="32"/>
        </w:rPr>
        <w:t>全县农业保持稳步增长的发展态势。</w:t>
      </w:r>
      <w:r>
        <w:rPr>
          <w:rFonts w:hint="eastAsia" w:ascii="仿宋_GB2312" w:hAnsi="仿宋" w:eastAsia="仿宋_GB2312"/>
          <w:color w:val="auto"/>
          <w:sz w:val="32"/>
          <w:szCs w:val="32"/>
          <w:highlight w:val="none"/>
          <w:lang w:val="en-US" w:eastAsia="zh-CN"/>
        </w:rPr>
        <w:t>本单位社会公众或服务对象满意度为98%。</w:t>
      </w:r>
    </w:p>
    <w:p w14:paraId="40A07C61">
      <w:pPr>
        <w:pStyle w:val="8"/>
        <w:widowControl/>
        <w:spacing w:line="52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val="en-US" w:eastAsia="zh-CN"/>
        </w:rPr>
        <w:t>七</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14:paraId="169EC687">
      <w:pPr>
        <w:widowControl/>
        <w:spacing w:line="520" w:lineRule="exact"/>
        <w:ind w:firstLine="640" w:firstLineChars="200"/>
        <w:jc w:val="left"/>
        <w:rPr>
          <w:rFonts w:eastAsia="仿宋_GB2312"/>
          <w:sz w:val="32"/>
          <w:szCs w:val="32"/>
        </w:rPr>
      </w:pPr>
      <w:r>
        <w:rPr>
          <w:rFonts w:hint="eastAsia" w:ascii="仿宋_GB2312" w:eastAsia="仿宋_GB2312"/>
          <w:kern w:val="0"/>
          <w:sz w:val="32"/>
          <w:szCs w:val="32"/>
        </w:rPr>
        <w:t>2023年在预算执行及管理中还存在一些问题：一是预算编制和执行需进一步完善；二是绩效评价不完善，业务股室实施项目时需进一步提高资金使用效率，实现项目绩效目标；三是执行项目预算进度偏慢。</w:t>
      </w:r>
    </w:p>
    <w:p w14:paraId="455796B8">
      <w:pPr>
        <w:widowControl/>
        <w:spacing w:line="520" w:lineRule="exact"/>
        <w:ind w:firstLine="640" w:firstLineChars="200"/>
        <w:jc w:val="left"/>
        <w:rPr>
          <w:rFonts w:eastAsia="黑体"/>
          <w:sz w:val="32"/>
          <w:szCs w:val="32"/>
        </w:rPr>
      </w:pPr>
      <w:r>
        <w:rPr>
          <w:rFonts w:hint="eastAsia" w:eastAsia="黑体"/>
          <w:sz w:val="32"/>
          <w:szCs w:val="32"/>
          <w:lang w:val="en-US" w:eastAsia="zh-CN"/>
        </w:rPr>
        <w:t>八</w:t>
      </w:r>
      <w:r>
        <w:rPr>
          <w:rFonts w:eastAsia="黑体"/>
          <w:sz w:val="32"/>
          <w:szCs w:val="32"/>
        </w:rPr>
        <w:t>、下一步改进措施</w:t>
      </w:r>
    </w:p>
    <w:p w14:paraId="698DEAF9">
      <w:pPr>
        <w:widowControl/>
        <w:spacing w:line="520" w:lineRule="exact"/>
        <w:ind w:firstLine="645"/>
        <w:jc w:val="left"/>
        <w:rPr>
          <w:rFonts w:hint="eastAsia" w:eastAsia="黑体"/>
          <w:sz w:val="32"/>
          <w:szCs w:val="32"/>
          <w:lang w:val="en-US" w:eastAsia="zh-CN"/>
        </w:rPr>
      </w:pPr>
      <w:r>
        <w:rPr>
          <w:rFonts w:hint="eastAsia" w:ascii="仿宋_GB2312" w:eastAsia="仿宋_GB2312"/>
          <w:kern w:val="0"/>
          <w:sz w:val="32"/>
          <w:szCs w:val="32"/>
        </w:rPr>
        <w:t>一是提高预算管理意识</w:t>
      </w:r>
      <w:r>
        <w:rPr>
          <w:rFonts w:hint="eastAsia" w:ascii="仿宋_GB2312" w:eastAsia="仿宋_GB2312"/>
          <w:kern w:val="0"/>
          <w:sz w:val="32"/>
          <w:szCs w:val="32"/>
          <w:lang w:eastAsia="zh-CN"/>
        </w:rPr>
        <w:t>；</w:t>
      </w:r>
      <w:r>
        <w:rPr>
          <w:rFonts w:hint="eastAsia" w:ascii="仿宋_GB2312" w:eastAsia="仿宋_GB2312"/>
          <w:kern w:val="0"/>
          <w:sz w:val="32"/>
          <w:szCs w:val="32"/>
        </w:rPr>
        <w:t>二是建立健全预算编制制度</w:t>
      </w:r>
      <w:r>
        <w:rPr>
          <w:rFonts w:hint="eastAsia" w:ascii="仿宋_GB2312" w:eastAsia="仿宋_GB2312"/>
          <w:kern w:val="0"/>
          <w:sz w:val="32"/>
          <w:szCs w:val="32"/>
          <w:lang w:eastAsia="zh-CN"/>
        </w:rPr>
        <w:t>；</w:t>
      </w:r>
      <w:r>
        <w:rPr>
          <w:rFonts w:hint="eastAsia" w:ascii="仿宋_GB2312" w:eastAsia="仿宋_GB2312"/>
          <w:kern w:val="0"/>
          <w:sz w:val="32"/>
          <w:szCs w:val="32"/>
        </w:rPr>
        <w:t>三是加强预算执行管理。</w:t>
      </w:r>
    </w:p>
    <w:p w14:paraId="08BAAB29">
      <w:pPr>
        <w:widowControl/>
        <w:numPr>
          <w:ilvl w:val="0"/>
          <w:numId w:val="5"/>
        </w:numPr>
        <w:spacing w:line="520" w:lineRule="exact"/>
        <w:ind w:firstLine="645"/>
        <w:jc w:val="left"/>
        <w:rPr>
          <w:rFonts w:eastAsia="黑体"/>
          <w:sz w:val="32"/>
          <w:szCs w:val="32"/>
        </w:rPr>
      </w:pPr>
      <w:r>
        <w:rPr>
          <w:rFonts w:hint="eastAsia" w:eastAsia="黑体"/>
          <w:sz w:val="32"/>
          <w:szCs w:val="32"/>
          <w:lang w:val="en-US" w:eastAsia="zh-CN"/>
        </w:rPr>
        <w:t>绩效自评结果及</w:t>
      </w:r>
      <w:r>
        <w:rPr>
          <w:rFonts w:eastAsia="黑体"/>
          <w:sz w:val="32"/>
          <w:szCs w:val="32"/>
        </w:rPr>
        <w:t>其他需要说明的情况</w:t>
      </w:r>
    </w:p>
    <w:p w14:paraId="4388E8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40" w:firstLineChars="200"/>
        <w:jc w:val="left"/>
        <w:textAlignment w:val="baseline"/>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（一）绩效自评结果。2023年度单位绩效自评结果100分，等级：优。</w:t>
      </w:r>
    </w:p>
    <w:p w14:paraId="72A12B3D">
      <w:pPr>
        <w:keepNext w:val="0"/>
        <w:keepLines w:val="0"/>
        <w:pageBreakBefore w:val="0"/>
        <w:widowControl/>
        <w:kinsoku/>
        <w:wordWrap/>
        <w:overflowPunct/>
        <w:topLinePunct w:val="0"/>
        <w:autoSpaceDE/>
        <w:autoSpaceDN/>
        <w:bidi w:val="0"/>
        <w:adjustRightInd/>
        <w:snapToGrid w:val="0"/>
        <w:spacing w:line="520" w:lineRule="exact"/>
        <w:ind w:firstLine="640" w:firstLineChars="200"/>
        <w:textAlignment w:val="auto"/>
      </w:pPr>
      <w:r>
        <w:rPr>
          <w:rFonts w:hint="eastAsia" w:ascii="仿宋_GB2312" w:hAnsi="仿宋" w:eastAsia="仿宋_GB2312"/>
          <w:color w:val="auto"/>
          <w:sz w:val="32"/>
          <w:szCs w:val="32"/>
          <w:highlight w:val="none"/>
          <w:lang w:val="en-US" w:eastAsia="zh-CN"/>
        </w:rPr>
        <w:t>（二）其他需要说明的事项。无。</w:t>
      </w:r>
    </w:p>
    <w:p w14:paraId="5F35FF62">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AB514">
    <w:pPr>
      <w:spacing w:line="176" w:lineRule="auto"/>
      <w:ind w:left="4039"/>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8E7EC"/>
    <w:multiLevelType w:val="singleLevel"/>
    <w:tmpl w:val="A418E7EC"/>
    <w:lvl w:ilvl="0" w:tentative="0">
      <w:start w:val="1"/>
      <w:numFmt w:val="chineseCounting"/>
      <w:suff w:val="nothing"/>
      <w:lvlText w:val="（%1）"/>
      <w:lvlJc w:val="left"/>
      <w:pPr>
        <w:ind w:left="-10"/>
      </w:pPr>
      <w:rPr>
        <w:rFonts w:hint="eastAsia"/>
      </w:rPr>
    </w:lvl>
  </w:abstractNum>
  <w:abstractNum w:abstractNumId="1">
    <w:nsid w:val="FDC310B5"/>
    <w:multiLevelType w:val="singleLevel"/>
    <w:tmpl w:val="FDC310B5"/>
    <w:lvl w:ilvl="0" w:tentative="0">
      <w:start w:val="1"/>
      <w:numFmt w:val="chineseCounting"/>
      <w:suff w:val="nothing"/>
      <w:lvlText w:val="%1、"/>
      <w:lvlJc w:val="left"/>
      <w:rPr>
        <w:rFonts w:hint="eastAsia"/>
      </w:rPr>
    </w:lvl>
  </w:abstractNum>
  <w:abstractNum w:abstractNumId="2">
    <w:nsid w:val="228F2D13"/>
    <w:multiLevelType w:val="singleLevel"/>
    <w:tmpl w:val="228F2D13"/>
    <w:lvl w:ilvl="0" w:tentative="0">
      <w:start w:val="1"/>
      <w:numFmt w:val="chineseCounting"/>
      <w:suff w:val="nothing"/>
      <w:lvlText w:val="（%1）"/>
      <w:lvlJc w:val="left"/>
      <w:rPr>
        <w:rFonts w:hint="eastAsia"/>
      </w:rPr>
    </w:lvl>
  </w:abstractNum>
  <w:abstractNum w:abstractNumId="3">
    <w:nsid w:val="2FE81E44"/>
    <w:multiLevelType w:val="singleLevel"/>
    <w:tmpl w:val="2FE81E44"/>
    <w:lvl w:ilvl="0" w:tentative="0">
      <w:start w:val="4"/>
      <w:numFmt w:val="chineseCounting"/>
      <w:suff w:val="nothing"/>
      <w:lvlText w:val="%1、"/>
      <w:lvlJc w:val="left"/>
      <w:rPr>
        <w:rFonts w:hint="eastAsia"/>
      </w:rPr>
    </w:lvl>
  </w:abstractNum>
  <w:abstractNum w:abstractNumId="4">
    <w:nsid w:val="5CEE9862"/>
    <w:multiLevelType w:val="singleLevel"/>
    <w:tmpl w:val="5CEE9862"/>
    <w:lvl w:ilvl="0" w:tentative="0">
      <w:start w:val="9"/>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yOTA3NGQzMDI1OGI4YWE5ODBmY2RiZjhjZDNmNTEifQ=="/>
  </w:docVars>
  <w:rsids>
    <w:rsidRoot w:val="00000000"/>
    <w:rsid w:val="11A0410B"/>
    <w:rsid w:val="15BF56EC"/>
    <w:rsid w:val="35CB6416"/>
    <w:rsid w:val="4A69398E"/>
    <w:rsid w:val="4B4334AB"/>
    <w:rsid w:val="5403276E"/>
    <w:rsid w:val="54C5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eastAsia="宋体" w:cs="Times New Roman"/>
      <w:szCs w:val="24"/>
    </w:rPr>
  </w:style>
  <w:style w:type="paragraph" w:styleId="3">
    <w:name w:val="Body Text Indent"/>
    <w:basedOn w:val="1"/>
    <w:unhideWhenUsed/>
    <w:qFormat/>
    <w:uiPriority w:val="99"/>
    <w:pPr>
      <w:spacing w:after="120"/>
      <w:ind w:left="420" w:leftChars="200"/>
    </w:p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2662</Words>
  <Characters>2991</Characters>
  <Lines>0</Lines>
  <Paragraphs>0</Paragraphs>
  <TotalTime>4</TotalTime>
  <ScaleCrop>false</ScaleCrop>
  <LinksUpToDate>false</LinksUpToDate>
  <CharactersWithSpaces>3002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2024-08-12T02:40:00Z</dcterms:created>
  <dc:creator>mini4use</dc:creator>
  <cp:lastModifiedBy>WPS_1664699695</cp:lastModifiedBy>
  <dcterms:modified xsi:type="dcterms:W3CDTF">2024-09-01T10:39:00Z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DEC29D6FF1984251977FAFE43F2C91AB_12</vt:lpwstr>
  </property>
</Properties>
</file>