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单位名称（盖章）：炎陵县林业局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7940E0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FD9C40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C0FC9F1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1．主要职能。</w:t>
      </w:r>
    </w:p>
    <w:p w14:paraId="07AD8849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炎陵县林业局为正科级单位，是县政府工作部门，由县自然资源局统一领导和管理。主要负责林业及其生态保护修复的监督管理；负责森林、湿地资源、陆生野生动植物资源的监督管理；负责林业生物种质资源、转基因生物安全、植物新品种保护的监督管理；负责各类自然保护地、石漠化防治工作的监督管理；组织开展森林、湿地和陆生野生动植物资源动态监测与评价；组织林业生态保护修复和造林绿化工作；负责推进林业改革相关工作；拟订全县林业资源优化配置及木材利用政策；指导国有林场基本建设和发展、指导县森林公安工作；指导开展防火巡护、火源管理、防火设施建设等工作；参与拟订林业经济调节政策，组织实施林业生态补偿工作；负责林业科技、教育和外事工作，负责全县林业人才队伍建设；完成县委、县政府交办的其他任务。</w:t>
      </w:r>
    </w:p>
    <w:p w14:paraId="0F99F60F">
      <w:pPr>
        <w:pStyle w:val="8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2．机构情况。</w:t>
      </w:r>
    </w:p>
    <w:p w14:paraId="28974C28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2023年年末实有机构10个。我单位共有行政单位1个（内设股室6个），分别为：办公室、规划财务股、造林绿化股、森林防火股、林政和资源管理股、野保和自然保护地管理股；二级单位5个（含2个副科级单位），分别是：林业事务中心、林业产业服务中心、林业调查规划设计队、木材检查总站、林业执法大队；林场4个，分别是：桃源洞林场、湘山林场、福利垅林场和黄茅墩林场。相比去年，机构数减少1个，原因是林业科学研究所整合并入福利垅林场。</w:t>
      </w:r>
    </w:p>
    <w:p w14:paraId="6A29D707">
      <w:pPr>
        <w:pStyle w:val="8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3．人员情况。</w:t>
      </w:r>
    </w:p>
    <w:p w14:paraId="1EAB6D02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人员编制情况：年末实有编制231个，其中：全额拨款事业编制156个，全额拨款行政编制10个，差额拨款单位编制12个，自收自支单位事业编制53个。总编制数与去年相比，减少4个。主要变化有：全额行政编制减少1个；自收自支单位事业编制减少3个（其中福利垅林场减少2个，黄茅墩林场减少1个）。</w:t>
      </w:r>
    </w:p>
    <w:p w14:paraId="613D7B46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年末实有在职人数239人，其中：局机关行政人员7人，局直属事业人员174人，差额拨款单位10人，自收自支单位48人。总数较去年年末减少7人，原因是调入2人、调出2人以及退休7人。</w:t>
      </w:r>
    </w:p>
    <w:p w14:paraId="5556C9CE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1CDF3221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林业局年度整体支出绩效目标：全面从严治党，提高干部队伍依法行政能力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强力推进国家储备林建设和政府专项债项目（炎陵县国有林场生态林业建设一期项目）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继续跟进现代林业森林精准提升项目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大力推进绿色富民产业发展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扎实做好森林防火工作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统筹推进森林资源保护管理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抓好林业有害生物防治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抓好自然保护地整合优化和生物多样性保护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全面推行“林长制”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积极探索林业碳汇试点机制。</w:t>
      </w:r>
    </w:p>
    <w:p w14:paraId="634436BA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default" w:eastAsia="仿宋_GB2312"/>
          <w:color w:val="000000"/>
          <w:sz w:val="32"/>
          <w:szCs w:val="32"/>
          <w:lang w:val="en-US" w:eastAsia="zh-CN"/>
        </w:rPr>
        <w:t>国有林场改革补助专项资金绩效目标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：巩固国有林场改革成果，保护森林资源，维护生态安全。职工社保缴费全覆盖，老有所养，国有林场稳定有序发展。</w:t>
      </w:r>
    </w:p>
    <w:p w14:paraId="2FCB56A7">
      <w:pPr>
        <w:pStyle w:val="8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default" w:eastAsia="仿宋_GB2312"/>
          <w:color w:val="000000"/>
          <w:sz w:val="32"/>
          <w:szCs w:val="32"/>
          <w:lang w:val="en-US" w:eastAsia="zh-CN"/>
        </w:rPr>
        <w:t>其他项目支出（除专项资金以外）绩效目标：树立和大力践行“绿水青山就是金山银山”的科学理念，深化林业改革，加强资源保护，强化生态建设，推进产业富民，弘扬生态文化，各项工作取得新的进展。</w:t>
      </w:r>
    </w:p>
    <w:p w14:paraId="7587B28A">
      <w:pPr>
        <w:pStyle w:val="8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4ADDA7E5">
      <w:pPr>
        <w:pStyle w:val="8"/>
        <w:widowControl/>
        <w:spacing w:line="52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val="en-US" w:eastAsia="zh-CN"/>
        </w:rPr>
        <w:t>本单位基本支出总额285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6500.13元，其中工资福利支出22148205.93元，商品和服务支出4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55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8842.8元，对个人和家庭的补助1759192.2元，资本性支出50259.2元。</w:t>
      </w:r>
    </w:p>
    <w:p w14:paraId="7C11EFB6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0F8C16B9">
      <w:pPr>
        <w:widowControl/>
        <w:spacing w:line="520" w:lineRule="exact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sz w:val="32"/>
          <w:szCs w:val="32"/>
          <w:highlight w:val="none"/>
        </w:rPr>
        <w:t>本单位项目支出总额67691379.32元。具体情况如下：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eastAsia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2022年国外贷款赠款专项经费150000元、2020年天然林公共管护支出14000元、2022年国有林场改革与发展补助300000元、2023年中央生态护林员补助384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中央国有林保护修复补助（天然林）69380元、2023年中央国有林保护修复补助（公益林）3873120元、2023年国家重点野生动植物保护补助418820.9元、2023年省级森林生态效益补偿1939647.18元、2023年林业配套设施建设165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元、2022年油茶产业示范基地和重点企业建设9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元、森林保险保费补贴1069371.26元、2022年上一轮退耕还生态林森林抚育补助350958.8元、2022年中央造林补贴150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元、2022年第二批中央森林抚育补助314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元、2023年非国有林生态保护补偿（天然林）5636859.36元、2023年非国有林生态保护补偿（公益林）10494100元、2023年林木良种补助52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元、2023年义务植树299456.55元、2021年天然林公共管护支出3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2021年公益林公共管护支出1467555元、2022年天然林公共管护支出896421.2元、2022年第二批中央森林生态效益补偿补助459476.05元、2023年省级森林生态效益补偿资金（非国有林）867582.64元、2023年省级森林生态效益补偿公共管护支出40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元、2021年野生动植物资源调查监测与保护体系建设198000元、2022年中央林业有害生物防治补助247900元、2022年中央国家重点野生动植物补助229100元、2023年省级其他林业特色产业20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元、2023年省级竹木产业发展及现代林业特色产业园项目65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元、2023年省级国有林场改革与发展30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元、2022年中央林业有害生物防治补助650248.98元、2022年中央国家重点野生动植物补助247900元、2022年林长制专项28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元、县级森林防灭火应急专项449960元、2023年营林绿化专项5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元、2023年林长制专项37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2021年中央天然商品林管护补助2199124.55元、2021年市州分配的25%植被恢复费29038元、2021年乡村美化绿化24437元、2021年南岭山地森林及生物多样性保护工程11116840元、2022年新一轮退耕还林延长期补助180300元、2022年第二批省级森林生态效益补偿451600元、2022年林业防灾减灾补助（草原有害生物普查）10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元、2022年古树名木保护补助10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元、2023年中央新一轮退耕还林延长期补助523200元、2023年省级森林生态效益补偿1807200元、2023年省级真抓实干成效明显地区奖励647730.86元、县级森林防火150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元、2023年林长制专项399517.04元、2023年中央财政衔接推进乡村振兴补助资金120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元、2021年森林保险保费补贴262315.16元、2023年森林保险保费补贴218.79元、2021年国家特殊及珍稀林木培育项目80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元、2022年木材战略储备基地建设项目280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元、2022年林路养护20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0000</w:t>
      </w:r>
      <w:r>
        <w:rPr>
          <w:rFonts w:hint="default" w:eastAsia="仿宋_GB2312" w:asciiTheme="minorAscii" w:hAnsiTheme="minorAscii"/>
          <w:sz w:val="32"/>
          <w:szCs w:val="32"/>
        </w:rPr>
        <w:t>元</w:t>
      </w:r>
      <w:r>
        <w:rPr>
          <w:rFonts w:hint="eastAsia" w:eastAsia="仿宋_GB2312" w:asciiTheme="minorAscii" w:hAnsiTheme="minorAscii"/>
          <w:sz w:val="32"/>
          <w:szCs w:val="32"/>
          <w:lang w:eastAsia="zh-CN"/>
        </w:rPr>
        <w:t>。</w:t>
      </w:r>
    </w:p>
    <w:p w14:paraId="751A51C8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0960672A">
      <w:pPr>
        <w:pStyle w:val="8"/>
        <w:widowControl/>
        <w:spacing w:line="520" w:lineRule="exact"/>
        <w:ind w:left="0" w:leftChars="0"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年度政府性基金预算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支出总额</w:t>
      </w:r>
      <w:r>
        <w:rPr>
          <w:rFonts w:hint="eastAsia" w:eastAsia="仿宋_GB2312"/>
          <w:color w:val="000000"/>
          <w:sz w:val="32"/>
          <w:szCs w:val="32"/>
        </w:rPr>
        <w:t>7285930.95元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其中基本支出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60000</w:t>
      </w:r>
      <w:r>
        <w:rPr>
          <w:rFonts w:hint="eastAsia" w:eastAsia="仿宋_GB2312"/>
          <w:color w:val="000000"/>
          <w:sz w:val="32"/>
          <w:szCs w:val="32"/>
        </w:rPr>
        <w:t>元，项目支出7225930.95元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0C82D15C">
      <w:pPr>
        <w:pStyle w:val="8"/>
        <w:widowControl/>
        <w:spacing w:line="52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val="en-US" w:eastAsia="zh-CN"/>
        </w:rPr>
        <w:t>基本支出总额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60000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元，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均为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商品和服务支出。</w:t>
      </w:r>
    </w:p>
    <w:p w14:paraId="701F1616">
      <w:pPr>
        <w:pStyle w:val="8"/>
        <w:widowControl/>
        <w:spacing w:line="520" w:lineRule="exact"/>
        <w:ind w:left="0" w:leftChars="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项目支出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总额</w:t>
      </w:r>
      <w:r>
        <w:rPr>
          <w:rFonts w:hint="eastAsia" w:eastAsia="仿宋_GB2312"/>
          <w:color w:val="000000"/>
          <w:sz w:val="32"/>
          <w:szCs w:val="32"/>
        </w:rPr>
        <w:t>7225930.95元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 w:asciiTheme="minorAscii" w:hAnsiTheme="minorAscii"/>
          <w:sz w:val="32"/>
          <w:szCs w:val="32"/>
          <w:highlight w:val="none"/>
          <w:lang w:eastAsia="zh-CN"/>
        </w:rPr>
        <w:t>其中</w:t>
      </w:r>
      <w:r>
        <w:rPr>
          <w:rFonts w:hint="default" w:eastAsia="仿宋_GB2312" w:asciiTheme="minorAscii" w:hAnsiTheme="minorAscii"/>
          <w:sz w:val="32"/>
          <w:szCs w:val="32"/>
          <w:highlight w:val="none"/>
        </w:rPr>
        <w:t>青石冈国有林场防火隔离通道4000000元、2019年森林禁伐省级补助资金1050000元、2020年集体和个人所有天然商品林管护补助1835930.95元、2022年盘活“三资”工作经费340000元</w:t>
      </w:r>
      <w:r>
        <w:rPr>
          <w:rFonts w:hint="eastAsia" w:eastAsia="仿宋_GB2312" w:asciiTheme="minorAscii" w:hAnsiTheme="minorAscii"/>
          <w:sz w:val="32"/>
          <w:szCs w:val="32"/>
          <w:highlight w:val="none"/>
          <w:lang w:eastAsia="zh-CN"/>
        </w:rPr>
        <w:t>。</w:t>
      </w:r>
    </w:p>
    <w:p w14:paraId="216101D4">
      <w:pPr>
        <w:pStyle w:val="8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5BE25BD5">
      <w:pPr>
        <w:pStyle w:val="8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本单位无国有资本经营预算支出。</w:t>
      </w:r>
    </w:p>
    <w:p w14:paraId="690EE68D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A11E023">
      <w:pPr>
        <w:widowControl/>
        <w:spacing w:line="520" w:lineRule="exact"/>
        <w:ind w:firstLine="645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本单位无社会保险基金预算支出。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067BD7A">
      <w:pPr>
        <w:widowControl/>
        <w:spacing w:line="520" w:lineRule="exact"/>
        <w:ind w:firstLine="645"/>
        <w:jc w:val="left"/>
        <w:rPr>
          <w:rFonts w:hint="eastAsia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整体支出情况分析</w:t>
      </w:r>
    </w:p>
    <w:p w14:paraId="5EA58E99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</w:rPr>
        <w:t>202</w:t>
      </w:r>
      <w:r>
        <w:rPr>
          <w:rFonts w:hint="eastAsia" w:eastAsia="仿宋_GB2312" w:asciiTheme="minorAscii" w:hAnsiTheme="minorAscii"/>
          <w:color w:val="000000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color w:val="000000"/>
          <w:sz w:val="32"/>
          <w:szCs w:val="32"/>
        </w:rPr>
        <w:t>年支出决算103493810.4元</w:t>
      </w:r>
      <w:r>
        <w:rPr>
          <w:rFonts w:hint="eastAsia" w:eastAsia="仿宋_GB2312" w:asciiTheme="minorAscii" w:hAnsiTheme="minorAscii"/>
          <w:color w:val="000000"/>
          <w:sz w:val="32"/>
          <w:szCs w:val="32"/>
          <w:lang w:eastAsia="zh-CN"/>
        </w:rPr>
        <w:t>，</w:t>
      </w:r>
      <w:r>
        <w:rPr>
          <w:rFonts w:hint="default" w:eastAsia="仿宋_GB2312" w:asciiTheme="minorAscii" w:hAnsiTheme="minorAscii"/>
          <w:color w:val="000000"/>
          <w:sz w:val="32"/>
          <w:szCs w:val="32"/>
        </w:rPr>
        <w:t>比上年</w:t>
      </w:r>
      <w:r>
        <w:rPr>
          <w:rFonts w:hint="eastAsia" w:eastAsia="仿宋_GB2312" w:asciiTheme="minorAscii" w:hAnsiTheme="minorAscii"/>
          <w:color w:val="000000"/>
          <w:sz w:val="32"/>
          <w:szCs w:val="32"/>
          <w:lang w:eastAsia="zh-CN"/>
        </w:rPr>
        <w:t>增加13425247.82</w:t>
      </w:r>
      <w:r>
        <w:rPr>
          <w:rFonts w:hint="default" w:eastAsia="仿宋_GB2312" w:asciiTheme="minorAscii" w:hAnsiTheme="minorAscii"/>
          <w:color w:val="000000"/>
          <w:sz w:val="32"/>
          <w:szCs w:val="32"/>
        </w:rPr>
        <w:t>元。其中：一般公共预算</w:t>
      </w:r>
      <w:r>
        <w:rPr>
          <w:rFonts w:hint="eastAsia" w:eastAsia="仿宋_GB2312" w:asciiTheme="minorAscii" w:hAnsiTheme="minorAscii"/>
          <w:color w:val="000000"/>
          <w:sz w:val="32"/>
          <w:szCs w:val="32"/>
          <w:lang w:eastAsia="zh-CN"/>
        </w:rPr>
        <w:t>支出</w:t>
      </w:r>
      <w:r>
        <w:rPr>
          <w:rFonts w:hint="default" w:eastAsia="仿宋_GB2312" w:asciiTheme="minorAscii" w:hAnsiTheme="minorAscii"/>
          <w:color w:val="000000"/>
          <w:sz w:val="32"/>
          <w:szCs w:val="32"/>
        </w:rPr>
        <w:t>96207879.45元，比上年增加6139316.87元;政府性基金预算支出7285930.95元, 比上年增加7285930.95元；本单位无社会保险基金预算支出；本单位无国有资本经营预算支出。</w:t>
      </w:r>
    </w:p>
    <w:p w14:paraId="203EBA91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</w:rPr>
        <w:t>202</w:t>
      </w:r>
      <w:r>
        <w:rPr>
          <w:rFonts w:hint="eastAsia" w:eastAsia="仿宋_GB2312" w:asciiTheme="minorAscii" w:hAnsiTheme="minorAscii"/>
          <w:color w:val="000000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color w:val="000000"/>
          <w:sz w:val="32"/>
          <w:szCs w:val="32"/>
        </w:rPr>
        <w:t>年支出总额为103493810.4元，年初预算支出26517560元，增加调整预算支出76976250.4元（人员经费增加753226.13元，公用经费增加1305714元，项目经费增加74917310.27元）。</w:t>
      </w:r>
    </w:p>
    <w:p w14:paraId="68A9CE39">
      <w:pPr>
        <w:widowControl/>
        <w:spacing w:line="520" w:lineRule="exact"/>
        <w:ind w:firstLine="645"/>
        <w:jc w:val="left"/>
        <w:rPr>
          <w:rFonts w:hint="eastAsia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效率情况分析</w:t>
      </w:r>
    </w:p>
    <w:p w14:paraId="5B78717E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全县完成2023年度下达中央财政补助人工造林2000亩；完成国家木材战略储备林基地建设项目任务4500亩；完成2023年度中央财政森林抚育8700亩；完成炎陵县2023年度国土绿化试点示范项目32076亩、株洲市湘江源区生态综合治理项目4892亩施工招标(现已进入施工程序)；完成2023年炎陵县退化林本底评估调查180428亩。</w:t>
      </w:r>
    </w:p>
    <w:p w14:paraId="60A32EC9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全县已发放林木采伐计划蓄积数量为9.1848立方米，采伐证数量为4307份。全年办理143宗林地征占用手续，审批占用林地面积6096.03亩，收取森林植被恢复费4378.644万元。核减炎陵县不符合生态区位的公益林面积5.6659万亩，包括国家级公益林面积4.8533万亩和省级公益林面积0.8126万亩。</w:t>
      </w:r>
    </w:p>
    <w:p w14:paraId="69617CF1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全县组织开展各级林长调整更新工作，优化了“一长四员”管护体系，将392个护林员管护网格调整到406个管护网格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2023年度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县级林长巡林48次，解决林业发展问题个数15个，乡级林长巡林累计1066次，村级林长巡林2768次，县乡村三级林长巡林频次均超过省、市要求。在林长制巡护系统上传工作动态信息188条，其中县乡两级林长巡林履职工作动态127条，红网等媒体介绍林长制宣传报道30条。</w:t>
      </w:r>
    </w:p>
    <w:p w14:paraId="3007372D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全年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林业总产值达到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62.3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亿元，完成非税收入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668.74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万元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完成固定资产投资1.652亿元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完成向上争资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5119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万元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完成项目储备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个：1、茶旅融合项目，预计投资1.2亿元；2、竹笋制品精深加工项目，预计投资1500万元；3、楠竹林滴灌项目、投资3000万元；4、林下经济发展项目、投资2亿元。完成签约亿元项目一个：湖南鑫炎新材料有限公司投资1.13亿元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完成省林业局下达的林产品抽样任务（竹笋20批次、竹笋土壤20批次、板材两批次）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切实加强6家规模企业的监管，排查企业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64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（家次）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出动执法人员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243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（人次）排查一般隐患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46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起（已落实整改到位）；排查重大事故隐患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61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起（已落实整改到位）；行政处罚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起。积极开展市场主体培育年活动，新增企业主体24个。</w:t>
      </w:r>
    </w:p>
    <w:p w14:paraId="254E4BD7">
      <w:pPr>
        <w:widowControl/>
        <w:spacing w:line="520" w:lineRule="exact"/>
        <w:ind w:firstLine="645"/>
        <w:jc w:val="left"/>
        <w:rPr>
          <w:rFonts w:hint="default" w:eastAsia="楷体_GB2312" w:asciiTheme="minorAscii" w:hAnsiTheme="minorAscii"/>
          <w:color w:val="000000"/>
          <w:sz w:val="32"/>
          <w:szCs w:val="32"/>
          <w:highlight w:val="yellow"/>
          <w:lang w:eastAsia="zh-CN"/>
        </w:rPr>
      </w:pPr>
      <w:r>
        <w:rPr>
          <w:rFonts w:hint="default" w:eastAsia="楷体_GB2312" w:cs="楷体_GB2312" w:asciiTheme="minorAscii" w:hAnsiTheme="minorAscii"/>
          <w:sz w:val="32"/>
          <w:szCs w:val="32"/>
        </w:rPr>
        <w:t>（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三</w:t>
      </w:r>
      <w:r>
        <w:rPr>
          <w:rFonts w:hint="default" w:eastAsia="楷体_GB2312" w:cs="楷体_GB2312" w:asciiTheme="minorAscii" w:hAnsiTheme="minorAscii"/>
          <w:sz w:val="32"/>
          <w:szCs w:val="32"/>
        </w:rPr>
        <w:t>）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预算控制及资金管理情况分析</w:t>
      </w:r>
    </w:p>
    <w:p w14:paraId="359FE5E4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yellow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1.预算完成率。202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年年初预算26517560元，调整预算103493810.4元，预算完成率100%，预算完成情况很好。</w:t>
      </w:r>
    </w:p>
    <w:p w14:paraId="2499A7B9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yellow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2.人员经费控制率。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2023年实际支出人员经费总额23907398.13元，预算安排人员经费总额23154172元，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因人员经费调整追加预算753226.13元（绩效奖、基本工资提标等），预算控制率为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3.3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%，预算控制较好，达到预期目标。</w:t>
      </w:r>
    </w:p>
    <w:p w14:paraId="6C6B3F82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3.公用经费控制率。202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年实际支出公用经费总额4669102元，预算安排公用经费总额3363388元，因公用经费调整追加预算1305714元，公用经费控制率为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38.8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%，预算控制未达到预期目标。</w:t>
      </w:r>
    </w:p>
    <w:p w14:paraId="23F8D83A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4.项目经费控制。202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年实际支出项目经费总额74917310.27元，预算安排项目经费0元，客观上大部分项目经费不在本部门预算范围内，属于上级追加的资金。</w:t>
      </w:r>
    </w:p>
    <w:p w14:paraId="41EB6B4C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5.“三公经费”控制率。“三公经费”实际支出数为194284.3元，预算安排195000元，“三公经费”与预算数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基本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持平，“三公经费”执行到位。                 </w:t>
      </w:r>
    </w:p>
    <w:p w14:paraId="21852EFE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6.政府采购执行率。政府采购预算1731850元，实际政府采购金额1731850元，预算执行率100%，政府采购执行到位。</w:t>
      </w:r>
    </w:p>
    <w:p w14:paraId="7ABF2431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7.管理制度健全性。制定了内部财务管理制度、会计核算制度等管理制度，严格执行《炎陵县林业局内部控制基本制度》及《炎陵县林业局政府采购内控制度》具体管理办法。</w:t>
      </w:r>
    </w:p>
    <w:p w14:paraId="69691305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8.资金使用合规性。严格遵守国家财经法规和财务管理制度规定；资金使用合法合规，支出手续齐全，程序到位。</w:t>
      </w:r>
    </w:p>
    <w:p w14:paraId="690A7902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9.预决算信息公开性。真实准确编制部门预算和决算，按时上报基础数据资料，及时、完整向社会公开预决算信息，提高工作透明度。 </w:t>
      </w:r>
    </w:p>
    <w:p w14:paraId="4DC38500">
      <w:pPr>
        <w:pStyle w:val="8"/>
        <w:widowControl/>
        <w:spacing w:line="520" w:lineRule="exact"/>
        <w:ind w:left="640" w:firstLine="0" w:firstLineChars="0"/>
        <w:jc w:val="left"/>
        <w:rPr>
          <w:rFonts w:hint="default" w:eastAsia="楷体_GB2312" w:cs="楷体_GB2312" w:asciiTheme="minorAscii" w:hAnsiTheme="minorAscii"/>
          <w:sz w:val="32"/>
          <w:szCs w:val="32"/>
          <w:lang w:eastAsia="zh-CN"/>
        </w:rPr>
      </w:pPr>
      <w:r>
        <w:rPr>
          <w:rFonts w:hint="default" w:eastAsia="楷体_GB2312" w:cs="楷体_GB2312" w:asciiTheme="minorAscii" w:hAnsiTheme="minorAscii"/>
          <w:sz w:val="32"/>
          <w:szCs w:val="32"/>
        </w:rPr>
        <w:t>（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四</w:t>
      </w:r>
      <w:r>
        <w:rPr>
          <w:rFonts w:hint="default" w:eastAsia="楷体_GB2312" w:cs="楷体_GB2312" w:asciiTheme="minorAscii" w:hAnsiTheme="minorAscii"/>
          <w:sz w:val="32"/>
          <w:szCs w:val="32"/>
        </w:rPr>
        <w:t>）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可持续性情况分析</w:t>
      </w:r>
    </w:p>
    <w:p w14:paraId="21D8871F">
      <w:pPr>
        <w:pStyle w:val="8"/>
        <w:widowControl/>
        <w:spacing w:line="520" w:lineRule="exact"/>
        <w:ind w:left="0" w:leftChars="0" w:firstLine="640" w:firstLineChars="200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坚持“发展现代林业，建设生态文明”的目标，始终守住“保护生态”这条底线，全面落实中央、省、市、县各级林业工作会议精神，按照全域旅游生态理念，积极打造炎陵森林康养品牌，实现林业可持续发展。</w:t>
      </w:r>
    </w:p>
    <w:p w14:paraId="6A4CC2D8">
      <w:pPr>
        <w:pStyle w:val="8"/>
        <w:widowControl/>
        <w:spacing w:line="520" w:lineRule="exact"/>
        <w:ind w:left="0" w:leftChars="0" w:firstLine="640" w:firstLineChars="200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进一步健全完善林区林政秩序防控体系，维护了林区安全稳定，有效的保护了我县森林资源的安全，促进了森林资源保护和林业发展。</w:t>
      </w:r>
    </w:p>
    <w:p w14:paraId="443B1D3D">
      <w:pPr>
        <w:pStyle w:val="8"/>
        <w:widowControl/>
        <w:spacing w:line="520" w:lineRule="exact"/>
        <w:ind w:left="0" w:leftChars="0" w:firstLine="640" w:firstLineChars="200"/>
        <w:jc w:val="left"/>
        <w:rPr>
          <w:rFonts w:hint="default" w:eastAsia="楷体_GB2312" w:asciiTheme="minorAscii" w:hAnsiTheme="minorAscii"/>
          <w:color w:val="000000"/>
          <w:sz w:val="32"/>
          <w:szCs w:val="32"/>
          <w:highlight w:val="none"/>
          <w:lang w:eastAsia="zh-CN"/>
        </w:rPr>
      </w:pPr>
      <w:r>
        <w:rPr>
          <w:rFonts w:hint="default" w:eastAsia="楷体_GB2312" w:cs="楷体_GB2312" w:asciiTheme="minorAscii" w:hAnsiTheme="minorAscii"/>
          <w:sz w:val="32"/>
          <w:szCs w:val="32"/>
        </w:rPr>
        <w:t>（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五</w:t>
      </w:r>
      <w:r>
        <w:rPr>
          <w:rFonts w:hint="default" w:eastAsia="楷体_GB2312" w:cs="楷体_GB2312" w:asciiTheme="minorAscii" w:hAnsiTheme="minorAscii"/>
          <w:sz w:val="32"/>
          <w:szCs w:val="32"/>
        </w:rPr>
        <w:t>）</w:t>
      </w:r>
      <w:r>
        <w:rPr>
          <w:rFonts w:hint="default" w:eastAsia="楷体_GB2312" w:cs="楷体_GB2312" w:asciiTheme="minorAscii" w:hAnsiTheme="minorAscii"/>
          <w:sz w:val="32"/>
          <w:szCs w:val="32"/>
          <w:lang w:eastAsia="zh-CN"/>
        </w:rPr>
        <w:t>满意度情况分析</w:t>
      </w:r>
    </w:p>
    <w:p w14:paraId="63208087">
      <w:pPr>
        <w:pStyle w:val="8"/>
        <w:widowControl/>
        <w:spacing w:line="520" w:lineRule="exact"/>
        <w:ind w:left="0" w:leftChars="0" w:firstLine="640" w:firstLineChars="200"/>
        <w:jc w:val="left"/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eastAsia="zh-CN"/>
        </w:rPr>
        <w:t>受益群众满意度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  <w:lang w:val="en-US" w:eastAsia="zh-CN"/>
        </w:rPr>
        <w:t>90%以上，项目实施附近居民满意度90%以上。</w:t>
      </w:r>
    </w:p>
    <w:p w14:paraId="40A07C61">
      <w:pPr>
        <w:pStyle w:val="8"/>
        <w:widowControl/>
        <w:spacing w:line="520" w:lineRule="exact"/>
        <w:ind w:left="640" w:firstLine="0" w:firstLineChars="0"/>
        <w:jc w:val="left"/>
        <w:rPr>
          <w:rFonts w:hint="default" w:eastAsia="黑体" w:asciiTheme="minorAscii" w:hAnsiTheme="minorAscii"/>
          <w:sz w:val="32"/>
          <w:szCs w:val="32"/>
        </w:rPr>
      </w:pPr>
      <w:r>
        <w:rPr>
          <w:rFonts w:hint="default" w:eastAsia="黑体" w:asciiTheme="minorAscii" w:hAnsiTheme="minorAscii"/>
          <w:sz w:val="32"/>
          <w:szCs w:val="32"/>
          <w:lang w:val="en-US" w:eastAsia="zh-CN"/>
        </w:rPr>
        <w:t>七</w:t>
      </w:r>
      <w:r>
        <w:rPr>
          <w:rFonts w:hint="default" w:eastAsia="黑体" w:asciiTheme="minorAscii" w:hAnsiTheme="minorAscii"/>
          <w:sz w:val="32"/>
          <w:szCs w:val="32"/>
        </w:rPr>
        <w:t>、存在的问题及原因分析</w:t>
      </w:r>
    </w:p>
    <w:p w14:paraId="210C58A5">
      <w:pPr>
        <w:widowControl/>
        <w:spacing w:line="520" w:lineRule="exact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  <w:highlight w:val="none"/>
        </w:rPr>
      </w:pPr>
      <w:r>
        <w:rPr>
          <w:rFonts w:hint="default" w:eastAsia="仿宋_GB2312" w:asciiTheme="minorAscii" w:hAnsiTheme="minorAscii"/>
          <w:sz w:val="32"/>
          <w:szCs w:val="32"/>
          <w:highlight w:val="none"/>
        </w:rPr>
        <w:t>人员经费支出23907398.13元，比预算增加3.</w:t>
      </w:r>
      <w:r>
        <w:rPr>
          <w:rFonts w:hint="default" w:eastAsia="仿宋_GB2312" w:asciiTheme="minorAscii" w:hAnsiTheme="minorAscii"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  <w:highlight w:val="none"/>
        </w:rPr>
        <w:t>%，人员经费调整追加预算</w:t>
      </w:r>
      <w:r>
        <w:rPr>
          <w:rFonts w:hint="default" w:eastAsia="仿宋_GB2312" w:asciiTheme="minorAscii" w:hAnsiTheme="minorAscii"/>
          <w:color w:val="000000"/>
          <w:sz w:val="32"/>
          <w:szCs w:val="32"/>
          <w:highlight w:val="none"/>
        </w:rPr>
        <w:t>753226.13</w:t>
      </w:r>
      <w:r>
        <w:rPr>
          <w:rFonts w:hint="default" w:eastAsia="仿宋_GB2312" w:asciiTheme="minorAscii" w:hAnsiTheme="minorAscii"/>
          <w:sz w:val="32"/>
          <w:szCs w:val="32"/>
          <w:highlight w:val="none"/>
        </w:rPr>
        <w:t>元，预算控制达到预期目标，存在一定的差异的主要原因有：一、在职人员每年工资晋级、转岗、岗位晋升等原因增加了工资福利支出；二、年初预算的年终绩效考核奖的口径是7500元/人/年，本单位本年度绩效考核被评为一类，标准相比年初预算增加了2000元/人/年。</w:t>
      </w:r>
    </w:p>
    <w:p w14:paraId="19B668D0">
      <w:pPr>
        <w:widowControl/>
        <w:spacing w:line="520" w:lineRule="exact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  <w:highlight w:val="yellow"/>
        </w:rPr>
      </w:pPr>
      <w:r>
        <w:rPr>
          <w:rFonts w:hint="default" w:eastAsia="仿宋_GB2312" w:asciiTheme="minorAscii" w:hAnsiTheme="minorAscii"/>
          <w:sz w:val="32"/>
          <w:szCs w:val="32"/>
          <w:highlight w:val="none"/>
        </w:rPr>
        <w:t>日常公用经费支出4669102元，比预算增加</w:t>
      </w:r>
      <w:r>
        <w:rPr>
          <w:rFonts w:hint="default" w:eastAsia="仿宋_GB2312" w:asciiTheme="minorAscii" w:hAnsiTheme="minorAscii"/>
          <w:sz w:val="32"/>
          <w:szCs w:val="32"/>
          <w:highlight w:val="none"/>
          <w:lang w:val="en-US" w:eastAsia="zh-CN"/>
        </w:rPr>
        <w:t>38.8</w:t>
      </w:r>
      <w:r>
        <w:rPr>
          <w:rFonts w:hint="default" w:eastAsia="仿宋_GB2312" w:asciiTheme="minorAscii" w:hAnsiTheme="minorAscii"/>
          <w:sz w:val="32"/>
          <w:szCs w:val="32"/>
          <w:highlight w:val="none"/>
        </w:rPr>
        <w:t>%，公用经费调整追加预算1305714元，预算控制未达到预期目标。主要原因</w:t>
      </w:r>
      <w:r>
        <w:rPr>
          <w:rFonts w:hint="eastAsia" w:eastAsia="仿宋_GB2312" w:asciiTheme="minorAscii" w:hAnsiTheme="minorAscii"/>
          <w:sz w:val="32"/>
          <w:szCs w:val="32"/>
          <w:highlight w:val="none"/>
          <w:lang w:eastAsia="zh-CN"/>
        </w:rPr>
        <w:t>是</w:t>
      </w:r>
      <w:r>
        <w:rPr>
          <w:rFonts w:hint="default" w:eastAsia="仿宋_GB2312" w:asciiTheme="minorAscii" w:hAnsiTheme="minorAscii"/>
          <w:sz w:val="32"/>
          <w:szCs w:val="32"/>
          <w:highlight w:val="none"/>
        </w:rPr>
        <w:t>非税收入征收预算增加，相应的综合财政预算支出增加。</w:t>
      </w:r>
    </w:p>
    <w:p w14:paraId="450147A2">
      <w:pPr>
        <w:widowControl/>
        <w:spacing w:line="520" w:lineRule="exact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  <w:highlight w:val="none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  <w:highlight w:val="none"/>
        </w:rPr>
        <w:t>项目经费支出74917310.27元，年初没有预算，主要原因是大部分项目经费属于上级追加的资金，不在本部门预算范围内</w:t>
      </w:r>
      <w:r>
        <w:rPr>
          <w:rFonts w:hint="default" w:eastAsia="仿宋_GB2312" w:asciiTheme="minorAscii" w:hAnsiTheme="minorAscii"/>
          <w:sz w:val="32"/>
          <w:szCs w:val="32"/>
          <w:highlight w:val="none"/>
          <w:lang w:eastAsia="zh-CN"/>
        </w:rPr>
        <w:t>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hint="default" w:eastAsia="黑体" w:asciiTheme="minorAscii" w:hAnsiTheme="minorAscii"/>
          <w:sz w:val="32"/>
          <w:szCs w:val="32"/>
        </w:rPr>
      </w:pPr>
      <w:r>
        <w:rPr>
          <w:rFonts w:hint="default" w:eastAsia="黑体" w:asciiTheme="minorAscii" w:hAnsiTheme="minorAscii"/>
          <w:sz w:val="32"/>
          <w:szCs w:val="32"/>
          <w:lang w:val="en-US" w:eastAsia="zh-CN"/>
        </w:rPr>
        <w:t>八</w:t>
      </w:r>
      <w:r>
        <w:rPr>
          <w:rFonts w:hint="default" w:eastAsia="黑体" w:asciiTheme="minorAscii" w:hAnsiTheme="minorAscii"/>
          <w:sz w:val="32"/>
          <w:szCs w:val="32"/>
        </w:rPr>
        <w:t>、下一步改进措施</w:t>
      </w:r>
    </w:p>
    <w:p w14:paraId="2B36FC28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1、细化预算编制工作，认真做好预算的编制。进一步加强单位内部机构各办公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0538E9C4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08A293C0">
      <w:pPr>
        <w:widowControl/>
        <w:spacing w:line="520" w:lineRule="exact"/>
        <w:ind w:firstLine="645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6C4E2CCB">
      <w:pPr>
        <w:widowControl/>
        <w:spacing w:line="520" w:lineRule="exact"/>
        <w:ind w:firstLine="645"/>
        <w:jc w:val="left"/>
        <w:rPr>
          <w:rFonts w:hint="default" w:eastAsia="黑体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4、提升绩效管理，完善绩效指标体系建设。提高绩效目标设立的科学性、严谨性，提高绩效管理水平。</w:t>
      </w:r>
    </w:p>
    <w:p w14:paraId="47BCC704">
      <w:pPr>
        <w:widowControl/>
        <w:spacing w:line="520" w:lineRule="exact"/>
        <w:ind w:firstLine="645"/>
        <w:jc w:val="left"/>
        <w:rPr>
          <w:rFonts w:hint="default" w:eastAsia="黑体" w:asciiTheme="minorAscii" w:hAnsiTheme="minorAscii"/>
          <w:sz w:val="32"/>
          <w:szCs w:val="32"/>
        </w:rPr>
      </w:pPr>
      <w:r>
        <w:rPr>
          <w:rFonts w:hint="default" w:eastAsia="黑体" w:asciiTheme="minorAscii" w:hAnsiTheme="minorAscii"/>
          <w:sz w:val="32"/>
          <w:szCs w:val="32"/>
          <w:lang w:val="en-US" w:eastAsia="zh-CN"/>
        </w:rPr>
        <w:t>九</w:t>
      </w:r>
      <w:r>
        <w:rPr>
          <w:rFonts w:hint="default" w:eastAsia="黑体" w:asciiTheme="minorAscii" w:hAnsiTheme="minorAscii"/>
          <w:sz w:val="32"/>
          <w:szCs w:val="32"/>
        </w:rPr>
        <w:t>、</w:t>
      </w:r>
      <w:r>
        <w:rPr>
          <w:rFonts w:hint="default" w:eastAsia="黑体" w:asciiTheme="minorAscii" w:hAnsiTheme="minorAscii"/>
          <w:sz w:val="32"/>
          <w:szCs w:val="32"/>
          <w:lang w:val="en-US" w:eastAsia="zh-CN"/>
        </w:rPr>
        <w:t>绩效自评结果及</w:t>
      </w:r>
      <w:r>
        <w:rPr>
          <w:rFonts w:hint="default" w:eastAsia="黑体" w:asciiTheme="minorAscii" w:hAnsiTheme="minorAscii"/>
          <w:sz w:val="32"/>
          <w:szCs w:val="32"/>
        </w:rPr>
        <w:t>其他需要说明的情况</w:t>
      </w:r>
    </w:p>
    <w:p w14:paraId="28DB0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林业局整体支出绩效自评得分100分，达到优秀水平。</w:t>
      </w:r>
    </w:p>
    <w:p w14:paraId="6AFD3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Theme="minorAscii" w:hAnsiTheme="minorAscii"/>
        </w:rPr>
      </w:pPr>
      <w:r>
        <w:rPr>
          <w:rFonts w:hint="default" w:eastAsia="仿宋_GB2312" w:asciiTheme="minorAscii" w:hAnsiTheme="minorAscii"/>
          <w:sz w:val="32"/>
          <w:szCs w:val="32"/>
        </w:rPr>
        <w:t>无其他需要说明的情况。</w:t>
      </w: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420A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A4E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A4E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9850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TNiYTM0YzE0M2M0ZGUzMDZjMWQ5NWQ4NTY1OTMifQ=="/>
  </w:docVars>
  <w:rsids>
    <w:rsidRoot w:val="00000000"/>
    <w:rsid w:val="02EF4531"/>
    <w:rsid w:val="06194479"/>
    <w:rsid w:val="065E53DD"/>
    <w:rsid w:val="06D150F0"/>
    <w:rsid w:val="0BDF1202"/>
    <w:rsid w:val="0D2C3357"/>
    <w:rsid w:val="15BF56EC"/>
    <w:rsid w:val="182F1E85"/>
    <w:rsid w:val="1D1F1B00"/>
    <w:rsid w:val="1D7E49E7"/>
    <w:rsid w:val="1E040A13"/>
    <w:rsid w:val="2DEF745C"/>
    <w:rsid w:val="35CB6416"/>
    <w:rsid w:val="37501266"/>
    <w:rsid w:val="3A1D0F0F"/>
    <w:rsid w:val="47CF370B"/>
    <w:rsid w:val="4B165F7F"/>
    <w:rsid w:val="4B4334AB"/>
    <w:rsid w:val="4B68369B"/>
    <w:rsid w:val="4DAE64EF"/>
    <w:rsid w:val="4EA95EB2"/>
    <w:rsid w:val="5403276E"/>
    <w:rsid w:val="54C57A37"/>
    <w:rsid w:val="56A33C92"/>
    <w:rsid w:val="5A6132CD"/>
    <w:rsid w:val="65CB0256"/>
    <w:rsid w:val="7CB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3436</Words>
  <Characters>4304</Characters>
  <Lines>0</Lines>
  <Paragraphs>0</Paragraphs>
  <TotalTime>8</TotalTime>
  <ScaleCrop>false</ScaleCrop>
  <LinksUpToDate>false</LinksUpToDate>
  <CharactersWithSpaces>4306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cp:lastPrinted>2024-09-02T09:52:45Z</cp:lastPrinted>
  <dcterms:modified xsi:type="dcterms:W3CDTF">2024-09-02T10:05:49Z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