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2023年度炎陵县下村乡人民政府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单位名称（盖章）：炎陵县下村乡人民政府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31945825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0C40A8B0"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根据县委办2016年2月5日下发的炎办〔2016〕9号文件规定，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炎陵县下村乡人民政府</w:t>
      </w:r>
      <w:r>
        <w:rPr>
          <w:rFonts w:hint="default" w:ascii="仿宋_GB2312" w:hAnsi="仿宋" w:eastAsia="仿宋_GB2312"/>
          <w:sz w:val="32"/>
          <w:szCs w:val="32"/>
        </w:rPr>
        <w:t>承担的主要职责如下：</w:t>
      </w:r>
    </w:p>
    <w:p w14:paraId="3726BE0C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（1）贯彻落实党和国家在农村的各项方针政策和法律法规，对村民进行思想政治教育和社会主义法制教育，依法保障村民合法权益。</w:t>
      </w:r>
    </w:p>
    <w:p w14:paraId="071574D8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2）组织拟定镇村产业发展规划，推动产业结构调整，示范引导农村合作经济组织，形成地域产业特色；积极提供政策和信息服务，促进农业新技术的推广应用，着重营造良好的发展环境和条件；加强农村市场的监管和安全生产的监督；加强农村土地规划和土地综合开发利用工作。</w:t>
      </w:r>
    </w:p>
    <w:p w14:paraId="7392BAFB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3）抓好基层组织建设；加强农村基础设施建设和新型农村服务体系建设，落实强农惠农措施；加强公共卫生和食品药品安全体系、农村基础教育、科学技术、文化体育、社会主义精神文明建设；加强农村社会保障、民政优抚、计划生育和劳动力素质培训等工作。</w:t>
      </w:r>
    </w:p>
    <w:p w14:paraId="41247672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（4）加强社会管理综合治理和环境保护，维护社会稳定，妥善处理社会性、群体性事件，调节和处理好各种利益矛盾和纠纷。</w:t>
      </w:r>
    </w:p>
    <w:p w14:paraId="5162EA8A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（5）指导村民自治，推动农村社区建设，促进社会组织健康发展，增强社会自治功能。</w:t>
      </w:r>
    </w:p>
    <w:p w14:paraId="6C3C24B0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（6）抓好征兵工作，组织民兵训练，开展国防教育等工作。</w:t>
      </w:r>
    </w:p>
    <w:p w14:paraId="7E98DBD2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（7）完成县委、县政府交办的其他工作任务。</w:t>
      </w:r>
    </w:p>
    <w:p w14:paraId="427F4544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i w:val="0"/>
          <w:caps w:val="0"/>
          <w:spacing w:val="0"/>
          <w:sz w:val="32"/>
          <w:szCs w:val="32"/>
          <w:shd w:val="clear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．</w:t>
      </w:r>
      <w:r>
        <w:rPr>
          <w:rFonts w:hint="eastAsia" w:ascii="仿宋_GB2312" w:hAnsi="仿宋" w:eastAsia="仿宋_GB2312" w:cs="Times New Roman"/>
          <w:i w:val="0"/>
          <w:caps w:val="0"/>
          <w:spacing w:val="0"/>
          <w:sz w:val="32"/>
          <w:szCs w:val="32"/>
          <w:shd w:val="clear"/>
        </w:rPr>
        <w:t>机构设置</w:t>
      </w:r>
    </w:p>
    <w:p w14:paraId="3D0374F5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炎陵县下村乡人民政府现设有党政办公室、党建办公室、经济发展办公室（农业农村工作办公室）、民政办公室（卫生健康办公室）、生态环境办公室、社会治安和应急管理办公室；设立5个乡直属事业单位：党群服务中心（综合便民服务中心）、社会事务综合服务站（文化综合服务站）、农业综合服务站（林业工作站）、退役军人服务站、综合行政执法大队；其他机构：财政所。以及按有关规定或章程设置的人大、纪检监察、人民武装部、工会、共青团、妇联等组织。</w:t>
      </w:r>
    </w:p>
    <w:p w14:paraId="50817AED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炎陵县下村乡人民政府202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年部门决算编制范围为炎陵县下村乡人民政府本级，无二级机构。</w:t>
      </w:r>
    </w:p>
    <w:p w14:paraId="310C5227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3．人员情况。</w:t>
      </w:r>
    </w:p>
    <w:p w14:paraId="458C1519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年乡机关总人数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" w:eastAsia="仿宋_GB2312"/>
          <w:sz w:val="32"/>
          <w:szCs w:val="32"/>
        </w:rPr>
        <w:t>人。其中：财政全额拨款人员4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人，差额拨款人员1人，三支一扶人员1人，临聘人员1人。在职4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人，其中政府机关1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人，共产党机关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人，人大机关1人，乡财政4人，农业2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人，文化1人。本年度调入3人，调出5人，1人辞职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5D0159AE"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2023年度炎陵县下村乡人民政府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在县财政局和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党委、政府的正确领导下，树立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全心全意为人民服务的宗旨，强化资金管理，严格资金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使用合法、合规，做到专款专用；及时、准确、高效调度资金，用好资金，全面服务于党委、政府的各项工作，确保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政府机构正常运行；认真做好各项财政财务基础工作，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并力求做到以下几点整体支出绩效目标：</w:t>
      </w:r>
    </w:p>
    <w:p w14:paraId="3A7CF37E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紧扣项目建设，增强发展后劲；</w:t>
      </w:r>
    </w:p>
    <w:p w14:paraId="71F077F4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统筹产业发展，加快提档升级；</w:t>
      </w:r>
    </w:p>
    <w:p w14:paraId="73AA32A7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突出民生改善，聚力乡村振兴；</w:t>
      </w:r>
    </w:p>
    <w:p w14:paraId="1B9529F8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强化基层党建，提示行政效能。</w:t>
      </w:r>
      <w:bookmarkStart w:id="0" w:name="_GoBack"/>
      <w:bookmarkEnd w:id="0"/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036BCD7D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2023年炎陵县下村乡人民政府</w:t>
      </w:r>
      <w:r>
        <w:rPr>
          <w:rFonts w:hint="eastAsia" w:ascii="仿宋_GB2312" w:hAnsi="仿宋" w:eastAsia="仿宋_GB2312"/>
          <w:sz w:val="32"/>
          <w:szCs w:val="32"/>
        </w:rPr>
        <w:t>一般公共预算拨款（全额）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24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其中：</w:t>
      </w:r>
    </w:p>
    <w:p w14:paraId="6C4CB837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1.基本支出824.24万元，占比98.8%；</w:t>
      </w:r>
    </w:p>
    <w:p w14:paraId="603EFE1F"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2.项目支出10万元，占比1.2%。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38B48DE7">
      <w:pPr>
        <w:snapToGrid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基本支出中人员经费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</w:rPr>
        <w:t>691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04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83.84%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；日常公用经费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13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3.20万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16.16%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D06DE75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项目支出情况</w:t>
      </w:r>
    </w:p>
    <w:p w14:paraId="7AC34448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其他项目</w:t>
      </w:r>
      <w:r>
        <w:rPr>
          <w:rFonts w:hint="eastAsia" w:eastAsia="仿宋_GB2312"/>
          <w:sz w:val="32"/>
          <w:szCs w:val="32"/>
        </w:rPr>
        <w:t>资金安排和使用管理情况：</w:t>
      </w:r>
    </w:p>
    <w:p w14:paraId="7507D16A"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政府院内修缮工程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  <w:lang w:val="en-US" w:eastAsia="zh-CN"/>
        </w:rPr>
        <w:t>万元，用于政府院内广场修缮维护及车位划分，方便逢圩老百姓停车。</w:t>
      </w:r>
    </w:p>
    <w:p w14:paraId="751A51C8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70820CF3">
      <w:pPr>
        <w:pStyle w:val="6"/>
        <w:widowControl/>
        <w:spacing w:line="520" w:lineRule="exact"/>
        <w:ind w:left="0" w:leftChars="0"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" w:eastAsia="仿宋_GB2312"/>
          <w:sz w:val="32"/>
          <w:szCs w:val="32"/>
        </w:rPr>
        <w:t>政府性基金预算财政拨款收入12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其中：</w:t>
      </w:r>
    </w:p>
    <w:p w14:paraId="58D30755">
      <w:pPr>
        <w:pStyle w:val="6"/>
        <w:widowControl/>
        <w:numPr>
          <w:numId w:val="0"/>
        </w:numPr>
        <w:spacing w:line="520" w:lineRule="exact"/>
        <w:ind w:left="640" w:leftChars="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1.基本支出2万元，占比16.67%；</w:t>
      </w:r>
    </w:p>
    <w:p w14:paraId="761E8D26">
      <w:pPr>
        <w:pStyle w:val="6"/>
        <w:widowControl/>
        <w:numPr>
          <w:numId w:val="0"/>
        </w:numPr>
        <w:spacing w:line="520" w:lineRule="exact"/>
        <w:ind w:firstLine="640" w:firstLineChars="20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2.项目支出10万元，占比83.33%。专项资金使用情况为：</w:t>
      </w:r>
    </w:p>
    <w:p w14:paraId="1414AA6A">
      <w:pPr>
        <w:pStyle w:val="6"/>
        <w:widowControl/>
        <w:numPr>
          <w:numId w:val="0"/>
        </w:numPr>
        <w:spacing w:line="520" w:lineRule="exact"/>
        <w:ind w:firstLine="640" w:firstLineChars="20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农土补助资金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10万元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下拨到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鹫峰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村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元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、酃峰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村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元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万）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，用于村级水利设施、生产道路建设。</w:t>
      </w:r>
    </w:p>
    <w:p w14:paraId="216101D4">
      <w:pPr>
        <w:pStyle w:val="6"/>
        <w:widowControl/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1A565782">
      <w:pPr>
        <w:pStyle w:val="6"/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2023年度炎陵县下村乡人民政府未安排国有资本经营预算，无国有资本经营预算支出。</w:t>
      </w:r>
    </w:p>
    <w:p w14:paraId="690EE68D">
      <w:pPr>
        <w:pStyle w:val="6"/>
        <w:widowControl/>
        <w:numPr>
          <w:ilvl w:val="0"/>
          <w:numId w:val="4"/>
        </w:numPr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599468C4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2023年度炎陵县下村乡人民政府未安排社会保险基金预算，无社会保险基金预算支出。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071A4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一般公共预算、政府性基金预算完成年度绩效目标任务，保障了政府各部门资金正常使用，保障了政府各部门的正常运转，实现了一般公共预算、政府性基金预算资金的使用效益。发挥</w:t>
      </w:r>
      <w:r>
        <w:rPr>
          <w:rFonts w:eastAsia="仿宋_GB2312"/>
          <w:color w:val="000000"/>
          <w:sz w:val="32"/>
          <w:szCs w:val="32"/>
        </w:rPr>
        <w:t>部门职责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严格执行</w:t>
      </w:r>
      <w:r>
        <w:rPr>
          <w:rFonts w:eastAsia="仿宋_GB2312"/>
          <w:color w:val="000000"/>
          <w:sz w:val="32"/>
          <w:szCs w:val="32"/>
        </w:rPr>
        <w:t>预算资金管理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一般公共预算、政府性基金预算资金年度在</w:t>
      </w:r>
      <w:r>
        <w:rPr>
          <w:rFonts w:eastAsia="仿宋_GB2312"/>
          <w:color w:val="000000"/>
          <w:sz w:val="32"/>
          <w:szCs w:val="32"/>
        </w:rPr>
        <w:t>履职效能、社会效应等方面，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发挥了资金使用的最大效益，为我乡可持续发展、</w:t>
      </w:r>
      <w:r>
        <w:rPr>
          <w:rFonts w:hint="eastAsia" w:eastAsia="仿宋_GB2312"/>
          <w:sz w:val="32"/>
          <w:szCs w:val="32"/>
          <w:lang w:eastAsia="zh-CN"/>
        </w:rPr>
        <w:t>发展经济、公共服务</w:t>
      </w:r>
      <w:r>
        <w:rPr>
          <w:rFonts w:hint="eastAsia" w:eastAsia="仿宋_GB2312"/>
          <w:sz w:val="32"/>
          <w:szCs w:val="32"/>
          <w:lang w:val="en-US" w:eastAsia="zh-CN"/>
        </w:rPr>
        <w:t>发挥巨大作用。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66957E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支出口子大，乡镇本身无财力支撑，无法将项目做大做强。</w:t>
      </w:r>
    </w:p>
    <w:p w14:paraId="455796B8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 w14:paraId="7B6FF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进一步加大预算执行力度，高效率使用每一笔资金，把每一笔资金都用在刀刃上。</w:t>
      </w:r>
    </w:p>
    <w:p w14:paraId="13861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eastAsia="黑体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进一步加强资金管理力度，严格把关资金使用情况，减少不必要的开支。</w:t>
      </w:r>
    </w:p>
    <w:p w14:paraId="47BCC704">
      <w:pPr>
        <w:widowControl/>
        <w:numPr>
          <w:ilvl w:val="0"/>
          <w:numId w:val="5"/>
        </w:numPr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14EC6E69">
      <w:pPr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9D9DF8"/>
    <w:multiLevelType w:val="singleLevel"/>
    <w:tmpl w:val="909D9D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6DE08EB"/>
    <w:multiLevelType w:val="singleLevel"/>
    <w:tmpl w:val="96DE08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3">
    <w:nsid w:val="EE653D51"/>
    <w:multiLevelType w:val="singleLevel"/>
    <w:tmpl w:val="EE653D5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jY2ODM3NDhkOWNlNmNjOGUyYWNlZGMxMzg4MWEifQ=="/>
  </w:docVars>
  <w:rsids>
    <w:rsidRoot w:val="00000000"/>
    <w:rsid w:val="001A7AA8"/>
    <w:rsid w:val="00E32D5A"/>
    <w:rsid w:val="00F108DF"/>
    <w:rsid w:val="01EE5E5A"/>
    <w:rsid w:val="02443CCC"/>
    <w:rsid w:val="027F2F56"/>
    <w:rsid w:val="029702A0"/>
    <w:rsid w:val="02D67282"/>
    <w:rsid w:val="02D908B8"/>
    <w:rsid w:val="046C750A"/>
    <w:rsid w:val="048605CC"/>
    <w:rsid w:val="056B77C2"/>
    <w:rsid w:val="059D3E1F"/>
    <w:rsid w:val="05AF76AE"/>
    <w:rsid w:val="05EF21A1"/>
    <w:rsid w:val="063E0A32"/>
    <w:rsid w:val="07A31495"/>
    <w:rsid w:val="07AD2313"/>
    <w:rsid w:val="08962DA7"/>
    <w:rsid w:val="08B576D2"/>
    <w:rsid w:val="0910083E"/>
    <w:rsid w:val="091F2D9D"/>
    <w:rsid w:val="09371E95"/>
    <w:rsid w:val="09434CDD"/>
    <w:rsid w:val="09D516AE"/>
    <w:rsid w:val="0A33691B"/>
    <w:rsid w:val="0A9D041D"/>
    <w:rsid w:val="0B372620"/>
    <w:rsid w:val="0C321039"/>
    <w:rsid w:val="0C6311F3"/>
    <w:rsid w:val="0C6E02C3"/>
    <w:rsid w:val="0C886EAB"/>
    <w:rsid w:val="0CF12CA2"/>
    <w:rsid w:val="0D7731A8"/>
    <w:rsid w:val="0DFA5B87"/>
    <w:rsid w:val="0E511C4A"/>
    <w:rsid w:val="0EF146A7"/>
    <w:rsid w:val="0F5F3EF3"/>
    <w:rsid w:val="0F76499A"/>
    <w:rsid w:val="0FF705D0"/>
    <w:rsid w:val="10CC380A"/>
    <w:rsid w:val="118E0AC0"/>
    <w:rsid w:val="12015736"/>
    <w:rsid w:val="13963C5C"/>
    <w:rsid w:val="13A02D2C"/>
    <w:rsid w:val="14065285"/>
    <w:rsid w:val="1461426A"/>
    <w:rsid w:val="14706BA3"/>
    <w:rsid w:val="15A703A2"/>
    <w:rsid w:val="15BF56EC"/>
    <w:rsid w:val="15DB629E"/>
    <w:rsid w:val="162C08A7"/>
    <w:rsid w:val="164B51D1"/>
    <w:rsid w:val="16AE5760"/>
    <w:rsid w:val="16E64EFA"/>
    <w:rsid w:val="179B3F36"/>
    <w:rsid w:val="189C7F66"/>
    <w:rsid w:val="18DF7E53"/>
    <w:rsid w:val="19B22605"/>
    <w:rsid w:val="19F17E3E"/>
    <w:rsid w:val="1A22449B"/>
    <w:rsid w:val="1AF23E6D"/>
    <w:rsid w:val="1C542906"/>
    <w:rsid w:val="1CD557F5"/>
    <w:rsid w:val="1D464944"/>
    <w:rsid w:val="1E3F0F8C"/>
    <w:rsid w:val="1EBD0C36"/>
    <w:rsid w:val="1F5E41C7"/>
    <w:rsid w:val="20566C4C"/>
    <w:rsid w:val="21303941"/>
    <w:rsid w:val="214178FD"/>
    <w:rsid w:val="21470C8B"/>
    <w:rsid w:val="229677D4"/>
    <w:rsid w:val="235D6544"/>
    <w:rsid w:val="236C7799"/>
    <w:rsid w:val="238E494F"/>
    <w:rsid w:val="23BF2431"/>
    <w:rsid w:val="24174945"/>
    <w:rsid w:val="247955FF"/>
    <w:rsid w:val="24B2466D"/>
    <w:rsid w:val="24DB0068"/>
    <w:rsid w:val="2561056D"/>
    <w:rsid w:val="257A33DD"/>
    <w:rsid w:val="25F807A6"/>
    <w:rsid w:val="260809E9"/>
    <w:rsid w:val="26DD00C8"/>
    <w:rsid w:val="273B3040"/>
    <w:rsid w:val="275E0459"/>
    <w:rsid w:val="27BF5A1F"/>
    <w:rsid w:val="27CC3C98"/>
    <w:rsid w:val="28177609"/>
    <w:rsid w:val="286A598B"/>
    <w:rsid w:val="28C50E13"/>
    <w:rsid w:val="295B1778"/>
    <w:rsid w:val="298F4F7D"/>
    <w:rsid w:val="29E03A2B"/>
    <w:rsid w:val="2A13795C"/>
    <w:rsid w:val="2A9036A3"/>
    <w:rsid w:val="2B033E75"/>
    <w:rsid w:val="2B373B1E"/>
    <w:rsid w:val="2BA456FE"/>
    <w:rsid w:val="2BF65788"/>
    <w:rsid w:val="2C842D93"/>
    <w:rsid w:val="2CC82C80"/>
    <w:rsid w:val="2CD23404"/>
    <w:rsid w:val="2D46629B"/>
    <w:rsid w:val="2D4C1824"/>
    <w:rsid w:val="2DBA2F11"/>
    <w:rsid w:val="2E4E3659"/>
    <w:rsid w:val="2E750BE6"/>
    <w:rsid w:val="2EEE7427"/>
    <w:rsid w:val="2F0B154A"/>
    <w:rsid w:val="2F2B5748"/>
    <w:rsid w:val="2F5C1DA5"/>
    <w:rsid w:val="3087275D"/>
    <w:rsid w:val="30F878AC"/>
    <w:rsid w:val="310B6887"/>
    <w:rsid w:val="311D7312"/>
    <w:rsid w:val="312863E3"/>
    <w:rsid w:val="31AC0DC2"/>
    <w:rsid w:val="31B934DF"/>
    <w:rsid w:val="32650F71"/>
    <w:rsid w:val="32794A1C"/>
    <w:rsid w:val="32794D73"/>
    <w:rsid w:val="32A32BDF"/>
    <w:rsid w:val="32DA370D"/>
    <w:rsid w:val="330B1B18"/>
    <w:rsid w:val="33184235"/>
    <w:rsid w:val="333948D8"/>
    <w:rsid w:val="337E678E"/>
    <w:rsid w:val="33E16D1D"/>
    <w:rsid w:val="358C5C10"/>
    <w:rsid w:val="35CB6416"/>
    <w:rsid w:val="360016DD"/>
    <w:rsid w:val="36527A5E"/>
    <w:rsid w:val="36F62AE0"/>
    <w:rsid w:val="372E04CB"/>
    <w:rsid w:val="37661A13"/>
    <w:rsid w:val="37A31457"/>
    <w:rsid w:val="37CB1876"/>
    <w:rsid w:val="386046B4"/>
    <w:rsid w:val="387C4B85"/>
    <w:rsid w:val="38E47094"/>
    <w:rsid w:val="39070FD4"/>
    <w:rsid w:val="390E5EBF"/>
    <w:rsid w:val="394E09B1"/>
    <w:rsid w:val="39A9208B"/>
    <w:rsid w:val="39E41315"/>
    <w:rsid w:val="3A1C0AAF"/>
    <w:rsid w:val="3A345DF9"/>
    <w:rsid w:val="3A865F28"/>
    <w:rsid w:val="3AB44462"/>
    <w:rsid w:val="3B1408A2"/>
    <w:rsid w:val="3B4A51A8"/>
    <w:rsid w:val="3BB70A8F"/>
    <w:rsid w:val="3BFA6BCE"/>
    <w:rsid w:val="3C0435A9"/>
    <w:rsid w:val="3C5E0F0B"/>
    <w:rsid w:val="3C700C3E"/>
    <w:rsid w:val="3CAD3C40"/>
    <w:rsid w:val="3CEF23C4"/>
    <w:rsid w:val="3D3037D9"/>
    <w:rsid w:val="3D4E71D1"/>
    <w:rsid w:val="3D9B1CEB"/>
    <w:rsid w:val="3E2D328B"/>
    <w:rsid w:val="3E310202"/>
    <w:rsid w:val="3EBE2135"/>
    <w:rsid w:val="3F76656C"/>
    <w:rsid w:val="3F854A01"/>
    <w:rsid w:val="3F8A2017"/>
    <w:rsid w:val="4001677D"/>
    <w:rsid w:val="40105ACA"/>
    <w:rsid w:val="40155D85"/>
    <w:rsid w:val="401F4E55"/>
    <w:rsid w:val="40664832"/>
    <w:rsid w:val="4071177C"/>
    <w:rsid w:val="40907B01"/>
    <w:rsid w:val="40EB11DB"/>
    <w:rsid w:val="41831414"/>
    <w:rsid w:val="419E1DAA"/>
    <w:rsid w:val="42470693"/>
    <w:rsid w:val="42CB6BCE"/>
    <w:rsid w:val="43C24475"/>
    <w:rsid w:val="443B5FD6"/>
    <w:rsid w:val="44442BE2"/>
    <w:rsid w:val="44511355"/>
    <w:rsid w:val="44586B88"/>
    <w:rsid w:val="448B4867"/>
    <w:rsid w:val="4514485C"/>
    <w:rsid w:val="45790B64"/>
    <w:rsid w:val="46CD0741"/>
    <w:rsid w:val="47217705"/>
    <w:rsid w:val="47631ACB"/>
    <w:rsid w:val="47FD3CCE"/>
    <w:rsid w:val="486F44A0"/>
    <w:rsid w:val="48B85E47"/>
    <w:rsid w:val="49BE748D"/>
    <w:rsid w:val="4A064990"/>
    <w:rsid w:val="4A1A0CCD"/>
    <w:rsid w:val="4B4334AB"/>
    <w:rsid w:val="4B6E4EE3"/>
    <w:rsid w:val="4C147838"/>
    <w:rsid w:val="4C26756B"/>
    <w:rsid w:val="4C4719BC"/>
    <w:rsid w:val="4C854292"/>
    <w:rsid w:val="4D616AAD"/>
    <w:rsid w:val="4E013DEC"/>
    <w:rsid w:val="4E5B0082"/>
    <w:rsid w:val="4F02606E"/>
    <w:rsid w:val="4F227FE6"/>
    <w:rsid w:val="4F9965F3"/>
    <w:rsid w:val="4F9D5D96"/>
    <w:rsid w:val="4FCD667C"/>
    <w:rsid w:val="50646F2B"/>
    <w:rsid w:val="509E1DC6"/>
    <w:rsid w:val="50D47596"/>
    <w:rsid w:val="50D77086"/>
    <w:rsid w:val="50E35A2B"/>
    <w:rsid w:val="51E14F93"/>
    <w:rsid w:val="520914C1"/>
    <w:rsid w:val="52B92EE7"/>
    <w:rsid w:val="52D10231"/>
    <w:rsid w:val="53542C10"/>
    <w:rsid w:val="53A25729"/>
    <w:rsid w:val="53CB2ED2"/>
    <w:rsid w:val="53FD32A8"/>
    <w:rsid w:val="5403276E"/>
    <w:rsid w:val="54C57A37"/>
    <w:rsid w:val="54D2203E"/>
    <w:rsid w:val="55540CA5"/>
    <w:rsid w:val="564B654C"/>
    <w:rsid w:val="56665134"/>
    <w:rsid w:val="57B43C7D"/>
    <w:rsid w:val="57DE0CFA"/>
    <w:rsid w:val="57EF2F07"/>
    <w:rsid w:val="57F549C2"/>
    <w:rsid w:val="58095D77"/>
    <w:rsid w:val="58466FCB"/>
    <w:rsid w:val="585341DD"/>
    <w:rsid w:val="59A85A64"/>
    <w:rsid w:val="59CD7278"/>
    <w:rsid w:val="5A2C21F1"/>
    <w:rsid w:val="5A386DE8"/>
    <w:rsid w:val="5A6E0A5B"/>
    <w:rsid w:val="5A7871E4"/>
    <w:rsid w:val="5C3D6937"/>
    <w:rsid w:val="5D8B36D2"/>
    <w:rsid w:val="5EB804F7"/>
    <w:rsid w:val="5F8605F5"/>
    <w:rsid w:val="5FE62E42"/>
    <w:rsid w:val="60244E80"/>
    <w:rsid w:val="62682234"/>
    <w:rsid w:val="635307EE"/>
    <w:rsid w:val="643C5726"/>
    <w:rsid w:val="64436AB5"/>
    <w:rsid w:val="64A357A5"/>
    <w:rsid w:val="64F93617"/>
    <w:rsid w:val="658A5521"/>
    <w:rsid w:val="65A2780B"/>
    <w:rsid w:val="65E17ED4"/>
    <w:rsid w:val="66195D1F"/>
    <w:rsid w:val="67185FD7"/>
    <w:rsid w:val="671D183F"/>
    <w:rsid w:val="673B7F17"/>
    <w:rsid w:val="674566A0"/>
    <w:rsid w:val="679A69EC"/>
    <w:rsid w:val="67EB7247"/>
    <w:rsid w:val="67F73E3E"/>
    <w:rsid w:val="6881195A"/>
    <w:rsid w:val="69216C99"/>
    <w:rsid w:val="693764BC"/>
    <w:rsid w:val="69F34AD9"/>
    <w:rsid w:val="6A0D5B9B"/>
    <w:rsid w:val="6A132A85"/>
    <w:rsid w:val="6A1D1B56"/>
    <w:rsid w:val="6A793230"/>
    <w:rsid w:val="6AF26B3F"/>
    <w:rsid w:val="6B016D82"/>
    <w:rsid w:val="6BB64010"/>
    <w:rsid w:val="6C2B055A"/>
    <w:rsid w:val="6CCD33BF"/>
    <w:rsid w:val="6DCF13B9"/>
    <w:rsid w:val="6F9C351D"/>
    <w:rsid w:val="70B24B7E"/>
    <w:rsid w:val="711315BD"/>
    <w:rsid w:val="716562BC"/>
    <w:rsid w:val="72113D4E"/>
    <w:rsid w:val="72361886"/>
    <w:rsid w:val="72695938"/>
    <w:rsid w:val="726C367A"/>
    <w:rsid w:val="7294672D"/>
    <w:rsid w:val="72D74F98"/>
    <w:rsid w:val="72DD6326"/>
    <w:rsid w:val="730218E9"/>
    <w:rsid w:val="73FB0186"/>
    <w:rsid w:val="758B3E18"/>
    <w:rsid w:val="75D73501"/>
    <w:rsid w:val="77CB0B8B"/>
    <w:rsid w:val="77CF26E1"/>
    <w:rsid w:val="77DA2E34"/>
    <w:rsid w:val="78306EF8"/>
    <w:rsid w:val="78721CEF"/>
    <w:rsid w:val="78743289"/>
    <w:rsid w:val="788F1E71"/>
    <w:rsid w:val="79273E57"/>
    <w:rsid w:val="792F71B0"/>
    <w:rsid w:val="79C124FE"/>
    <w:rsid w:val="7A9B4AFD"/>
    <w:rsid w:val="7BD94B2B"/>
    <w:rsid w:val="7BDC717B"/>
    <w:rsid w:val="7CB77BE8"/>
    <w:rsid w:val="7D1172F8"/>
    <w:rsid w:val="7D7B29C4"/>
    <w:rsid w:val="7D9341B1"/>
    <w:rsid w:val="7DEB5D9B"/>
    <w:rsid w:val="7EEC1DCB"/>
    <w:rsid w:val="7F7E49ED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1792</Words>
  <Characters>1862</Characters>
  <Lines>0</Lines>
  <Paragraphs>0</Paragraphs>
  <TotalTime>102</TotalTime>
  <ScaleCrop>false</ScaleCrop>
  <LinksUpToDate>false</LinksUpToDate>
  <CharactersWithSpaces>1862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✪ω✪</cp:lastModifiedBy>
  <dcterms:modified xsi:type="dcterms:W3CDTF">2024-09-03T03:53:38Z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DEC29D6FF1984251977FAFE43F2C91AB_12</vt:lpwstr>
  </property>
</Properties>
</file>