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2023年度炎陵县交通事务中心</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640"/>
        <w:textAlignment w:val="baseline"/>
        <w:rPr>
          <w:rFonts w:ascii="Times New Roman" w:hAnsi="Times New Roman" w:eastAsia="黑体"/>
          <w:sz w:val="32"/>
          <w:szCs w:val="32"/>
        </w:rPr>
      </w:pPr>
      <w:r>
        <w:rPr>
          <w:rFonts w:ascii="Times New Roman" w:hAnsi="Times New Roman" w:eastAsia="黑体"/>
          <w:sz w:val="32"/>
          <w:szCs w:val="32"/>
        </w:rPr>
        <w:t>基本情况</w:t>
      </w:r>
    </w:p>
    <w:p w14:paraId="1BEC913A">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10" w:leftChars="0" w:firstLine="640" w:firstLineChars="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08F87501">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jc w:val="left"/>
        <w:textAlignment w:val="baseline"/>
        <w:rPr>
          <w:rFonts w:hint="eastAsia" w:ascii="楷体_GB2312" w:hAnsi="楷体_GB2312" w:eastAsia="楷体_GB2312" w:cs="楷体_GB2312"/>
          <w:snapToGrid w:val="0"/>
          <w:color w:val="000000"/>
          <w:kern w:val="0"/>
          <w:sz w:val="32"/>
          <w:szCs w:val="32"/>
          <w:lang w:val="en-US" w:eastAsia="en-US" w:bidi="ar-SA"/>
        </w:rPr>
      </w:pPr>
      <w:r>
        <w:rPr>
          <w:rFonts w:hint="eastAsia" w:ascii="楷体_GB2312" w:hAnsi="楷体_GB2312" w:eastAsia="楷体_GB2312" w:cs="楷体_GB2312"/>
          <w:snapToGrid w:val="0"/>
          <w:color w:val="000000"/>
          <w:kern w:val="0"/>
          <w:sz w:val="32"/>
          <w:szCs w:val="32"/>
          <w:lang w:val="en-US" w:eastAsia="en-US" w:bidi="ar-SA"/>
        </w:rPr>
        <w:t>1．主要职能。炎陵县交通事务中心的主要职能职责是负责实施炎陵县辖区内公路的建设、养护和管理工作；具体组织实施辖区内公路的工程设计、施工和质量安全管理工作；负责辖区范围内的公路路政管理工作；做好辖区内公路应急抢险工作，服从全市公路应急抢险的调度、指挥。</w:t>
      </w:r>
    </w:p>
    <w:p w14:paraId="415F7CC5">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jc w:val="left"/>
        <w:textAlignment w:val="baseline"/>
        <w:rPr>
          <w:rFonts w:hint="eastAsia" w:ascii="楷体_GB2312" w:hAnsi="楷体_GB2312" w:eastAsia="楷体_GB2312" w:cs="楷体_GB2312"/>
          <w:snapToGrid w:val="0"/>
          <w:color w:val="000000"/>
          <w:kern w:val="0"/>
          <w:sz w:val="32"/>
          <w:szCs w:val="32"/>
          <w:lang w:val="en-US" w:eastAsia="en-US" w:bidi="ar-SA"/>
        </w:rPr>
      </w:pPr>
      <w:r>
        <w:rPr>
          <w:rFonts w:hint="eastAsia" w:ascii="楷体_GB2312" w:hAnsi="楷体_GB2312" w:eastAsia="楷体_GB2312" w:cs="楷体_GB2312"/>
          <w:snapToGrid w:val="0"/>
          <w:color w:val="000000"/>
          <w:kern w:val="0"/>
          <w:sz w:val="32"/>
          <w:szCs w:val="32"/>
          <w:lang w:val="en-US" w:eastAsia="en-US" w:bidi="ar-SA"/>
        </w:rPr>
        <w:t>2．机构情况。炎陵县交通事务中心为县本级一级预算单位，本部门无下属单位。单位内设办公室、财务股、应急管理股、养护股、基本建设股、路产路权股。</w:t>
      </w:r>
    </w:p>
    <w:p w14:paraId="184DB71D">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jc w:val="left"/>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en-US" w:bidi="ar-SA"/>
        </w:rPr>
        <w:t>3．人员情况。截止2023年12月底，炎陵县交通事务中心共有编制人数 48 人，现有人员39人，其中在职人员 39 人。</w:t>
      </w:r>
    </w:p>
    <w:p w14:paraId="3EED00E6">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10" w:leftChars="0" w:firstLine="640" w:firstLineChars="0"/>
        <w:textAlignment w:val="baseline"/>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w:t>
      </w:r>
    </w:p>
    <w:p w14:paraId="5556C9CE">
      <w:pPr>
        <w:pStyle w:val="6"/>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firstLine="1600" w:firstLineChars="500"/>
        <w:textAlignment w:val="baseline"/>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协调推进干线公路建设，提升路网辐射能力；做好日常养护，全力提升国省道公路通行品质；做好普通国省道公路安全生产工作，确保群众出行安全。</w:t>
      </w:r>
    </w:p>
    <w:p w14:paraId="7587B28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640" w:firstLine="0" w:firstLineChars="0"/>
        <w:textAlignment w:val="baseline"/>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640" w:firstLine="0" w:firstLineChars="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17007563">
      <w:pPr>
        <w:keepNext w:val="0"/>
        <w:keepLines w:val="0"/>
        <w:pageBreakBefore w:val="0"/>
        <w:widowControl/>
        <w:kinsoku w:val="0"/>
        <w:wordWrap/>
        <w:overflowPunct/>
        <w:topLinePunct w:val="0"/>
        <w:autoSpaceDE w:val="0"/>
        <w:autoSpaceDN w:val="0"/>
        <w:bidi w:val="0"/>
        <w:adjustRightInd w:val="0"/>
        <w:snapToGrid w:val="0"/>
        <w:spacing w:line="360" w:lineRule="auto"/>
        <w:ind w:firstLine="1600" w:firstLineChars="5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napToGrid w:val="0"/>
          <w:color w:val="000000"/>
          <w:kern w:val="0"/>
          <w:sz w:val="32"/>
          <w:szCs w:val="32"/>
          <w:lang w:val="en-US" w:eastAsia="zh-CN" w:bidi="ar-SA"/>
        </w:rPr>
        <w:t>2023年基本支出6645574.93元，占本年支出的17.43%。其中：科学技术支出51546.47元，占基本支出的0.77%；社会保障和就业支出784567.96元，占基本支出的11.81%；卫生健康支出233429.87元，占基本支出的3.51%；农林水支出97650.7元，占基本支出的1.47%；交通运输支出5038547.93元，占基本支出的75.82%；住房保障支出439832元，占基本支出的6.62%。</w:t>
      </w:r>
    </w:p>
    <w:p w14:paraId="7C11EFB6">
      <w:pPr>
        <w:pStyle w:val="6"/>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630" w:leftChars="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项目支出情况</w:t>
      </w:r>
    </w:p>
    <w:p w14:paraId="118C7C75">
      <w:pPr>
        <w:keepNext w:val="0"/>
        <w:keepLines w:val="0"/>
        <w:pageBreakBefore w:val="0"/>
        <w:widowControl/>
        <w:kinsoku w:val="0"/>
        <w:wordWrap/>
        <w:overflowPunct/>
        <w:topLinePunct w:val="0"/>
        <w:autoSpaceDE w:val="0"/>
        <w:autoSpaceDN w:val="0"/>
        <w:bidi w:val="0"/>
        <w:adjustRightInd w:val="0"/>
        <w:snapToGrid w:val="0"/>
        <w:spacing w:line="360" w:lineRule="auto"/>
        <w:ind w:firstLine="1600" w:firstLineChars="5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2023年项目支出31479876元，占本年支出的82.57%。</w:t>
      </w:r>
    </w:p>
    <w:p w14:paraId="1F905E87">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1.S205安防工程项目支出101860元。</w:t>
      </w:r>
    </w:p>
    <w:p w14:paraId="69706C24">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2.小修保养支出308004元。</w:t>
      </w:r>
    </w:p>
    <w:p w14:paraId="626B6B4C">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3.G356安防工程项目支出615595元。</w:t>
      </w:r>
    </w:p>
    <w:p w14:paraId="0D6E76E3">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4.G356路面大修项目支出80576元。</w:t>
      </w:r>
    </w:p>
    <w:p w14:paraId="79767AF2">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5.G106水毁挡土墙项目支出1720元。</w:t>
      </w:r>
    </w:p>
    <w:p w14:paraId="40E7A5E5">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6.G106路面中修工程项目支出1052206元。</w:t>
      </w:r>
    </w:p>
    <w:p w14:paraId="01E7AE90">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7.沔渡下关桥改建工程项目支出150000元。</w:t>
      </w:r>
    </w:p>
    <w:p w14:paraId="66248322">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8.2020年干线公路小修工程项目支出2030900元。</w:t>
      </w:r>
    </w:p>
    <w:p w14:paraId="700E9EEA">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9.2020年交通顽瘴痼疾治理工程项目支出620800元。</w:t>
      </w:r>
    </w:p>
    <w:p w14:paraId="63D1D269">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10.G357路面中修工程项目支出1274492元。</w:t>
      </w:r>
    </w:p>
    <w:p w14:paraId="1D858B91">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11.2021年农村公路安全生命防护工程项目支出1714807元。</w:t>
      </w:r>
    </w:p>
    <w:p w14:paraId="0F7BBC8B">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12.2020年农村公路安防工程（第二批）项目支出2050000元。</w:t>
      </w:r>
    </w:p>
    <w:p w14:paraId="5A56BB8C">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13.S204线水毁（旅游环线）工程项目支出2823343元。</w:t>
      </w:r>
    </w:p>
    <w:p w14:paraId="3C8C735A">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14.常养农村公路养护工程项目支出1700548元。</w:t>
      </w:r>
    </w:p>
    <w:p w14:paraId="1F52AD1D">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15.2022年小修保养零星工程项目支出959663元。</w:t>
      </w:r>
    </w:p>
    <w:p w14:paraId="3815879C">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16.G106线水口至中村六处挡土墙工程项目支出389145元。</w:t>
      </w:r>
    </w:p>
    <w:p w14:paraId="1DB23EF4">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17.2022年公路小修工程项目支出1241927元。</w:t>
      </w:r>
    </w:p>
    <w:p w14:paraId="54CDDF2F">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18.X174线水毁挡土墙工程项目支出35393元。</w:t>
      </w:r>
    </w:p>
    <w:p w14:paraId="738B71F0">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19.代养线路日常养护工程项目支出119503元。</w:t>
      </w:r>
    </w:p>
    <w:p w14:paraId="23F875DA">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20.常养线路公路养护工程项目支出196480元。</w:t>
      </w:r>
    </w:p>
    <w:p w14:paraId="7805CD2A">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21.乡村振兴帮扶道路维修工程项目支出31414元。</w:t>
      </w:r>
    </w:p>
    <w:p w14:paraId="085E102C">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22.S204线、S205线安防设施整改工程项目支出71640元。</w:t>
      </w:r>
    </w:p>
    <w:p w14:paraId="4BE1633D">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23.2022年农村公路安防工程项目支出2570000元。</w:t>
      </w:r>
    </w:p>
    <w:p w14:paraId="148FF4B7">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24.2021年普通国省道第二批中修G106线、S204线工程项目支出2580000元。</w:t>
      </w:r>
    </w:p>
    <w:p w14:paraId="79AB7E15">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25.X179水下线护栏安装工程项目支出500000元。</w:t>
      </w:r>
    </w:p>
    <w:p w14:paraId="7D4AF607">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26.S205线澎溪桥拆除重建工程项目支出800000元。</w:t>
      </w:r>
    </w:p>
    <w:p w14:paraId="4EFBCC85">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27.G357线米筛龙桥加固改造工程项目支出244000元。</w:t>
      </w:r>
    </w:p>
    <w:p w14:paraId="3C049303">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28.G357线炎B桥加固改造工程项目支出206000元。</w:t>
      </w:r>
    </w:p>
    <w:p w14:paraId="5B808802">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29.2023年G106国道精细化提升工程项目支出700000元。</w:t>
      </w:r>
    </w:p>
    <w:p w14:paraId="751A51C8">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640" w:firstLineChars="200"/>
        <w:jc w:val="left"/>
        <w:textAlignment w:val="baseline"/>
        <w:rPr>
          <w:rFonts w:ascii="Times New Roman" w:hAnsi="Times New Roman" w:eastAsia="黑体"/>
          <w:sz w:val="32"/>
          <w:szCs w:val="32"/>
        </w:rPr>
      </w:pPr>
      <w:r>
        <w:rPr>
          <w:rFonts w:ascii="Times New Roman" w:hAnsi="Times New Roman" w:eastAsia="黑体"/>
          <w:sz w:val="32"/>
          <w:szCs w:val="32"/>
        </w:rPr>
        <w:t>政府性基金预算支出情况</w:t>
      </w:r>
    </w:p>
    <w:p w14:paraId="7B2026C8">
      <w:pPr>
        <w:pStyle w:val="6"/>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Chars="200"/>
        <w:jc w:val="left"/>
        <w:textAlignment w:val="baseline"/>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楷体_GB2312" w:hAnsi="楷体_GB2312" w:eastAsia="楷体_GB2312" w:cs="楷体_GB2312"/>
          <w:snapToGrid w:val="0"/>
          <w:color w:val="000000"/>
          <w:kern w:val="0"/>
          <w:sz w:val="32"/>
          <w:szCs w:val="32"/>
          <w:lang w:val="en-US" w:eastAsia="zh-CN" w:bidi="ar-SA"/>
        </w:rPr>
        <w:t xml:space="preserve"> 无。</w:t>
      </w:r>
    </w:p>
    <w:p w14:paraId="216101D4">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640" w:firstLineChars="200"/>
        <w:jc w:val="left"/>
        <w:textAlignment w:val="baseline"/>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6644ED12">
      <w:pPr>
        <w:pStyle w:val="6"/>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Chars="200"/>
        <w:jc w:val="left"/>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Times New Roman" w:hAnsi="Times New Roman" w:eastAsia="黑体"/>
          <w:sz w:val="32"/>
          <w:szCs w:val="32"/>
          <w:lang w:val="en-US" w:eastAsia="zh-CN"/>
        </w:rPr>
        <w:t xml:space="preserve">     </w:t>
      </w:r>
      <w:r>
        <w:rPr>
          <w:rFonts w:hint="eastAsia" w:ascii="楷体_GB2312" w:hAnsi="楷体_GB2312" w:eastAsia="楷体_GB2312" w:cs="楷体_GB2312"/>
          <w:snapToGrid w:val="0"/>
          <w:color w:val="000000"/>
          <w:kern w:val="0"/>
          <w:sz w:val="32"/>
          <w:szCs w:val="32"/>
          <w:lang w:val="en-US" w:eastAsia="zh-CN" w:bidi="ar-SA"/>
        </w:rPr>
        <w:t>无。</w:t>
      </w:r>
    </w:p>
    <w:p w14:paraId="690EE68D">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640" w:firstLineChars="200"/>
        <w:jc w:val="left"/>
        <w:textAlignment w:val="baseline"/>
        <w:rPr>
          <w:rFonts w:ascii="Times New Roman" w:hAnsi="Times New Roman" w:eastAsia="黑体"/>
          <w:sz w:val="32"/>
          <w:szCs w:val="32"/>
        </w:rPr>
      </w:pPr>
      <w:r>
        <w:rPr>
          <w:rFonts w:ascii="Times New Roman" w:hAnsi="Times New Roman" w:eastAsia="黑体"/>
          <w:sz w:val="32"/>
          <w:szCs w:val="32"/>
        </w:rPr>
        <w:t>社会保险基金预算支出情况</w:t>
      </w:r>
    </w:p>
    <w:p w14:paraId="5218CFB2">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1.社会保障和就业支出（类）行政事业单位养老支出（款）机关事业单位基本养老保险缴费支出（项）。年初预      算为545740元，支出决算为543637.12元，完成年初预算的  99.61%，原因为人员的调入和调出。</w:t>
      </w:r>
    </w:p>
    <w:p w14:paraId="52DC1A2D">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2.社会保障和就业支出（类）抚恤（款）死亡抚恤（项），年初预算为0元，支出决算为189871.6元。</w:t>
      </w:r>
    </w:p>
    <w:p w14:paraId="69FBF958">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3.社会保障和就业支出（类）财政对其他社会保险基金的补助（款）财政对失业保险基金的补助（项），年初预算为16288元，支出决算为16097.31元，完成年初预算的98.83%，原因为人员的调入和调出。</w:t>
      </w:r>
    </w:p>
    <w:p w14:paraId="63CD36E6">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4.社会保障和就业支出（类）财政对其他社会保险基金的补助（款）财政对工伤保险基金的补助（项），年初预算为35224元，支出决算为34961.93元，完成年初预算的99.25%，原因为的调入和调出。</w:t>
      </w:r>
    </w:p>
    <w:p w14:paraId="075481DE">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5.卫生健康支出（类）行政事业单位医疗（款）事业单位医疗（项），年初预算为225237元，支出决算为223929.87元，完成年初预算的99.42%，原因为人员的调入和调出。</w:t>
      </w:r>
    </w:p>
    <w:p w14:paraId="0CE00408">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6.卫生健康支出（类）行政事业单位医疗（款）公务员医疗补助（项），年初预算为77677元，支出决算为0元。</w:t>
      </w:r>
    </w:p>
    <w:p w14:paraId="13C074D9">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7.卫生健康支出（类）行政事业单位医疗（款）其他行政事业单位医疗支出（项），年初预算为9440元，支出决算为9500元，完成年初预算的100.63%，原因为的调入和调出。</w:t>
      </w:r>
    </w:p>
    <w:p w14:paraId="083744CC">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Times New Roman" w:hAnsi="Times New Roman" w:eastAsia="黑体"/>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8.住房保障支出（类）住房改革支出（款）住房公积金（项），年初预算为444068元，支出决算为439822元，完成年初预算的99.04%，预算数大于决算数的主要原因是人员调进调出。</w:t>
      </w:r>
    </w:p>
    <w:p w14:paraId="7074D3E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640" w:firstLineChars="200"/>
        <w:jc w:val="left"/>
        <w:textAlignment w:val="baseline"/>
        <w:rPr>
          <w:rFonts w:eastAsia="黑体"/>
          <w:sz w:val="32"/>
          <w:szCs w:val="32"/>
        </w:rPr>
      </w:pPr>
      <w:r>
        <w:rPr>
          <w:rFonts w:eastAsia="黑体"/>
          <w:sz w:val="32"/>
          <w:szCs w:val="32"/>
        </w:rPr>
        <w:t>部门整体支出绩效情况</w:t>
      </w:r>
    </w:p>
    <w:p w14:paraId="25EF43EF">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1.以党建思想为引领，开展优质党建工作。</w:t>
      </w:r>
    </w:p>
    <w:p w14:paraId="70F6D859">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一是学习贯彻习近平新时代中国特色社会主义思想主题教育，按照主题教育“学思想、强党性、重实践、建新功”的总要求，围绕“以学铸魂、以学增智、以学正风、以学促干”列出四个专题，进行专题研讨。二是开展“一月一课一片一实践”活动，推进理论实践相结合。读原著悟原话，广泛学习中央、省委、市委、县最新文件和讲话精神，贯彻落实相关政策，每月一实践，了解群众的困难和建议，切实分类解决相关问题，共入户走访365户，收集问题63个，解决群众困难38件；三是严格落实乡村振兴驻村帮扶工作。在黄桃销售季期间，累计助力销售黄桃12000余斤。在每季度入户走访期间，按照结对帮扶“四个一”要求落实结对工作,结合互联网时代创新工作方法，在高路村组织举办了一期黄桃种植和电商培训。</w:t>
      </w:r>
    </w:p>
    <w:p w14:paraId="73FA1088">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2.做好公路应急抢险，确保公路安全畅通。</w:t>
      </w:r>
    </w:p>
    <w:p w14:paraId="013AD0D5">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传达学习习近平总书记关于应急管理、防灾减灾工作的重要指示精神，强化公路人担当，积极应对极端天气防汛物资储备的准备和巡查值守工作，积极主动应对自然灾害，做好节假日期间、两会特护期应急处置和安全稳定工作，把公路安防设施和运营安全作为工作重点，加强日常养护和巡查检查，做到早谋划、早部署、早行动。</w:t>
      </w:r>
    </w:p>
    <w:p w14:paraId="114AA653">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目前我中心应急管理股普通公路应急抢险队、农村常养公路应急抢险队、养护项目工程应急抢险队三支应急队伍完成国省公路、常养农村公路严重水毁灾害路段修复10处，出动应急抢险150次数，抢通阻断交通15次，处置、清理120余处水毁灾害塌方65000余立方米，真正做到灾情发生后有行动、有举措、有效率、有保障。</w:t>
      </w:r>
    </w:p>
    <w:p w14:paraId="4E0A19E2">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3.扎实推进日常养护，提升公路路况水平。</w:t>
      </w:r>
    </w:p>
    <w:p w14:paraId="6E2D6AB7">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根据我县农村公路的养护特点起草了《“四好农村公路”养护指导性意见》，对我县农村公路养护规范化、标准化进行指导，为乡镇“四好农村路”建设做好服务、助推工作。</w:t>
      </w:r>
    </w:p>
    <w:p w14:paraId="4BA260F1">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2023年日常性养护共完成：路面修补3600平方米，修复护墙300余立方米，完善警示标志标牌150余块，更换弯道凸面镜15块，增设限速标志10块，增设标线5000平方米、清理公路交通标志被草木遮挡30处，修复安防设施30000余延米，清理淤塞水沟16000延米，路肩割草350公里次，铲挖整修路肩4300平方米，砌筑挡土墙116立方米，清理涵洞3道，整理沿线路容路貌120人次。路面灌缝11000米，修复桥栏113米。</w:t>
      </w:r>
    </w:p>
    <w:p w14:paraId="5FD80F3B">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4.全力推进工程项目，优化公路通行环境。</w:t>
      </w:r>
    </w:p>
    <w:p w14:paraId="5356E25D">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一是按时完成四个项目建设工程。其中包括S204线5处水毁修复工程，已于8月份已全面完工；2021年第二批7.55公里路面中修工程，已于8月份已全面完工；2022年第一批16.397公里路面中修工程，已于8月份已全面完工；米筛龙桥、炎B桥危旧桥改造工程，已于9月份全面完工；二是推进二个在建养护工程项目。2022年农村公路生命安全防护工程53公里，目前完成进度为80%，预计可在11月份完工；澎溪桥拆除重建工程于6月份开工，目前正在进行下部结构施工，预计2024年5月前完工；三是筹备开工五个建设项目。目前5个项目已完成招标，即将进入施工阶段，2023年农村公路安防工程，建设里程65.791公里；S563省道安全设施精细化提升工程，建设里程10.352公里；G106国道安全设施精细化提升工程，建设里程25.11公里；2022年第二批干线公路路面中修工程，建设里程18.51公里，均计划今年完工；黄石桥拆除重建工程，计划2024年5月份完工。</w:t>
      </w:r>
    </w:p>
    <w:p w14:paraId="35EA380D">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5.以常态管理为抓手，抓好安全生产责任落实。</w:t>
      </w:r>
    </w:p>
    <w:p w14:paraId="1E9042EC">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一是认真落实领导干部带队检查工作制度，以常态化“回头看”为抓手，领导干部按要求每月、每季，采取不定期“四不两直”开展带队检查工作41次。二是严格设计、监理单位履职尽，严厉打击和纠正安全生产非法违法和违规违章行为。通过查资料、看现场等形式督促落实监管责任，自查自改风险隐患30处，不能一时整改的采取相应保全安全措施。三是深刻吸取四川省凉山州“8.21”山洪事件、陕西蓝田交通事故案例教训，坚决遏制和防范类似事故发生，组织开展公路行业领域潜在风险隐患、重大事故隐患专项排查整治行动、交通问题顽障痼疾系统整治行动等专项整治、推动道路交通安全风险路段隐患清零，当前安全生产形势持续稳定，公路运营环境条件良好，无发生生产安全责任事故。</w:t>
      </w:r>
    </w:p>
    <w:p w14:paraId="7BF2FCED">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6.以法律法规为准绳，规范路域环境整治处理。</w:t>
      </w:r>
    </w:p>
    <w:p w14:paraId="5CDFE29B">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一是开展路域环境集中整治活动。截至10月中旬，累计上路巡查约230余车次，巡查总里程16062公里，下达责任整改告知书15份，清理道路违章堆放物25处，拆除占用路肩违章砌墙2起，办理路产赔偿案6起，全年共收取损坏公路附属设施赔偿费共计29923元。协助交通运输路政综合执法大队开展联合巡查整治行动1次，收取罚没款5万元；二是开展路产路权“路政宣传月”活动，联合路政执法大队开展路产路权宣传活动1次，悬挂《公路法》、《公路安全保护条例》等法律法规宣传横幅12条，发放普法宣传资料100多份，接受宣传教育300余人。</w:t>
      </w:r>
    </w:p>
    <w:p w14:paraId="40A07C61">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640" w:firstLineChars="200"/>
        <w:jc w:val="left"/>
        <w:textAlignment w:val="baseline"/>
        <w:rPr>
          <w:rFonts w:ascii="Times New Roman" w:hAnsi="Times New Roman" w:eastAsia="黑体"/>
          <w:sz w:val="32"/>
          <w:szCs w:val="32"/>
        </w:rPr>
      </w:pPr>
      <w:r>
        <w:rPr>
          <w:rFonts w:ascii="Times New Roman" w:hAnsi="Times New Roman" w:eastAsia="黑体"/>
          <w:sz w:val="32"/>
          <w:szCs w:val="32"/>
        </w:rPr>
        <w:t>存在的问题及原因分析</w:t>
      </w:r>
    </w:p>
    <w:p w14:paraId="45F52AF3">
      <w:pPr>
        <w:pStyle w:val="7"/>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firstLine="1280" w:firstLineChars="400"/>
        <w:jc w:val="both"/>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审计、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进一步完善财政预决算、“三公经费”及重大专项公开工作。使重大项目管理制度更加科学合理，程序更加规范透明，分配更加公平公正，资金更加安全高效。</w:t>
      </w:r>
    </w:p>
    <w:p w14:paraId="455796B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640" w:firstLineChars="200"/>
        <w:jc w:val="left"/>
        <w:textAlignment w:val="baseline"/>
        <w:rPr>
          <w:rFonts w:eastAsia="黑体"/>
          <w:sz w:val="32"/>
          <w:szCs w:val="32"/>
        </w:rPr>
      </w:pPr>
      <w:r>
        <w:rPr>
          <w:rFonts w:eastAsia="黑体"/>
          <w:sz w:val="32"/>
          <w:szCs w:val="32"/>
        </w:rPr>
        <w:t>下一步改进措施</w:t>
      </w:r>
    </w:p>
    <w:p w14:paraId="227C4FF7">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审计、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进一步完善财政预决算、“三公经费”及重大专项公开工作。使重大项目管理制度更加科学合理，程序更加规范透明，分配更加公平公正，资金更加安全高效。科学合理编制部门预算，进一步细化预算，增强预算约束意识，提高科学化、精细化预算管理水平。进一步健全机关各项财务制度，完善经费使用内部控制制度，建设阳光财务，提高资金效益。</w:t>
      </w:r>
    </w:p>
    <w:p w14:paraId="47BCC704">
      <w:pPr>
        <w:keepNext w:val="0"/>
        <w:keepLines w:val="0"/>
        <w:pageBreakBefore w:val="0"/>
        <w:widowControl/>
        <w:kinsoku w:val="0"/>
        <w:wordWrap/>
        <w:overflowPunct/>
        <w:topLinePunct w:val="0"/>
        <w:autoSpaceDE w:val="0"/>
        <w:autoSpaceDN w:val="0"/>
        <w:bidi w:val="0"/>
        <w:adjustRightInd w:val="0"/>
        <w:snapToGrid w:val="0"/>
        <w:spacing w:line="360" w:lineRule="auto"/>
        <w:ind w:firstLine="645"/>
        <w:jc w:val="left"/>
        <w:textAlignment w:val="baseline"/>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8C275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eastAsia="宋体"/>
          <w:lang w:val="en-US" w:eastAsia="zh-CN"/>
        </w:rPr>
        <w:t xml:space="preserve">       </w:t>
      </w:r>
      <w:r>
        <w:rPr>
          <w:rFonts w:hint="eastAsia" w:ascii="楷体_GB2312" w:hAnsi="楷体_GB2312" w:eastAsia="楷体_GB2312" w:cs="楷体_GB2312"/>
          <w:snapToGrid w:val="0"/>
          <w:color w:val="000000"/>
          <w:kern w:val="0"/>
          <w:sz w:val="32"/>
          <w:szCs w:val="32"/>
          <w:lang w:val="en-US" w:eastAsia="zh-CN" w:bidi="ar-SA"/>
        </w:rPr>
        <w:t xml:space="preserve">   无。</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M2Y1Mzk3ZWNjYjU1NjBkNmY0MDdhYTYwOTgzMGEifQ=="/>
  </w:docVars>
  <w:rsids>
    <w:rsidRoot w:val="00000000"/>
    <w:rsid w:val="13497394"/>
    <w:rsid w:val="14B066B0"/>
    <w:rsid w:val="15BF56EC"/>
    <w:rsid w:val="35CB6416"/>
    <w:rsid w:val="4B4334AB"/>
    <w:rsid w:val="5403276E"/>
    <w:rsid w:val="54C57A37"/>
    <w:rsid w:val="736A5E0C"/>
    <w:rsid w:val="7CF65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 w:type="paragraph" w:customStyle="1" w:styleId="7">
    <w:name w:val="p0"/>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453</Words>
  <Characters>458</Characters>
  <Lines>0</Lines>
  <Paragraphs>0</Paragraphs>
  <TotalTime>11</TotalTime>
  <ScaleCrop>false</ScaleCrop>
  <LinksUpToDate>false</LinksUpToDate>
  <CharactersWithSpaces>458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dcterms:modified xsi:type="dcterms:W3CDTF">2024-08-29T07:12:52Z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DEC29D6FF1984251977FAFE43F2C91AB_12</vt:lpwstr>
  </property>
</Properties>
</file>