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02B8">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7418B49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344C84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C06A9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B12E35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2023年度炎陵县园林绿化中心（炎陵县湘山公园事务中心）部门</w:t>
      </w:r>
      <w:r>
        <w:rPr>
          <w:rFonts w:hint="eastAsia" w:ascii="方正小标宋简体" w:hAnsi="方正小标宋简体" w:eastAsia="方正小标宋简体" w:cs="方正小标宋简体"/>
          <w:sz w:val="44"/>
          <w:szCs w:val="44"/>
        </w:rPr>
        <w:t>整体支出绩效</w:t>
      </w:r>
    </w:p>
    <w:p w14:paraId="18E0ACB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4A36DBC7">
      <w:pPr>
        <w:spacing w:line="600" w:lineRule="exact"/>
        <w:jc w:val="center"/>
        <w:rPr>
          <w:rFonts w:eastAsia="楷体_GB2312"/>
          <w:sz w:val="32"/>
          <w:szCs w:val="32"/>
        </w:rPr>
      </w:pPr>
      <w:r>
        <w:rPr>
          <w:rFonts w:eastAsia="楷体_GB2312"/>
          <w:sz w:val="32"/>
          <w:szCs w:val="32"/>
        </w:rPr>
        <w:t>（参考</w:t>
      </w:r>
      <w:r>
        <w:rPr>
          <w:rFonts w:hint="eastAsia" w:eastAsia="楷体_GB2312"/>
          <w:sz w:val="32"/>
          <w:szCs w:val="32"/>
          <w:lang w:val="en-US" w:eastAsia="zh-CN"/>
        </w:rPr>
        <w:t>格式</w:t>
      </w:r>
      <w:r>
        <w:rPr>
          <w:rFonts w:eastAsia="楷体_GB2312"/>
          <w:sz w:val="32"/>
          <w:szCs w:val="32"/>
        </w:rPr>
        <w:t>）</w:t>
      </w:r>
    </w:p>
    <w:p w14:paraId="1092C427">
      <w:pPr>
        <w:spacing w:line="600" w:lineRule="exact"/>
        <w:jc w:val="center"/>
        <w:rPr>
          <w:rFonts w:eastAsia="楷体_GB2312"/>
          <w:sz w:val="32"/>
          <w:szCs w:val="32"/>
        </w:rPr>
      </w:pPr>
    </w:p>
    <w:p w14:paraId="0C1E4004">
      <w:pPr>
        <w:spacing w:line="600" w:lineRule="exact"/>
        <w:jc w:val="center"/>
        <w:rPr>
          <w:rFonts w:eastAsia="楷体_GB2312"/>
          <w:sz w:val="32"/>
          <w:szCs w:val="32"/>
        </w:rPr>
      </w:pPr>
    </w:p>
    <w:p w14:paraId="5C100465">
      <w:pPr>
        <w:spacing w:line="600" w:lineRule="exact"/>
        <w:jc w:val="center"/>
        <w:rPr>
          <w:rFonts w:eastAsia="楷体_GB2312"/>
          <w:sz w:val="32"/>
          <w:szCs w:val="32"/>
        </w:rPr>
      </w:pPr>
    </w:p>
    <w:p w14:paraId="2DF083AE">
      <w:pPr>
        <w:spacing w:line="600" w:lineRule="exact"/>
        <w:jc w:val="center"/>
        <w:rPr>
          <w:rFonts w:eastAsia="楷体_GB2312"/>
          <w:sz w:val="32"/>
          <w:szCs w:val="32"/>
        </w:rPr>
      </w:pPr>
    </w:p>
    <w:p w14:paraId="74196BBD">
      <w:pPr>
        <w:spacing w:line="600" w:lineRule="exact"/>
        <w:jc w:val="center"/>
        <w:rPr>
          <w:rFonts w:eastAsia="楷体_GB2312"/>
          <w:sz w:val="32"/>
          <w:szCs w:val="32"/>
        </w:rPr>
      </w:pPr>
    </w:p>
    <w:p w14:paraId="4040D673">
      <w:pPr>
        <w:spacing w:line="600" w:lineRule="exact"/>
        <w:jc w:val="center"/>
        <w:rPr>
          <w:rFonts w:eastAsia="楷体_GB2312"/>
          <w:sz w:val="32"/>
          <w:szCs w:val="32"/>
        </w:rPr>
      </w:pPr>
    </w:p>
    <w:p w14:paraId="62E70CD4">
      <w:pPr>
        <w:spacing w:line="600" w:lineRule="exact"/>
        <w:jc w:val="center"/>
        <w:rPr>
          <w:rFonts w:eastAsia="楷体_GB2312"/>
          <w:sz w:val="32"/>
          <w:szCs w:val="32"/>
        </w:rPr>
      </w:pPr>
    </w:p>
    <w:p w14:paraId="54E07EEE">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5F835152">
      <w:pPr>
        <w:spacing w:line="600" w:lineRule="exact"/>
        <w:jc w:val="center"/>
        <w:rPr>
          <w:rFonts w:hint="eastAsia" w:ascii="黑体" w:hAnsi="黑体" w:eastAsia="黑体" w:cs="黑体"/>
          <w:sz w:val="36"/>
          <w:szCs w:val="36"/>
          <w:lang w:val="en-US" w:eastAsia="zh-CN"/>
        </w:rPr>
      </w:pPr>
    </w:p>
    <w:p w14:paraId="2441CC91">
      <w:pPr>
        <w:spacing w:line="600" w:lineRule="exact"/>
        <w:jc w:val="center"/>
        <w:rPr>
          <w:rFonts w:hint="eastAsia" w:ascii="黑体" w:hAnsi="黑体" w:eastAsia="黑体" w:cs="黑体"/>
          <w:sz w:val="36"/>
          <w:szCs w:val="36"/>
          <w:lang w:val="en-US" w:eastAsia="zh-CN"/>
        </w:rPr>
      </w:pPr>
    </w:p>
    <w:p w14:paraId="3005725E">
      <w:pPr>
        <w:spacing w:line="600" w:lineRule="exact"/>
        <w:jc w:val="center"/>
        <w:rPr>
          <w:rFonts w:hint="eastAsia" w:ascii="黑体" w:hAnsi="黑体" w:eastAsia="黑体" w:cs="黑体"/>
          <w:sz w:val="36"/>
          <w:szCs w:val="36"/>
          <w:lang w:val="en-US" w:eastAsia="zh-CN"/>
        </w:rPr>
      </w:pPr>
    </w:p>
    <w:p w14:paraId="67784FAD">
      <w:pPr>
        <w:spacing w:line="600" w:lineRule="exact"/>
        <w:jc w:val="center"/>
        <w:rPr>
          <w:rFonts w:hint="eastAsia" w:ascii="黑体" w:hAnsi="黑体" w:eastAsia="黑体" w:cs="黑体"/>
          <w:sz w:val="36"/>
          <w:szCs w:val="36"/>
          <w:lang w:val="en-US" w:eastAsia="zh-CN"/>
        </w:rPr>
      </w:pPr>
    </w:p>
    <w:p w14:paraId="34982D0E">
      <w:pPr>
        <w:spacing w:line="600" w:lineRule="exact"/>
        <w:jc w:val="center"/>
        <w:rPr>
          <w:rFonts w:hint="eastAsia" w:ascii="黑体" w:hAnsi="黑体" w:eastAsia="黑体" w:cs="黑体"/>
          <w:sz w:val="36"/>
          <w:szCs w:val="36"/>
          <w:lang w:val="en-US" w:eastAsia="zh-CN"/>
        </w:rPr>
      </w:pPr>
    </w:p>
    <w:p w14:paraId="6B59F9FE">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746049">
      <w:pPr>
        <w:rPr>
          <w:rFonts w:eastAsia="楷体_GB2312"/>
          <w:sz w:val="32"/>
          <w:szCs w:val="32"/>
        </w:rPr>
      </w:pPr>
      <w:r>
        <w:rPr>
          <w:rFonts w:hint="eastAsia" w:ascii="仿宋_GB2312" w:hAnsi="仿宋_GB2312" w:eastAsia="仿宋_GB2312" w:cs="仿宋_GB2312"/>
          <w:sz w:val="32"/>
          <w:szCs w:val="32"/>
          <w:lang w:val="en-US" w:eastAsia="zh-CN"/>
        </w:rPr>
        <w:br w:type="page"/>
      </w:r>
    </w:p>
    <w:p w14:paraId="42B2BC85">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7D79EB61">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4226692E">
      <w:pPr>
        <w:pStyle w:val="6"/>
        <w:widowControl/>
        <w:numPr>
          <w:ilvl w:val="0"/>
          <w:numId w:val="3"/>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主要职能：主要负责全县城园林绿化树木的管护与养护工作。负责湘山公园森林防火和管理职责。</w:t>
      </w:r>
    </w:p>
    <w:p w14:paraId="102CD217">
      <w:pPr>
        <w:pStyle w:val="6"/>
        <w:widowControl/>
        <w:numPr>
          <w:ilvl w:val="0"/>
          <w:numId w:val="3"/>
        </w:numPr>
        <w:spacing w:line="520" w:lineRule="exact"/>
        <w:ind w:left="630" w:left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机构情况：我单位内设机构4个，分别为办公室、计财股、园林绿化股、管护股。属副科级公益一类事业单位，财政全额拨款的二级预算单位，财务独立核算单位，执行事业单位会计制度。</w:t>
      </w:r>
    </w:p>
    <w:p w14:paraId="050C9C76">
      <w:pPr>
        <w:pStyle w:val="6"/>
        <w:widowControl/>
        <w:numPr>
          <w:ilvl w:val="0"/>
          <w:numId w:val="3"/>
        </w:numPr>
        <w:spacing w:line="520" w:lineRule="exact"/>
        <w:ind w:left="630" w:left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人员情况：根据编办核定，我单位实有编制13名，在岗在职10名，退休人员2名。</w:t>
      </w:r>
    </w:p>
    <w:p w14:paraId="24E2CBD1">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我单位2023年城区绿化养护专项支出，从项目开工、资金落实、项目验收到财务管理、项目产出、项目效益各项合理规范，最大限度发挥了财政资金的效益，社会公众满意度及可待续影响力也较好。</w:t>
      </w:r>
    </w:p>
    <w:p w14:paraId="325C1B8E">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384684F1">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B5A2ABE">
      <w:pPr>
        <w:pStyle w:val="6"/>
        <w:widowControl/>
        <w:spacing w:line="520" w:lineRule="exact"/>
        <w:ind w:left="640" w:firstLine="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2023年基本支出为537.47万元，其中人员经费134.25万元，日常公用经费98.45万元。</w:t>
      </w:r>
    </w:p>
    <w:p w14:paraId="5E575E63">
      <w:pPr>
        <w:pStyle w:val="6"/>
        <w:widowControl/>
        <w:spacing w:line="520" w:lineRule="exact"/>
        <w:ind w:left="640" w:firstLine="0" w:firstLineChars="0"/>
        <w:rPr>
          <w:rFonts w:eastAsia="仿宋_GB2312"/>
          <w:sz w:val="32"/>
          <w:szCs w:val="32"/>
        </w:rPr>
      </w:pPr>
      <w:r>
        <w:rPr>
          <w:rFonts w:hint="eastAsia" w:ascii="楷体_GB2312" w:hAnsi="楷体_GB2312" w:eastAsia="楷体_GB2312" w:cs="楷体_GB2312"/>
          <w:sz w:val="32"/>
          <w:szCs w:val="32"/>
        </w:rPr>
        <w:t>（二）项目支出情况</w:t>
      </w:r>
    </w:p>
    <w:p w14:paraId="4D56CD25">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eastAsia="zh-CN"/>
        </w:rPr>
        <w:t>一是</w:t>
      </w:r>
      <w:r>
        <w:rPr>
          <w:rFonts w:hint="eastAsia" w:eastAsia="仿宋_GB2312"/>
          <w:sz w:val="32"/>
          <w:szCs w:val="32"/>
          <w:lang w:val="en-US" w:eastAsia="zh-CN"/>
        </w:rPr>
        <w:t>2023年项目总支出304.77万元，项目明细如下：城区绿化养护98.87万元，湘山门楼楼顶釉璃瓦维修34.18万元，九龙高新区新增绿地养护26.65万元，辛丑年祭祀炎帝陵典礼活动40.60万元，2022年县主要街道花箱花卉更换种植24万元，县城区解放路延伸段绿化费8.9万元，2021、2022中国节维护费64.18万元，湘山公园挡土墙项目7.39万元。</w:t>
      </w:r>
    </w:p>
    <w:p w14:paraId="2FB23020">
      <w:pPr>
        <w:widowControl/>
        <w:spacing w:line="520" w:lineRule="exact"/>
        <w:ind w:firstLine="640" w:firstLineChars="200"/>
        <w:jc w:val="left"/>
        <w:rPr>
          <w:rFonts w:eastAsia="仿宋_GB2312"/>
          <w:sz w:val="32"/>
          <w:szCs w:val="32"/>
        </w:rPr>
      </w:pPr>
      <w:r>
        <w:rPr>
          <w:rFonts w:eastAsia="仿宋_GB2312"/>
          <w:sz w:val="32"/>
          <w:szCs w:val="32"/>
        </w:rPr>
        <w:t>二是</w:t>
      </w:r>
      <w:r>
        <w:rPr>
          <w:rFonts w:hint="eastAsia" w:eastAsia="仿宋_GB2312"/>
          <w:sz w:val="32"/>
          <w:szCs w:val="32"/>
          <w:lang w:eastAsia="zh-CN"/>
        </w:rPr>
        <w:t>无</w:t>
      </w:r>
      <w:r>
        <w:rPr>
          <w:rFonts w:eastAsia="仿宋_GB2312"/>
          <w:sz w:val="32"/>
          <w:szCs w:val="32"/>
        </w:rPr>
        <w:t>专项资金以外的其他项目支出情况。</w:t>
      </w:r>
    </w:p>
    <w:p w14:paraId="7D90DA35">
      <w:pPr>
        <w:pStyle w:val="6"/>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0F68B544">
      <w:pPr>
        <w:pStyle w:val="6"/>
        <w:widowControl/>
        <w:numPr>
          <w:ilvl w:val="0"/>
          <w:numId w:val="0"/>
        </w:numPr>
        <w:spacing w:line="520" w:lineRule="exact"/>
        <w:ind w:firstLine="640" w:firstLineChars="20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2023年度政府性基金预算财政拨款收入304.77万元；年初结转和结余0元；支出304.77万元。</w:t>
      </w:r>
    </w:p>
    <w:p w14:paraId="39E10543">
      <w:pPr>
        <w:pStyle w:val="6"/>
        <w:widowControl/>
        <w:numPr>
          <w:ilvl w:val="0"/>
          <w:numId w:val="4"/>
        </w:numPr>
        <w:spacing w:line="520" w:lineRule="exact"/>
        <w:ind w:left="0" w:leftChars="0" w:firstLine="640" w:firstLineChars="200"/>
        <w:jc w:val="left"/>
        <w:rPr>
          <w:rFonts w:hint="eastAsia" w:ascii="仿宋" w:hAnsi="仿宋" w:eastAsia="仿宋" w:cs="仿宋"/>
          <w:sz w:val="32"/>
          <w:szCs w:val="32"/>
          <w:lang w:val="en-US" w:eastAsia="zh-CN"/>
        </w:rPr>
      </w:pPr>
      <w:r>
        <w:rPr>
          <w:rFonts w:hint="eastAsia" w:ascii="Times New Roman" w:hAnsi="Times New Roman" w:eastAsia="黑体"/>
          <w:sz w:val="32"/>
          <w:szCs w:val="32"/>
          <w:lang w:val="en-US" w:eastAsia="zh-CN"/>
        </w:rPr>
        <w:t>国有资本经营预算支出情况：无</w:t>
      </w:r>
    </w:p>
    <w:p w14:paraId="17E41446">
      <w:pPr>
        <w:pStyle w:val="6"/>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202EE82E">
      <w:pPr>
        <w:snapToGrid w:val="0"/>
        <w:spacing w:line="520" w:lineRule="exact"/>
        <w:ind w:firstLine="640" w:firstLineChars="200"/>
        <w:rPr>
          <w:rFonts w:eastAsia="仿宋_GB2312"/>
          <w:sz w:val="32"/>
          <w:szCs w:val="32"/>
        </w:rPr>
      </w:pPr>
      <w:r>
        <w:rPr>
          <w:rFonts w:hint="eastAsia" w:ascii="仿宋" w:hAnsi="仿宋" w:eastAsia="仿宋" w:cs="仿宋"/>
          <w:sz w:val="32"/>
          <w:szCs w:val="32"/>
          <w:lang w:val="en-US" w:eastAsia="zh-CN"/>
        </w:rPr>
        <w:t xml:space="preserve"> </w:t>
      </w:r>
      <w:r>
        <w:rPr>
          <w:rFonts w:hint="eastAsia" w:eastAsia="仿宋_GB2312"/>
          <w:sz w:val="32"/>
          <w:szCs w:val="32"/>
        </w:rPr>
        <w:t>1</w:t>
      </w:r>
      <w:r>
        <w:rPr>
          <w:rFonts w:hint="eastAsia" w:eastAsia="仿宋_GB2312"/>
          <w:sz w:val="32"/>
          <w:szCs w:val="32"/>
          <w:lang w:eastAsia="zh-CN"/>
        </w:rPr>
        <w:t>、</w:t>
      </w:r>
      <w:r>
        <w:rPr>
          <w:rFonts w:hint="eastAsia" w:eastAsia="仿宋_GB2312"/>
          <w:sz w:val="32"/>
          <w:szCs w:val="32"/>
        </w:rPr>
        <w:t>社会保障和就业支出（类）行政事业单位离退休（款）机关事业单位基本养老保险缴费支出（项）。</w:t>
      </w:r>
    </w:p>
    <w:p w14:paraId="6B7C0FFC">
      <w:pPr>
        <w:snapToGrid w:val="0"/>
        <w:spacing w:line="520" w:lineRule="exact"/>
        <w:ind w:firstLine="640" w:firstLineChars="200"/>
        <w:rPr>
          <w:rFonts w:hint="default" w:eastAsia="仿宋_GB2312"/>
          <w:sz w:val="32"/>
          <w:szCs w:val="32"/>
          <w:lang w:val="en-US"/>
        </w:rPr>
      </w:pPr>
      <w:r>
        <w:rPr>
          <w:rFonts w:hint="eastAsia" w:eastAsia="仿宋_GB2312"/>
          <w:sz w:val="32"/>
          <w:szCs w:val="32"/>
        </w:rPr>
        <w:t>年初预算为</w:t>
      </w:r>
      <w:r>
        <w:rPr>
          <w:rFonts w:hint="eastAsia" w:eastAsia="仿宋_GB2312"/>
          <w:sz w:val="32"/>
          <w:szCs w:val="32"/>
          <w:lang w:val="en-US" w:eastAsia="zh-CN"/>
        </w:rPr>
        <w:t>14.14</w:t>
      </w:r>
      <w:r>
        <w:rPr>
          <w:rFonts w:hint="eastAsia" w:eastAsia="仿宋_GB2312"/>
          <w:sz w:val="32"/>
          <w:szCs w:val="32"/>
        </w:rPr>
        <w:t>万元，支出决算为</w:t>
      </w:r>
      <w:r>
        <w:rPr>
          <w:rFonts w:hint="eastAsia" w:eastAsia="仿宋_GB2312"/>
          <w:sz w:val="32"/>
          <w:szCs w:val="32"/>
          <w:lang w:val="en-US" w:eastAsia="zh-CN"/>
        </w:rPr>
        <w:t>18.56</w:t>
      </w:r>
      <w:r>
        <w:rPr>
          <w:rFonts w:hint="eastAsia" w:eastAsia="仿宋_GB2312"/>
          <w:sz w:val="32"/>
          <w:szCs w:val="32"/>
        </w:rPr>
        <w:t>万元，完成年初预算的1</w:t>
      </w:r>
      <w:r>
        <w:rPr>
          <w:rFonts w:hint="eastAsia" w:eastAsia="仿宋_GB2312"/>
          <w:sz w:val="32"/>
          <w:szCs w:val="32"/>
          <w:lang w:val="en-US" w:eastAsia="zh-CN"/>
        </w:rPr>
        <w:t>31.25</w:t>
      </w:r>
      <w:r>
        <w:rPr>
          <w:rFonts w:hint="eastAsia" w:eastAsia="仿宋_GB2312"/>
          <w:sz w:val="32"/>
          <w:szCs w:val="32"/>
        </w:rPr>
        <w:t>%。</w:t>
      </w:r>
      <w:r>
        <w:rPr>
          <w:rFonts w:hint="eastAsia" w:eastAsia="仿宋_GB2312"/>
          <w:sz w:val="32"/>
          <w:szCs w:val="32"/>
          <w:lang w:eastAsia="zh-CN"/>
        </w:rPr>
        <w:t>决算数（大于）年初预算数的主要原因：增加了</w:t>
      </w:r>
      <w:r>
        <w:rPr>
          <w:rFonts w:hint="eastAsia" w:eastAsia="仿宋_GB2312"/>
          <w:sz w:val="32"/>
          <w:szCs w:val="32"/>
          <w:lang w:val="en-US" w:eastAsia="zh-CN"/>
        </w:rPr>
        <w:t>1人抚恤金。</w:t>
      </w:r>
    </w:p>
    <w:p w14:paraId="588F977D">
      <w:pPr>
        <w:snapToGrid w:val="0"/>
        <w:spacing w:line="520" w:lineRule="exact"/>
        <w:ind w:firstLine="640" w:firstLineChars="200"/>
        <w:rPr>
          <w:rFonts w:eastAsia="仿宋_GB2312"/>
          <w:sz w:val="32"/>
          <w:szCs w:val="32"/>
        </w:rPr>
      </w:pPr>
      <w:r>
        <w:rPr>
          <w:rFonts w:hint="eastAsia" w:eastAsia="仿宋_GB2312"/>
          <w:sz w:val="32"/>
          <w:szCs w:val="32"/>
        </w:rPr>
        <w:t>2</w:t>
      </w:r>
      <w:r>
        <w:rPr>
          <w:rFonts w:hint="eastAsia" w:eastAsia="仿宋_GB2312"/>
          <w:sz w:val="32"/>
          <w:szCs w:val="32"/>
          <w:lang w:eastAsia="zh-CN"/>
        </w:rPr>
        <w:t>、</w:t>
      </w:r>
      <w:r>
        <w:rPr>
          <w:rFonts w:hint="eastAsia" w:eastAsia="仿宋_GB2312"/>
          <w:sz w:val="32"/>
          <w:szCs w:val="32"/>
        </w:rPr>
        <w:t>社会保障和就业支出（类）财政对其他社会保险基金的补助（款）财政对失业保险基金的补助（项）。</w:t>
      </w:r>
    </w:p>
    <w:p w14:paraId="1C919B7D">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0.47</w:t>
      </w:r>
      <w:r>
        <w:rPr>
          <w:rFonts w:hint="eastAsia" w:eastAsia="仿宋_GB2312"/>
          <w:sz w:val="32"/>
          <w:szCs w:val="32"/>
        </w:rPr>
        <w:t>万元，支出决算为0</w:t>
      </w:r>
      <w:r>
        <w:rPr>
          <w:rFonts w:hint="eastAsia" w:eastAsia="仿宋_GB2312"/>
          <w:sz w:val="32"/>
          <w:szCs w:val="32"/>
          <w:lang w:val="en-US" w:eastAsia="zh-CN"/>
        </w:rPr>
        <w:t>.47</w:t>
      </w:r>
      <w:r>
        <w:rPr>
          <w:rFonts w:hint="eastAsia" w:eastAsia="仿宋_GB2312"/>
          <w:sz w:val="32"/>
          <w:szCs w:val="32"/>
        </w:rPr>
        <w:t>万元，完成年初预算的</w:t>
      </w:r>
      <w:r>
        <w:rPr>
          <w:rFonts w:hint="eastAsia" w:eastAsia="仿宋_GB2312"/>
          <w:sz w:val="32"/>
          <w:szCs w:val="32"/>
          <w:lang w:val="en-US" w:eastAsia="zh-CN"/>
        </w:rPr>
        <w:t>100</w:t>
      </w:r>
      <w:r>
        <w:rPr>
          <w:rFonts w:hint="eastAsia" w:eastAsia="仿宋_GB2312"/>
          <w:sz w:val="32"/>
          <w:szCs w:val="32"/>
        </w:rPr>
        <w:t>%。</w:t>
      </w:r>
    </w:p>
    <w:p w14:paraId="6F638316">
      <w:pPr>
        <w:snapToGrid w:val="0"/>
        <w:spacing w:line="520" w:lineRule="exact"/>
        <w:ind w:firstLine="640" w:firstLineChars="200"/>
        <w:rPr>
          <w:rFonts w:eastAsia="仿宋_GB2312"/>
          <w:sz w:val="32"/>
          <w:szCs w:val="32"/>
        </w:rPr>
      </w:pPr>
      <w:r>
        <w:rPr>
          <w:rFonts w:hint="eastAsia" w:eastAsia="仿宋_GB2312"/>
          <w:sz w:val="32"/>
          <w:szCs w:val="32"/>
        </w:rPr>
        <w:t>3</w:t>
      </w:r>
      <w:r>
        <w:rPr>
          <w:rFonts w:hint="eastAsia" w:eastAsia="仿宋_GB2312"/>
          <w:sz w:val="32"/>
          <w:szCs w:val="32"/>
          <w:lang w:eastAsia="zh-CN"/>
        </w:rPr>
        <w:t>、</w:t>
      </w:r>
      <w:r>
        <w:rPr>
          <w:rFonts w:hint="eastAsia" w:eastAsia="仿宋_GB2312"/>
          <w:sz w:val="32"/>
          <w:szCs w:val="32"/>
        </w:rPr>
        <w:t>社会保障和就业支出（类）财政对其他社会保险基金的补助（款）财政对工伤保险基金的补助（项）。</w:t>
      </w:r>
    </w:p>
    <w:p w14:paraId="4B0FA434">
      <w:pPr>
        <w:snapToGrid w:val="0"/>
        <w:spacing w:line="520" w:lineRule="exact"/>
        <w:ind w:firstLine="640" w:firstLineChars="200"/>
        <w:rPr>
          <w:rFonts w:eastAsia="仿宋_GB2312"/>
          <w:sz w:val="32"/>
          <w:szCs w:val="32"/>
        </w:rPr>
      </w:pPr>
      <w:r>
        <w:rPr>
          <w:rFonts w:hint="eastAsia" w:eastAsia="仿宋_GB2312"/>
          <w:sz w:val="32"/>
          <w:szCs w:val="32"/>
        </w:rPr>
        <w:t>年初预算为0.</w:t>
      </w:r>
      <w:r>
        <w:rPr>
          <w:rFonts w:hint="eastAsia" w:eastAsia="仿宋_GB2312"/>
          <w:sz w:val="32"/>
          <w:szCs w:val="32"/>
          <w:lang w:val="en-US" w:eastAsia="zh-CN"/>
        </w:rPr>
        <w:t>65</w:t>
      </w:r>
      <w:r>
        <w:rPr>
          <w:rFonts w:hint="eastAsia" w:eastAsia="仿宋_GB2312"/>
          <w:sz w:val="32"/>
          <w:szCs w:val="32"/>
        </w:rPr>
        <w:t>万元，支出决算为0.</w:t>
      </w:r>
      <w:r>
        <w:rPr>
          <w:rFonts w:hint="eastAsia" w:eastAsia="仿宋_GB2312"/>
          <w:sz w:val="32"/>
          <w:szCs w:val="32"/>
          <w:lang w:val="en-US" w:eastAsia="zh-CN"/>
        </w:rPr>
        <w:t>64</w:t>
      </w:r>
      <w:r>
        <w:rPr>
          <w:rFonts w:hint="eastAsia" w:eastAsia="仿宋_GB2312"/>
          <w:sz w:val="32"/>
          <w:szCs w:val="32"/>
        </w:rPr>
        <w:t>万元，完成年初预算的</w:t>
      </w:r>
      <w:r>
        <w:rPr>
          <w:rFonts w:hint="eastAsia" w:eastAsia="仿宋_GB2312"/>
          <w:sz w:val="32"/>
          <w:szCs w:val="32"/>
          <w:lang w:val="en-US" w:eastAsia="zh-CN"/>
        </w:rPr>
        <w:t>98.46</w:t>
      </w:r>
      <w:r>
        <w:rPr>
          <w:rFonts w:hint="eastAsia" w:eastAsia="仿宋_GB2312"/>
          <w:sz w:val="32"/>
          <w:szCs w:val="32"/>
        </w:rPr>
        <w:t>%。</w:t>
      </w:r>
      <w:r>
        <w:rPr>
          <w:rFonts w:hint="eastAsia" w:eastAsia="仿宋_GB2312"/>
          <w:sz w:val="32"/>
          <w:szCs w:val="32"/>
          <w:lang w:eastAsia="zh-CN"/>
        </w:rPr>
        <w:t>决算数（小于）年初预算数的主要原因：预算时工伤和生育保险合并预算。</w:t>
      </w:r>
    </w:p>
    <w:p w14:paraId="622C0821">
      <w:pPr>
        <w:snapToGrid w:val="0"/>
        <w:spacing w:line="520" w:lineRule="exact"/>
        <w:ind w:firstLine="640" w:firstLineChars="200"/>
        <w:rPr>
          <w:rFonts w:eastAsia="仿宋_GB2312"/>
          <w:sz w:val="32"/>
          <w:szCs w:val="32"/>
        </w:rPr>
      </w:pPr>
      <w:r>
        <w:rPr>
          <w:rFonts w:hint="eastAsia" w:eastAsia="仿宋_GB2312"/>
          <w:sz w:val="32"/>
          <w:szCs w:val="32"/>
        </w:rPr>
        <w:t>4</w:t>
      </w:r>
      <w:r>
        <w:rPr>
          <w:rFonts w:hint="eastAsia" w:eastAsia="仿宋_GB2312"/>
          <w:sz w:val="32"/>
          <w:szCs w:val="32"/>
          <w:lang w:eastAsia="zh-CN"/>
        </w:rPr>
        <w:t>、</w:t>
      </w:r>
      <w:r>
        <w:rPr>
          <w:rFonts w:hint="eastAsia" w:eastAsia="仿宋_GB2312"/>
          <w:sz w:val="32"/>
          <w:szCs w:val="32"/>
        </w:rPr>
        <w:t>卫生健康支出（类）行政事业单位医疗（款）行政单位医疗（项）。</w:t>
      </w:r>
    </w:p>
    <w:p w14:paraId="59065B2C">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5.89</w:t>
      </w:r>
      <w:r>
        <w:rPr>
          <w:rFonts w:hint="eastAsia" w:eastAsia="仿宋_GB2312"/>
          <w:sz w:val="32"/>
          <w:szCs w:val="32"/>
        </w:rPr>
        <w:t>万元，支出决算为</w:t>
      </w:r>
      <w:r>
        <w:rPr>
          <w:rFonts w:hint="eastAsia" w:eastAsia="仿宋_GB2312"/>
          <w:sz w:val="32"/>
          <w:szCs w:val="32"/>
          <w:lang w:val="en-US" w:eastAsia="zh-CN"/>
        </w:rPr>
        <w:t>5.89</w:t>
      </w:r>
      <w:r>
        <w:rPr>
          <w:rFonts w:hint="eastAsia" w:eastAsia="仿宋_GB2312"/>
          <w:sz w:val="32"/>
          <w:szCs w:val="32"/>
        </w:rPr>
        <w:t>万元，完成年初预算的100%。</w:t>
      </w:r>
    </w:p>
    <w:p w14:paraId="0C461A42">
      <w:pPr>
        <w:snapToGrid w:val="0"/>
        <w:spacing w:line="520" w:lineRule="exact"/>
        <w:ind w:firstLine="640" w:firstLineChars="200"/>
        <w:rPr>
          <w:rFonts w:eastAsia="仿宋_GB2312"/>
          <w:sz w:val="32"/>
          <w:szCs w:val="32"/>
        </w:rPr>
      </w:pPr>
      <w:r>
        <w:rPr>
          <w:rFonts w:hint="eastAsia" w:eastAsia="仿宋_GB2312"/>
          <w:sz w:val="32"/>
          <w:szCs w:val="32"/>
        </w:rPr>
        <w:t xml:space="preserve">5 </w:t>
      </w:r>
      <w:r>
        <w:rPr>
          <w:rFonts w:hint="eastAsia" w:eastAsia="仿宋_GB2312"/>
          <w:sz w:val="32"/>
          <w:szCs w:val="32"/>
          <w:lang w:eastAsia="zh-CN"/>
        </w:rPr>
        <w:t>、</w:t>
      </w:r>
      <w:r>
        <w:rPr>
          <w:rFonts w:hint="eastAsia" w:eastAsia="仿宋_GB2312"/>
          <w:sz w:val="32"/>
          <w:szCs w:val="32"/>
        </w:rPr>
        <w:t>卫生健康支出（类）行政事业单位医疗（款）公务员医疗补助（项）。</w:t>
      </w:r>
    </w:p>
    <w:p w14:paraId="59E85E3D">
      <w:pPr>
        <w:snapToGrid w:val="0"/>
        <w:spacing w:line="520" w:lineRule="exact"/>
        <w:ind w:firstLine="640" w:firstLineChars="200"/>
        <w:rPr>
          <w:rFonts w:hint="default" w:eastAsia="仿宋_GB2312"/>
          <w:sz w:val="32"/>
          <w:szCs w:val="32"/>
          <w:lang w:val="en-US" w:eastAsia="zh-CN"/>
        </w:rPr>
      </w:pPr>
      <w:r>
        <w:rPr>
          <w:rFonts w:hint="eastAsia" w:eastAsia="仿宋_GB2312"/>
          <w:sz w:val="32"/>
          <w:szCs w:val="32"/>
        </w:rPr>
        <w:t>年初预算为</w:t>
      </w:r>
      <w:r>
        <w:rPr>
          <w:rFonts w:hint="eastAsia" w:eastAsia="仿宋_GB2312"/>
          <w:sz w:val="32"/>
          <w:szCs w:val="32"/>
          <w:lang w:val="en-US" w:eastAsia="zh-CN"/>
        </w:rPr>
        <w:t>2.03</w:t>
      </w:r>
      <w:r>
        <w:rPr>
          <w:rFonts w:hint="eastAsia" w:eastAsia="仿宋_GB2312"/>
          <w:sz w:val="32"/>
          <w:szCs w:val="32"/>
        </w:rPr>
        <w:t>万元，支出决算为</w:t>
      </w:r>
      <w:r>
        <w:rPr>
          <w:rFonts w:hint="eastAsia" w:eastAsia="仿宋_GB2312"/>
          <w:sz w:val="32"/>
          <w:szCs w:val="32"/>
          <w:lang w:val="en-US" w:eastAsia="zh-CN"/>
        </w:rPr>
        <w:t>0</w:t>
      </w:r>
      <w:r>
        <w:rPr>
          <w:rFonts w:hint="eastAsia" w:eastAsia="仿宋_GB2312"/>
          <w:sz w:val="32"/>
          <w:szCs w:val="32"/>
        </w:rPr>
        <w:t>万元，完成年初预算的</w:t>
      </w:r>
      <w:r>
        <w:rPr>
          <w:rFonts w:hint="eastAsia" w:eastAsia="仿宋_GB2312"/>
          <w:sz w:val="32"/>
          <w:szCs w:val="32"/>
          <w:lang w:val="en-US" w:eastAsia="zh-CN"/>
        </w:rPr>
        <w:t>0</w:t>
      </w:r>
      <w:r>
        <w:rPr>
          <w:rFonts w:hint="eastAsia" w:eastAsia="仿宋_GB2312"/>
          <w:sz w:val="32"/>
          <w:szCs w:val="32"/>
        </w:rPr>
        <w:t>%。</w:t>
      </w:r>
      <w:r>
        <w:rPr>
          <w:rFonts w:hint="eastAsia" w:eastAsia="仿宋_GB2312"/>
          <w:sz w:val="32"/>
          <w:szCs w:val="32"/>
          <w:lang w:eastAsia="zh-CN"/>
        </w:rPr>
        <w:t>决算数（小于）年初预算数的主要原因：</w:t>
      </w:r>
      <w:r>
        <w:rPr>
          <w:rFonts w:hint="eastAsia" w:eastAsia="仿宋_GB2312"/>
          <w:sz w:val="32"/>
          <w:szCs w:val="32"/>
          <w:lang w:val="en-US" w:eastAsia="zh-CN"/>
        </w:rPr>
        <w:t>2023年未发生支出。</w:t>
      </w:r>
    </w:p>
    <w:p w14:paraId="33B0A617">
      <w:pPr>
        <w:snapToGrid w:val="0"/>
        <w:spacing w:line="520" w:lineRule="exact"/>
        <w:ind w:firstLine="640" w:firstLineChars="200"/>
        <w:rPr>
          <w:rFonts w:eastAsia="仿宋_GB2312"/>
          <w:sz w:val="32"/>
          <w:szCs w:val="32"/>
        </w:rPr>
      </w:pPr>
      <w:r>
        <w:rPr>
          <w:rFonts w:hint="eastAsia" w:eastAsia="仿宋_GB2312"/>
          <w:sz w:val="32"/>
          <w:szCs w:val="32"/>
        </w:rPr>
        <w:t>6</w:t>
      </w:r>
      <w:r>
        <w:rPr>
          <w:rFonts w:hint="eastAsia" w:eastAsia="仿宋_GB2312"/>
          <w:sz w:val="32"/>
          <w:szCs w:val="32"/>
          <w:lang w:eastAsia="zh-CN"/>
        </w:rPr>
        <w:t>、</w:t>
      </w:r>
      <w:r>
        <w:rPr>
          <w:rFonts w:hint="eastAsia" w:eastAsia="仿宋_GB2312"/>
          <w:sz w:val="32"/>
          <w:szCs w:val="32"/>
        </w:rPr>
        <w:t>卫生健康支出（类） 行政事业单位医疗（款）其他行政事业单位医疗支出（项）。</w:t>
      </w:r>
    </w:p>
    <w:p w14:paraId="5BCE41D3">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0.10</w:t>
      </w:r>
      <w:r>
        <w:rPr>
          <w:rFonts w:hint="eastAsia" w:eastAsia="仿宋_GB2312"/>
          <w:sz w:val="32"/>
          <w:szCs w:val="32"/>
        </w:rPr>
        <w:t>万元，支出决算为</w:t>
      </w:r>
      <w:r>
        <w:rPr>
          <w:rFonts w:hint="eastAsia" w:eastAsia="仿宋_GB2312"/>
          <w:sz w:val="32"/>
          <w:szCs w:val="32"/>
          <w:lang w:val="en-US" w:eastAsia="zh-CN"/>
        </w:rPr>
        <w:t>0.11</w:t>
      </w:r>
      <w:r>
        <w:rPr>
          <w:rFonts w:hint="eastAsia" w:eastAsia="仿宋_GB2312"/>
          <w:sz w:val="32"/>
          <w:szCs w:val="32"/>
        </w:rPr>
        <w:t>万元，完成年初预算的1</w:t>
      </w:r>
      <w:r>
        <w:rPr>
          <w:rFonts w:hint="eastAsia" w:eastAsia="仿宋_GB2312"/>
          <w:sz w:val="32"/>
          <w:szCs w:val="32"/>
          <w:lang w:val="en-US" w:eastAsia="zh-CN"/>
        </w:rPr>
        <w:t>10.0</w:t>
      </w:r>
      <w:r>
        <w:rPr>
          <w:rFonts w:hint="eastAsia" w:eastAsia="仿宋_GB2312"/>
          <w:sz w:val="32"/>
          <w:szCs w:val="32"/>
        </w:rPr>
        <w:t>%，决算数</w:t>
      </w:r>
      <w:r>
        <w:rPr>
          <w:rFonts w:hint="eastAsia" w:eastAsia="仿宋_GB2312"/>
          <w:sz w:val="32"/>
          <w:szCs w:val="32"/>
          <w:lang w:eastAsia="zh-CN"/>
        </w:rPr>
        <w:t>（</w:t>
      </w:r>
      <w:r>
        <w:rPr>
          <w:rFonts w:hint="eastAsia" w:eastAsia="仿宋_GB2312"/>
          <w:sz w:val="32"/>
          <w:szCs w:val="32"/>
        </w:rPr>
        <w:t>大于</w:t>
      </w:r>
      <w:r>
        <w:rPr>
          <w:rFonts w:hint="eastAsia" w:eastAsia="仿宋_GB2312"/>
          <w:sz w:val="32"/>
          <w:szCs w:val="32"/>
          <w:lang w:eastAsia="zh-CN"/>
        </w:rPr>
        <w:t>）</w:t>
      </w:r>
      <w:r>
        <w:rPr>
          <w:rFonts w:hint="eastAsia" w:eastAsia="仿宋_GB2312"/>
          <w:sz w:val="32"/>
          <w:szCs w:val="32"/>
        </w:rPr>
        <w:t>年初预算数的主要原因是：</w:t>
      </w:r>
      <w:r>
        <w:rPr>
          <w:rFonts w:hint="eastAsia" w:eastAsia="仿宋_GB2312"/>
          <w:sz w:val="32"/>
          <w:szCs w:val="32"/>
          <w:lang w:eastAsia="zh-CN"/>
        </w:rPr>
        <w:t>工资普调、工资基数增加</w:t>
      </w:r>
      <w:r>
        <w:rPr>
          <w:rFonts w:hint="eastAsia" w:eastAsia="仿宋_GB2312"/>
          <w:sz w:val="32"/>
          <w:szCs w:val="32"/>
        </w:rPr>
        <w:t>。</w:t>
      </w:r>
    </w:p>
    <w:p w14:paraId="325B2268">
      <w:pPr>
        <w:snapToGrid w:val="0"/>
        <w:spacing w:line="520" w:lineRule="exact"/>
        <w:ind w:firstLine="640" w:firstLineChars="200"/>
        <w:rPr>
          <w:rFonts w:eastAsia="仿宋_GB2312"/>
          <w:sz w:val="32"/>
          <w:szCs w:val="32"/>
        </w:rPr>
      </w:pPr>
      <w:r>
        <w:rPr>
          <w:rFonts w:hint="eastAsia" w:eastAsia="仿宋_GB2312"/>
          <w:sz w:val="32"/>
          <w:szCs w:val="32"/>
        </w:rPr>
        <w:t>7</w:t>
      </w:r>
      <w:r>
        <w:rPr>
          <w:rFonts w:hint="eastAsia" w:eastAsia="仿宋_GB2312"/>
          <w:sz w:val="32"/>
          <w:szCs w:val="32"/>
          <w:lang w:eastAsia="zh-CN"/>
        </w:rPr>
        <w:t>、</w:t>
      </w:r>
      <w:r>
        <w:rPr>
          <w:rFonts w:hint="eastAsia" w:eastAsia="仿宋_GB2312"/>
          <w:sz w:val="32"/>
          <w:szCs w:val="32"/>
        </w:rPr>
        <w:t>住房保障支出（类）住房改革支出（款）住房公积金（项）。</w:t>
      </w:r>
    </w:p>
    <w:p w14:paraId="1AD41249">
      <w:pPr>
        <w:snapToGrid w:val="0"/>
        <w:spacing w:line="520" w:lineRule="exact"/>
        <w:ind w:firstLine="640" w:firstLineChars="200"/>
        <w:rPr>
          <w:rFonts w:eastAsia="仿宋_GB2312"/>
          <w:sz w:val="32"/>
          <w:szCs w:val="32"/>
        </w:rPr>
      </w:pPr>
      <w:r>
        <w:rPr>
          <w:rFonts w:hint="eastAsia" w:eastAsia="仿宋_GB2312"/>
          <w:sz w:val="32"/>
          <w:szCs w:val="32"/>
        </w:rPr>
        <w:t>年初预算为</w:t>
      </w:r>
      <w:r>
        <w:rPr>
          <w:rFonts w:hint="eastAsia" w:eastAsia="仿宋_GB2312"/>
          <w:sz w:val="32"/>
          <w:szCs w:val="32"/>
          <w:lang w:val="en-US" w:eastAsia="zh-CN"/>
        </w:rPr>
        <w:t>11.57</w:t>
      </w:r>
      <w:r>
        <w:rPr>
          <w:rFonts w:hint="eastAsia" w:eastAsia="仿宋_GB2312"/>
          <w:sz w:val="32"/>
          <w:szCs w:val="32"/>
        </w:rPr>
        <w:t>万元，支出决算为</w:t>
      </w:r>
      <w:r>
        <w:rPr>
          <w:rFonts w:hint="eastAsia" w:eastAsia="仿宋_GB2312"/>
          <w:sz w:val="32"/>
          <w:szCs w:val="32"/>
          <w:lang w:val="en-US" w:eastAsia="zh-CN"/>
        </w:rPr>
        <w:t>11.54</w:t>
      </w:r>
      <w:r>
        <w:rPr>
          <w:rFonts w:hint="eastAsia" w:eastAsia="仿宋_GB2312"/>
          <w:sz w:val="32"/>
          <w:szCs w:val="32"/>
        </w:rPr>
        <w:t>万元，完成年初预算的</w:t>
      </w:r>
      <w:r>
        <w:rPr>
          <w:rFonts w:hint="eastAsia" w:eastAsia="仿宋_GB2312"/>
          <w:sz w:val="32"/>
          <w:szCs w:val="32"/>
          <w:lang w:val="en-US" w:eastAsia="zh-CN"/>
        </w:rPr>
        <w:t>99.74</w:t>
      </w:r>
      <w:r>
        <w:rPr>
          <w:rFonts w:hint="eastAsia" w:eastAsia="仿宋_GB2312"/>
          <w:sz w:val="32"/>
          <w:szCs w:val="32"/>
        </w:rPr>
        <w:t>%，决算数</w:t>
      </w:r>
      <w:r>
        <w:rPr>
          <w:rFonts w:hint="eastAsia" w:eastAsia="仿宋_GB2312"/>
          <w:sz w:val="32"/>
          <w:szCs w:val="32"/>
          <w:lang w:eastAsia="zh-CN"/>
        </w:rPr>
        <w:t>（小</w:t>
      </w:r>
      <w:r>
        <w:rPr>
          <w:rFonts w:hint="eastAsia" w:eastAsia="仿宋_GB2312"/>
          <w:sz w:val="32"/>
          <w:szCs w:val="32"/>
        </w:rPr>
        <w:t>于</w:t>
      </w:r>
      <w:r>
        <w:rPr>
          <w:rFonts w:hint="eastAsia" w:eastAsia="仿宋_GB2312"/>
          <w:sz w:val="32"/>
          <w:szCs w:val="32"/>
          <w:lang w:eastAsia="zh-CN"/>
        </w:rPr>
        <w:t>）</w:t>
      </w:r>
      <w:r>
        <w:rPr>
          <w:rFonts w:hint="eastAsia" w:eastAsia="仿宋_GB2312"/>
          <w:sz w:val="32"/>
          <w:szCs w:val="32"/>
        </w:rPr>
        <w:t>年初预算数的主要原因是：</w:t>
      </w:r>
      <w:r>
        <w:rPr>
          <w:rFonts w:hint="eastAsia" w:eastAsia="仿宋_GB2312"/>
          <w:sz w:val="32"/>
          <w:szCs w:val="32"/>
          <w:lang w:eastAsia="zh-CN"/>
        </w:rPr>
        <w:t>基数调整</w:t>
      </w:r>
      <w:r>
        <w:rPr>
          <w:rFonts w:hint="eastAsia" w:eastAsia="仿宋_GB2312"/>
          <w:sz w:val="32"/>
          <w:szCs w:val="32"/>
        </w:rPr>
        <w:t>。</w:t>
      </w:r>
    </w:p>
    <w:p w14:paraId="64415B8A">
      <w:pPr>
        <w:widowControl/>
        <w:spacing w:line="520" w:lineRule="exact"/>
        <w:jc w:val="left"/>
        <w:rPr>
          <w:rFonts w:eastAsia="仿宋_GB2312"/>
          <w:color w:val="000000"/>
          <w:sz w:val="32"/>
          <w:szCs w:val="32"/>
        </w:rPr>
      </w:pPr>
      <w:r>
        <w:rPr>
          <w:rFonts w:hint="eastAsia" w:eastAsia="黑体"/>
          <w:sz w:val="32"/>
          <w:szCs w:val="32"/>
          <w:lang w:val="en-US" w:eastAsia="zh-CN"/>
        </w:rPr>
        <w:t>六</w:t>
      </w:r>
      <w:r>
        <w:rPr>
          <w:rFonts w:eastAsia="黑体"/>
          <w:sz w:val="32"/>
          <w:szCs w:val="32"/>
        </w:rPr>
        <w:t>、部门整体支出绩效情况</w:t>
      </w:r>
    </w:p>
    <w:p w14:paraId="7680114D">
      <w:pPr>
        <w:widowControl/>
        <w:spacing w:line="520" w:lineRule="exact"/>
        <w:ind w:firstLine="645"/>
        <w:jc w:val="left"/>
        <w:rPr>
          <w:rFonts w:hint="eastAsia" w:eastAsia="仿宋_GB2312"/>
          <w:color w:val="000000"/>
          <w:sz w:val="32"/>
          <w:szCs w:val="32"/>
          <w:lang w:val="en-US" w:eastAsia="zh-CN"/>
        </w:rPr>
      </w:pPr>
      <w:bookmarkStart w:id="0" w:name="_GoBack"/>
      <w:r>
        <w:rPr>
          <w:rFonts w:hint="eastAsia" w:eastAsia="仿宋_GB2312"/>
          <w:color w:val="000000"/>
          <w:sz w:val="32"/>
          <w:szCs w:val="32"/>
          <w:lang w:val="en-US" w:eastAsia="zh-CN"/>
        </w:rPr>
        <w:t>2023年度公园维护经费财政支出项目取得了良好的成效，完成了目标任务。公园维护和县城区绿化养护等资金的投入，改善公园内及县城区整体美化环境，使置身于闹市中的民众，具有生活在绿色走廊的感觉，得到广大市民的好评。主要结合项目支出绩效自评情况及项目支出绩效评价共性指标分析以下情况：</w:t>
      </w:r>
    </w:p>
    <w:p w14:paraId="34270069">
      <w:pPr>
        <w:widowControl/>
        <w:numPr>
          <w:ilvl w:val="0"/>
          <w:numId w:val="5"/>
        </w:numPr>
        <w:spacing w:line="52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项目支出决策情况。实行会议研究集体决策，明确管理人员，落实管理制度，严格控制资金成本。</w:t>
      </w:r>
    </w:p>
    <w:p w14:paraId="3B0BE967">
      <w:pPr>
        <w:widowControl/>
        <w:numPr>
          <w:ilvl w:val="0"/>
          <w:numId w:val="5"/>
        </w:numPr>
        <w:spacing w:line="520" w:lineRule="exact"/>
        <w:ind w:firstLine="645"/>
        <w:jc w:val="left"/>
        <w:rPr>
          <w:rFonts w:hint="default" w:eastAsia="仿宋_GB2312"/>
          <w:color w:val="000000"/>
          <w:sz w:val="32"/>
          <w:szCs w:val="32"/>
          <w:lang w:val="en-US" w:eastAsia="zh-CN"/>
        </w:rPr>
      </w:pPr>
      <w:r>
        <w:rPr>
          <w:rFonts w:hint="eastAsia" w:eastAsia="仿宋_GB2312"/>
          <w:color w:val="000000"/>
          <w:sz w:val="32"/>
          <w:szCs w:val="32"/>
          <w:lang w:val="en-US" w:eastAsia="zh-CN"/>
        </w:rPr>
        <w:t>项目支出过程情况。根据日常工作任务完成情况、考勤情况，按月发放人员工资。项目资金按实际发生业务支出。</w:t>
      </w:r>
    </w:p>
    <w:p w14:paraId="63B71174">
      <w:pPr>
        <w:widowControl/>
        <w:numPr>
          <w:ilvl w:val="0"/>
          <w:numId w:val="5"/>
        </w:numPr>
        <w:spacing w:line="520" w:lineRule="exact"/>
        <w:ind w:firstLine="645"/>
        <w:jc w:val="left"/>
        <w:rPr>
          <w:rFonts w:hint="default" w:eastAsia="仿宋_GB2312"/>
          <w:color w:val="000000"/>
          <w:sz w:val="32"/>
          <w:szCs w:val="32"/>
          <w:lang w:val="en-US" w:eastAsia="zh-CN"/>
        </w:rPr>
      </w:pPr>
      <w:r>
        <w:rPr>
          <w:rFonts w:hint="eastAsia" w:eastAsia="仿宋_GB2312"/>
          <w:color w:val="000000"/>
          <w:sz w:val="32"/>
          <w:szCs w:val="32"/>
          <w:lang w:val="en-US" w:eastAsia="zh-CN"/>
        </w:rPr>
        <w:t>项目支出产出情况。项目完成率100%，完成及时率100%，质量达标率97%，成本节约率99%。</w:t>
      </w:r>
    </w:p>
    <w:p w14:paraId="5A15ACB8">
      <w:pPr>
        <w:widowControl/>
        <w:numPr>
          <w:ilvl w:val="0"/>
          <w:numId w:val="5"/>
        </w:numPr>
        <w:spacing w:line="520" w:lineRule="exact"/>
        <w:ind w:firstLine="645"/>
        <w:jc w:val="left"/>
        <w:rPr>
          <w:rFonts w:hint="eastAsia" w:eastAsia="仿宋_GB2312"/>
          <w:color w:val="000000"/>
          <w:sz w:val="32"/>
          <w:szCs w:val="32"/>
          <w:lang w:eastAsia="zh-CN"/>
        </w:rPr>
      </w:pPr>
      <w:r>
        <w:rPr>
          <w:rFonts w:hint="eastAsia" w:eastAsia="仿宋_GB2312"/>
          <w:color w:val="000000"/>
          <w:sz w:val="32"/>
          <w:szCs w:val="32"/>
          <w:lang w:val="en-US" w:eastAsia="zh-CN"/>
        </w:rPr>
        <w:t>项目支出效益情况。管理有序运转高效，环境优美，社会效益、生态效益良好，社会公众满意度及可持续影响力达98%。</w:t>
      </w:r>
    </w:p>
    <w:bookmarkEnd w:id="0"/>
    <w:p w14:paraId="1F8E0177">
      <w:pPr>
        <w:pStyle w:val="6"/>
        <w:widowControl/>
        <w:spacing w:line="520" w:lineRule="exact"/>
        <w:ind w:left="640" w:firstLine="0" w:firstLineChars="0"/>
        <w:jc w:val="left"/>
        <w:rPr>
          <w:rFonts w:eastAsia="仿宋_GB2312"/>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CF4B792">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年初预算资金和决算资金相差比较大，主要是增加了项目支出等。</w:t>
      </w:r>
    </w:p>
    <w:p w14:paraId="39AAB702">
      <w:pPr>
        <w:widowControl/>
        <w:numPr>
          <w:ilvl w:val="0"/>
          <w:numId w:val="6"/>
        </w:numPr>
        <w:spacing w:line="520" w:lineRule="exact"/>
        <w:ind w:firstLine="640" w:firstLineChars="200"/>
        <w:jc w:val="left"/>
        <w:rPr>
          <w:rFonts w:eastAsia="黑体"/>
          <w:sz w:val="32"/>
          <w:szCs w:val="32"/>
        </w:rPr>
      </w:pPr>
      <w:r>
        <w:rPr>
          <w:rFonts w:eastAsia="黑体"/>
          <w:sz w:val="32"/>
          <w:szCs w:val="32"/>
        </w:rPr>
        <w:t>下一步改进措施</w:t>
      </w:r>
    </w:p>
    <w:p w14:paraId="51B5E75F">
      <w:pPr>
        <w:widowControl/>
        <w:numPr>
          <w:ilvl w:val="0"/>
          <w:numId w:val="7"/>
        </w:numPr>
        <w:spacing w:line="520" w:lineRule="exact"/>
        <w:ind w:left="64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安排收支预算，严格预算管理。按照“以收定支，量入为出，保证重点，兼顾一般”的原则，科学合理编制部门预算，使预算更加切合实际。进一步细化预算，严格执行，增强预算约束意识，提高科学化、精细化预算管理水平。</w:t>
      </w:r>
    </w:p>
    <w:p w14:paraId="56A20827">
      <w:pPr>
        <w:widowControl/>
        <w:numPr>
          <w:ilvl w:val="0"/>
          <w:numId w:val="7"/>
        </w:numPr>
        <w:spacing w:line="520" w:lineRule="exact"/>
        <w:ind w:left="640" w:leftChars="0" w:firstLine="0" w:firstLineChars="0"/>
        <w:jc w:val="left"/>
        <w:rPr>
          <w:rFonts w:eastAsia="仿宋_GB2312"/>
          <w:sz w:val="32"/>
          <w:szCs w:val="32"/>
        </w:rPr>
      </w:pPr>
      <w:r>
        <w:rPr>
          <w:rFonts w:hint="eastAsia" w:ascii="仿宋" w:hAnsi="仿宋" w:eastAsia="仿宋" w:cs="仿宋"/>
          <w:sz w:val="32"/>
          <w:szCs w:val="32"/>
          <w:lang w:val="en-US" w:eastAsia="zh-CN"/>
        </w:rPr>
        <w:t>规范财务行为，提高会计基础工作质量。严格执行财经纪律和各项财经政策，自觉接受财政、审计、纪检监察</w:t>
      </w:r>
      <w:r>
        <w:rPr>
          <w:rFonts w:hint="eastAsia" w:eastAsia="仿宋_GB2312"/>
          <w:sz w:val="32"/>
          <w:szCs w:val="32"/>
        </w:rPr>
        <w:t>等职能部门的监督，做到有法可依，有章可循，实现管理的规范化、制度化。进一步健全机关各项财务制度，严格财经手续，完善经费使用内部控制制度，加强对原始票据的合法性、完整性审核，做到票据合法规范，手续完备。</w:t>
      </w:r>
    </w:p>
    <w:p w14:paraId="3A2320A9">
      <w:pPr>
        <w:widowControl/>
        <w:spacing w:line="520" w:lineRule="exact"/>
        <w:ind w:firstLine="645"/>
        <w:jc w:val="left"/>
        <w:rPr>
          <w:rFonts w:hint="eastAsia" w:eastAsia="仿宋_GB2312"/>
          <w:sz w:val="32"/>
          <w:szCs w:val="32"/>
        </w:rPr>
      </w:pPr>
      <w:r>
        <w:rPr>
          <w:rFonts w:hint="eastAsia" w:eastAsia="仿宋_GB2312"/>
          <w:sz w:val="32"/>
          <w:szCs w:val="32"/>
        </w:rPr>
        <w:t>三是建设阳光财务，提高资金效益。进一步完善财政预决算、“三公经费”及重大专项公开工作。使重大项目管理制度更加科学合理，程序更加规范透明，分配更加公平公正，资金更加安全高效。</w:t>
      </w:r>
    </w:p>
    <w:p w14:paraId="2439E66E">
      <w:pPr>
        <w:widowControl/>
        <w:spacing w:line="520" w:lineRule="exact"/>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FE921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宋体"/>
          <w:lang w:val="en-US" w:eastAsia="zh-CN"/>
        </w:rPr>
      </w:pPr>
      <w:r>
        <w:rPr>
          <w:rFonts w:hint="eastAsia" w:eastAsia="宋体"/>
          <w:lang w:val="en-US" w:eastAsia="zh-CN"/>
        </w:rPr>
        <w:t xml:space="preserve">     </w:t>
      </w:r>
      <w:r>
        <w:rPr>
          <w:rFonts w:hint="eastAsia" w:eastAsia="宋体"/>
          <w:sz w:val="32"/>
          <w:szCs w:val="32"/>
          <w:lang w:val="en-US" w:eastAsia="zh-CN"/>
        </w:rPr>
        <w:t xml:space="preserve">   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233F">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CF84819A"/>
    <w:multiLevelType w:val="singleLevel"/>
    <w:tmpl w:val="CF84819A"/>
    <w:lvl w:ilvl="0" w:tentative="0">
      <w:start w:val="4"/>
      <w:numFmt w:val="chineseCounting"/>
      <w:suff w:val="nothing"/>
      <w:lvlText w:val="%1、"/>
      <w:lvlJc w:val="left"/>
      <w:rPr>
        <w:rFonts w:hint="eastAsia"/>
      </w:rPr>
    </w:lvl>
  </w:abstractNum>
  <w:abstractNum w:abstractNumId="2">
    <w:nsid w:val="D504C4FA"/>
    <w:multiLevelType w:val="singleLevel"/>
    <w:tmpl w:val="D504C4FA"/>
    <w:lvl w:ilvl="0" w:tentative="0">
      <w:start w:val="1"/>
      <w:numFmt w:val="chineseCounting"/>
      <w:suff w:val="nothing"/>
      <w:lvlText w:val="%1、"/>
      <w:lvlJc w:val="left"/>
      <w:pPr>
        <w:ind w:left="640" w:leftChars="0" w:firstLine="0" w:firstLineChars="0"/>
      </w:pPr>
      <w:rPr>
        <w:rFonts w:hint="eastAsia"/>
      </w:rPr>
    </w:lvl>
  </w:abstractNum>
  <w:abstractNum w:abstractNumId="3">
    <w:nsid w:val="FDC310B5"/>
    <w:multiLevelType w:val="singleLevel"/>
    <w:tmpl w:val="FDC310B5"/>
    <w:lvl w:ilvl="0" w:tentative="0">
      <w:start w:val="1"/>
      <w:numFmt w:val="chineseCounting"/>
      <w:suff w:val="nothing"/>
      <w:lvlText w:val="%1、"/>
      <w:lvlJc w:val="left"/>
      <w:rPr>
        <w:rFonts w:hint="eastAsia"/>
      </w:rPr>
    </w:lvl>
  </w:abstractNum>
  <w:abstractNum w:abstractNumId="4">
    <w:nsid w:val="6D054B4D"/>
    <w:multiLevelType w:val="singleLevel"/>
    <w:tmpl w:val="6D054B4D"/>
    <w:lvl w:ilvl="0" w:tentative="0">
      <w:start w:val="8"/>
      <w:numFmt w:val="chineseCounting"/>
      <w:suff w:val="nothing"/>
      <w:lvlText w:val="%1、"/>
      <w:lvlJc w:val="left"/>
      <w:rPr>
        <w:rFonts w:hint="eastAsia"/>
      </w:rPr>
    </w:lvl>
  </w:abstractNum>
  <w:abstractNum w:abstractNumId="5">
    <w:nsid w:val="6DA48216"/>
    <w:multiLevelType w:val="singleLevel"/>
    <w:tmpl w:val="6DA48216"/>
    <w:lvl w:ilvl="0" w:tentative="0">
      <w:start w:val="1"/>
      <w:numFmt w:val="chineseCounting"/>
      <w:suff w:val="nothing"/>
      <w:lvlText w:val="（%1）"/>
      <w:lvlJc w:val="left"/>
      <w:rPr>
        <w:rFonts w:hint="eastAsia"/>
      </w:rPr>
    </w:lvl>
  </w:abstractNum>
  <w:abstractNum w:abstractNumId="6">
    <w:nsid w:val="7895A8FF"/>
    <w:multiLevelType w:val="singleLevel"/>
    <w:tmpl w:val="7895A8FF"/>
    <w:lvl w:ilvl="0" w:tentative="0">
      <w:start w:val="1"/>
      <w:numFmt w:val="decimal"/>
      <w:suff w:val="nothing"/>
      <w:lvlText w:val="%1、"/>
      <w:lvlJc w:val="left"/>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NWYxZjM4ZmY5OWExN2Q5OWFhMzVkYmY0MTdjNDkifQ=="/>
  </w:docVars>
  <w:rsids>
    <w:rsidRoot w:val="00000000"/>
    <w:rsid w:val="097D17F0"/>
    <w:rsid w:val="0A0375A7"/>
    <w:rsid w:val="0A222874"/>
    <w:rsid w:val="14CF1965"/>
    <w:rsid w:val="15BF56EC"/>
    <w:rsid w:val="166D6627"/>
    <w:rsid w:val="17F24CB0"/>
    <w:rsid w:val="1FBD492D"/>
    <w:rsid w:val="25F04BCC"/>
    <w:rsid w:val="325C44E3"/>
    <w:rsid w:val="35CB6416"/>
    <w:rsid w:val="40B67E7E"/>
    <w:rsid w:val="42744F96"/>
    <w:rsid w:val="462A6323"/>
    <w:rsid w:val="46C21081"/>
    <w:rsid w:val="4B4334AB"/>
    <w:rsid w:val="519D255B"/>
    <w:rsid w:val="526A1AD5"/>
    <w:rsid w:val="5403276E"/>
    <w:rsid w:val="54C57A37"/>
    <w:rsid w:val="55E81280"/>
    <w:rsid w:val="646F0B1E"/>
    <w:rsid w:val="649052E0"/>
    <w:rsid w:val="68251C6A"/>
    <w:rsid w:val="6A860188"/>
    <w:rsid w:val="6C7034F3"/>
    <w:rsid w:val="6DC9002B"/>
    <w:rsid w:val="78FF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1998</Words>
  <Characters>2168</Characters>
  <Lines>0</Lines>
  <Paragraphs>0</Paragraphs>
  <TotalTime>32</TotalTime>
  <ScaleCrop>false</ScaleCrop>
  <LinksUpToDate>false</LinksUpToDate>
  <CharactersWithSpaces>2179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2024-10-14T08:28:44Z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F962C782B8D34B13B1134B44404F69E9_13</vt:lpwstr>
  </property>
</Properties>
</file>