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color w:val="auto"/>
          <w:sz w:val="34"/>
          <w:szCs w:val="34"/>
          <w:lang w:eastAsia="zh-CN"/>
        </w:rPr>
      </w:pPr>
      <w:r>
        <w:rPr>
          <w:rFonts w:hint="eastAsia" w:ascii="黑体" w:hAnsi="黑体" w:eastAsia="黑体" w:cs="黑体"/>
          <w:color w:val="auto"/>
          <w:spacing w:val="14"/>
          <w:sz w:val="34"/>
          <w:szCs w:val="34"/>
        </w:rPr>
        <w:t>附件</w:t>
      </w:r>
      <w:r>
        <w:rPr>
          <w:rFonts w:hint="eastAsia" w:ascii="黑体" w:hAnsi="黑体" w:eastAsia="黑体" w:cs="黑体"/>
          <w:color w:val="auto"/>
          <w:spacing w:val="14"/>
          <w:sz w:val="34"/>
          <w:szCs w:val="34"/>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color w:val="auto"/>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color w:val="auto"/>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color w:val="auto"/>
          <w:sz w:val="44"/>
          <w:szCs w:val="44"/>
        </w:rPr>
      </w:pPr>
    </w:p>
    <w:p>
      <w:pPr>
        <w:spacing w:line="60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2023年度炎陵县发展和改革局</w:t>
      </w:r>
    </w:p>
    <w:p>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整体支出绩效</w:t>
      </w:r>
      <w:r>
        <w:rPr>
          <w:rFonts w:hint="eastAsia" w:ascii="方正小标宋简体" w:hAnsi="方正小标宋简体" w:eastAsia="方正小标宋简体" w:cs="方正小标宋简体"/>
          <w:color w:val="auto"/>
          <w:sz w:val="44"/>
          <w:szCs w:val="44"/>
          <w:lang w:val="en-US" w:eastAsia="zh-CN"/>
        </w:rPr>
        <w:t>自评</w:t>
      </w:r>
      <w:r>
        <w:rPr>
          <w:rFonts w:hint="eastAsia" w:ascii="方正小标宋简体" w:hAnsi="方正小标宋简体" w:eastAsia="方正小标宋简体" w:cs="方正小标宋简体"/>
          <w:color w:val="auto"/>
          <w:sz w:val="44"/>
          <w:szCs w:val="44"/>
        </w:rPr>
        <w:t>报告</w:t>
      </w:r>
    </w:p>
    <w:p>
      <w:pPr>
        <w:spacing w:line="600" w:lineRule="exact"/>
        <w:jc w:val="center"/>
        <w:rPr>
          <w:rFonts w:eastAsia="楷体_GB2312"/>
          <w:color w:val="auto"/>
          <w:sz w:val="32"/>
          <w:szCs w:val="32"/>
        </w:rPr>
      </w:pPr>
      <w:r>
        <w:rPr>
          <w:rFonts w:eastAsia="楷体_GB2312"/>
          <w:color w:val="auto"/>
          <w:sz w:val="32"/>
          <w:szCs w:val="32"/>
        </w:rPr>
        <w:t>（参考</w:t>
      </w:r>
      <w:r>
        <w:rPr>
          <w:rFonts w:hint="eastAsia" w:eastAsia="楷体_GB2312"/>
          <w:color w:val="auto"/>
          <w:sz w:val="32"/>
          <w:szCs w:val="32"/>
          <w:lang w:val="en-US" w:eastAsia="zh-CN"/>
        </w:rPr>
        <w:t>格式</w:t>
      </w:r>
      <w:r>
        <w:rPr>
          <w:rFonts w:eastAsia="楷体_GB2312"/>
          <w:color w:val="auto"/>
          <w:sz w:val="32"/>
          <w:szCs w:val="32"/>
        </w:rPr>
        <w:t>）</w:t>
      </w:r>
    </w:p>
    <w:p>
      <w:pPr>
        <w:spacing w:line="600" w:lineRule="exact"/>
        <w:jc w:val="center"/>
        <w:rPr>
          <w:rFonts w:eastAsia="楷体_GB2312"/>
          <w:color w:val="auto"/>
          <w:sz w:val="32"/>
          <w:szCs w:val="32"/>
        </w:rPr>
      </w:pPr>
    </w:p>
    <w:p>
      <w:pPr>
        <w:spacing w:line="600" w:lineRule="exact"/>
        <w:jc w:val="center"/>
        <w:rPr>
          <w:rFonts w:eastAsia="楷体_GB2312"/>
          <w:color w:val="auto"/>
          <w:sz w:val="32"/>
          <w:szCs w:val="32"/>
        </w:rPr>
      </w:pPr>
    </w:p>
    <w:p>
      <w:pPr>
        <w:spacing w:line="600" w:lineRule="exact"/>
        <w:jc w:val="center"/>
        <w:rPr>
          <w:rFonts w:eastAsia="楷体_GB2312"/>
          <w:color w:val="auto"/>
          <w:sz w:val="32"/>
          <w:szCs w:val="32"/>
        </w:rPr>
      </w:pPr>
    </w:p>
    <w:p>
      <w:pPr>
        <w:spacing w:line="600" w:lineRule="exact"/>
        <w:jc w:val="center"/>
        <w:rPr>
          <w:rFonts w:eastAsia="楷体_GB2312"/>
          <w:color w:val="auto"/>
          <w:sz w:val="32"/>
          <w:szCs w:val="32"/>
        </w:rPr>
      </w:pPr>
    </w:p>
    <w:p>
      <w:pPr>
        <w:spacing w:line="600" w:lineRule="exact"/>
        <w:jc w:val="center"/>
        <w:rPr>
          <w:rFonts w:eastAsia="楷体_GB2312"/>
          <w:color w:val="auto"/>
          <w:sz w:val="32"/>
          <w:szCs w:val="32"/>
        </w:rPr>
      </w:pPr>
    </w:p>
    <w:p>
      <w:pPr>
        <w:spacing w:line="600" w:lineRule="exact"/>
        <w:jc w:val="center"/>
        <w:rPr>
          <w:rFonts w:eastAsia="楷体_GB2312"/>
          <w:color w:val="auto"/>
          <w:sz w:val="32"/>
          <w:szCs w:val="32"/>
        </w:rPr>
      </w:pPr>
    </w:p>
    <w:p>
      <w:pPr>
        <w:spacing w:line="600" w:lineRule="exact"/>
        <w:jc w:val="center"/>
        <w:rPr>
          <w:rFonts w:eastAsia="楷体_GB2312"/>
          <w:color w:val="auto"/>
          <w:sz w:val="32"/>
          <w:szCs w:val="32"/>
        </w:rPr>
      </w:pPr>
    </w:p>
    <w:p>
      <w:pPr>
        <w:spacing w:line="600" w:lineRule="exact"/>
        <w:jc w:val="center"/>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单位名称（盖章）：</w:t>
      </w:r>
    </w:p>
    <w:p>
      <w:pPr>
        <w:spacing w:line="600" w:lineRule="exact"/>
        <w:jc w:val="center"/>
        <w:rPr>
          <w:rFonts w:hint="eastAsia" w:ascii="黑体" w:hAnsi="黑体" w:eastAsia="黑体" w:cs="黑体"/>
          <w:color w:val="auto"/>
          <w:sz w:val="36"/>
          <w:szCs w:val="36"/>
          <w:lang w:val="en-US" w:eastAsia="zh-CN"/>
        </w:rPr>
      </w:pPr>
    </w:p>
    <w:p>
      <w:pPr>
        <w:spacing w:line="600" w:lineRule="exact"/>
        <w:jc w:val="center"/>
        <w:rPr>
          <w:rFonts w:hint="eastAsia" w:ascii="黑体" w:hAnsi="黑体" w:eastAsia="黑体" w:cs="黑体"/>
          <w:color w:val="auto"/>
          <w:sz w:val="36"/>
          <w:szCs w:val="36"/>
          <w:lang w:val="en-US" w:eastAsia="zh-CN"/>
        </w:rPr>
      </w:pPr>
    </w:p>
    <w:p>
      <w:pPr>
        <w:spacing w:line="600" w:lineRule="exact"/>
        <w:jc w:val="center"/>
        <w:rPr>
          <w:rFonts w:hint="eastAsia" w:ascii="黑体" w:hAnsi="黑体" w:eastAsia="黑体" w:cs="黑体"/>
          <w:color w:val="auto"/>
          <w:sz w:val="36"/>
          <w:szCs w:val="36"/>
          <w:lang w:val="en-US" w:eastAsia="zh-CN"/>
        </w:rPr>
      </w:pPr>
    </w:p>
    <w:p>
      <w:pPr>
        <w:spacing w:line="600" w:lineRule="exact"/>
        <w:jc w:val="center"/>
        <w:rPr>
          <w:rFonts w:hint="eastAsia" w:ascii="黑体" w:hAnsi="黑体" w:eastAsia="黑体" w:cs="黑体"/>
          <w:color w:val="auto"/>
          <w:sz w:val="36"/>
          <w:szCs w:val="36"/>
          <w:lang w:val="en-US" w:eastAsia="zh-CN"/>
        </w:rPr>
      </w:pPr>
    </w:p>
    <w:p>
      <w:pPr>
        <w:spacing w:line="600" w:lineRule="exact"/>
        <w:jc w:val="center"/>
        <w:rPr>
          <w:rFonts w:hint="eastAsia" w:ascii="黑体" w:hAnsi="黑体" w:eastAsia="黑体" w:cs="黑体"/>
          <w:color w:val="auto"/>
          <w:sz w:val="36"/>
          <w:szCs w:val="36"/>
          <w:lang w:val="en-US" w:eastAsia="zh-CN"/>
        </w:rPr>
      </w:pPr>
    </w:p>
    <w:p>
      <w:pPr>
        <w:spacing w:line="6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（此页为封面）</w:t>
      </w:r>
    </w:p>
    <w:p>
      <w:pPr>
        <w:rPr>
          <w:rFonts w:eastAsia="楷体_GB2312"/>
          <w:color w:val="auto"/>
          <w:sz w:val="32"/>
          <w:szCs w:val="32"/>
        </w:rPr>
      </w:pPr>
      <w:r>
        <w:rPr>
          <w:rFonts w:hint="eastAsia" w:ascii="仿宋_GB2312" w:hAnsi="仿宋_GB2312" w:eastAsia="仿宋_GB2312" w:cs="仿宋_GB2312"/>
          <w:color w:val="auto"/>
          <w:sz w:val="32"/>
          <w:szCs w:val="32"/>
          <w:lang w:val="en-US" w:eastAsia="zh-CN"/>
        </w:rPr>
        <w:br w:type="page"/>
      </w:r>
    </w:p>
    <w:p>
      <w:pPr>
        <w:pStyle w:val="7"/>
        <w:widowControl/>
        <w:numPr>
          <w:ilvl w:val="0"/>
          <w:numId w:val="1"/>
        </w:numPr>
        <w:spacing w:line="520" w:lineRule="exact"/>
        <w:ind w:firstLine="640"/>
        <w:rPr>
          <w:rFonts w:ascii="Times New Roman" w:hAnsi="Times New Roman" w:eastAsia="黑体"/>
          <w:color w:val="auto"/>
          <w:sz w:val="32"/>
          <w:szCs w:val="32"/>
        </w:rPr>
      </w:pPr>
      <w:r>
        <w:rPr>
          <w:rFonts w:ascii="Times New Roman" w:hAnsi="Times New Roman" w:eastAsia="黑体"/>
          <w:color w:val="auto"/>
          <w:sz w:val="32"/>
          <w:szCs w:val="32"/>
        </w:rPr>
        <w:t>基本情况</w:t>
      </w:r>
    </w:p>
    <w:p>
      <w:pPr>
        <w:pStyle w:val="7"/>
        <w:widowControl/>
        <w:numPr>
          <w:ilvl w:val="0"/>
          <w:numId w:val="2"/>
        </w:numPr>
        <w:spacing w:line="520" w:lineRule="exact"/>
        <w:ind w:left="-10" w:leftChars="0" w:firstLine="640" w:firstLineChars="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rPr>
        <w:t>部门</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单位</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基本情况</w:t>
      </w:r>
    </w:p>
    <w:p>
      <w:pPr>
        <w:keepNext w:val="0"/>
        <w:keepLines w:val="0"/>
        <w:pageBreakBefore w:val="0"/>
        <w:widowControl w:val="0"/>
        <w:numPr>
          <w:ilvl w:val="0"/>
          <w:numId w:val="3"/>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Calibri" w:hAnsi="Calibri" w:eastAsia="仿宋_GB2312" w:cs="Times New Roman"/>
          <w:snapToGrid w:val="0"/>
          <w:color w:val="auto"/>
          <w:kern w:val="0"/>
          <w:sz w:val="32"/>
          <w:szCs w:val="32"/>
          <w:lang w:val="en-US" w:eastAsia="zh-CN" w:bidi="ar-SA"/>
        </w:rPr>
        <w:t>主要职能:炎陵县发展和改革局负责全县国民经济和社会发展战略、发展规划、总量平衡、结构调整的区域经济调控；全社会固定资产投资总规模和投资结构的调控目标、政策及措施；研究拟订全县能源发展规划和政策建议，统筹协调和优化能源结构；参与拟订工业能源节约和资源综合利用规划:拟订并组织实施工业能源节约和资源综合利用政策;负责工业企业的节能考核和监察;负责全县电力行政执法;拟订全县价格改革方案和年度计划；研究提出价格调控目标和政策建议，组织实施价格总水平调控；管理全县重要商品、服务价格和行政事业性收费；价格监测、市场价格形势分析和涉案物价格鉴证；价格成本的调查和监审工作；拟定全县粮食宏观调控及粮食流通的中长期规划，承担全县粮食监测预警和应急责任，承担全县粮食流通宏观调控的具体工作，组织实施中央带出省市和县级救灾物资的收储轮换和日常管理，负责做好市级储备粮相关衔接和管理工作，监督检查县级储备粮的数量质量和储存，安全承担粮食安全省长责任制考核的具体工作；拟订粮食和物资储备监督检查制度，并组织实施负责全县粮食流通和粮食库存的监督检查工作；组织开展全县财经工作重大问题的政策研究协调。督促有关方面落实县委财经委员会的决定事项工作部署和要求，负责全县重点工作绩效评估和全面小康推进工作等的政府组成部门。</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9"/>
        <w:rPr>
          <w:rFonts w:hint="eastAsia" w:ascii="Calibri" w:hAnsi="Calibri" w:eastAsia="仿宋_GB2312" w:cs="Times New Roman"/>
          <w:snapToGrid w:val="0"/>
          <w:color w:val="auto"/>
          <w:kern w:val="0"/>
          <w:sz w:val="32"/>
          <w:szCs w:val="32"/>
          <w:lang w:val="en-US" w:eastAsia="zh-CN" w:bidi="ar-SA"/>
        </w:rPr>
      </w:pPr>
      <w:r>
        <w:rPr>
          <w:rFonts w:hint="eastAsia" w:ascii="Calibri" w:hAnsi="Calibri" w:eastAsia="仿宋_GB2312" w:cs="Times New Roman"/>
          <w:snapToGrid w:val="0"/>
          <w:color w:val="auto"/>
          <w:kern w:val="0"/>
          <w:sz w:val="32"/>
          <w:szCs w:val="32"/>
          <w:lang w:val="en-US" w:eastAsia="zh-CN" w:bidi="ar-SA"/>
        </w:rPr>
        <w:t>2．机构情况:根据编办核定，我单位内设机构6个，分别为办公室、项目管理股（项目前期股）、行政审批股、价费管理股、粮食和物资储备股、国防动员股。所属3个公益一类事业单位，其中，炎陵县重点建设项目事务中心为副科级公益一类事业单位；炎陵县价格认证中心为正股级公益一类事业单位；炎陵县电力和粮食行政执法大队为正股级公益一类事业单位。三个事业单位，财务均不独立核算。</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9"/>
        <w:rPr>
          <w:rFonts w:hint="eastAsia" w:ascii="Calibri" w:hAnsi="Calibri" w:eastAsia="仿宋_GB2312" w:cs="Times New Roman"/>
          <w:snapToGrid w:val="0"/>
          <w:color w:val="auto"/>
          <w:kern w:val="0"/>
          <w:sz w:val="32"/>
          <w:szCs w:val="32"/>
          <w:lang w:val="en-US" w:eastAsia="zh-CN" w:bidi="ar-SA"/>
        </w:rPr>
      </w:pPr>
      <w:r>
        <w:rPr>
          <w:rFonts w:hint="eastAsia" w:ascii="Calibri" w:hAnsi="Calibri" w:eastAsia="仿宋_GB2312" w:cs="Times New Roman"/>
          <w:snapToGrid w:val="0"/>
          <w:color w:val="auto"/>
          <w:kern w:val="0"/>
          <w:sz w:val="32"/>
          <w:szCs w:val="32"/>
          <w:lang w:val="en-US" w:eastAsia="zh-CN" w:bidi="ar-SA"/>
        </w:rPr>
        <w:t>3．人员情况:本部门编制数43人，在职人数36人，其中在岗人数36人；退休人数43人。</w:t>
      </w:r>
    </w:p>
    <w:p>
      <w:pPr>
        <w:pStyle w:val="7"/>
        <w:widowControl/>
        <w:numPr>
          <w:ilvl w:val="0"/>
          <w:numId w:val="0"/>
        </w:numPr>
        <w:spacing w:line="520" w:lineRule="exact"/>
        <w:ind w:left="630" w:leftChars="0"/>
        <w:rPr>
          <w:rFonts w:hint="eastAsia" w:ascii="楷体_GB2312" w:hAnsi="楷体_GB2312" w:eastAsia="楷体_GB2312" w:cs="楷体_GB2312"/>
          <w:color w:val="auto"/>
          <w:sz w:val="32"/>
          <w:szCs w:val="32"/>
          <w:lang w:val="en-US" w:eastAsia="zh-CN"/>
        </w:rPr>
      </w:pPr>
    </w:p>
    <w:p>
      <w:pPr>
        <w:pStyle w:val="7"/>
        <w:widowControl/>
        <w:spacing w:line="520" w:lineRule="exact"/>
        <w:ind w:left="640" w:firstLine="0" w:firstLineChars="0"/>
        <w:rPr>
          <w:rFonts w:ascii="Times New Roman" w:hAnsi="Times New Roman" w:eastAsia="黑体"/>
          <w:color w:val="auto"/>
          <w:sz w:val="32"/>
          <w:szCs w:val="32"/>
        </w:rPr>
      </w:pPr>
      <w:r>
        <w:rPr>
          <w:rFonts w:hint="eastAsia" w:ascii="Times New Roman" w:hAnsi="Times New Roman" w:eastAsia="黑体"/>
          <w:color w:val="auto"/>
          <w:sz w:val="32"/>
          <w:szCs w:val="32"/>
        </w:rPr>
        <w:t>二、</w:t>
      </w:r>
      <w:r>
        <w:rPr>
          <w:rFonts w:ascii="Times New Roman" w:hAnsi="Times New Roman" w:eastAsia="黑体"/>
          <w:color w:val="auto"/>
          <w:sz w:val="32"/>
          <w:szCs w:val="32"/>
        </w:rPr>
        <w:t>一般公共预算支出情况</w:t>
      </w:r>
    </w:p>
    <w:p>
      <w:pPr>
        <w:pStyle w:val="7"/>
        <w:widowControl/>
        <w:spacing w:line="520" w:lineRule="exact"/>
        <w:ind w:left="640" w:firstLine="0" w:firstLineChars="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（一）基本支出情况</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outlineLvl w:val="9"/>
        <w:rPr>
          <w:rFonts w:hint="default" w:ascii="Calibri" w:hAnsi="Calibri" w:eastAsia="仿宋_GB2312" w:cs="Times New Roman"/>
          <w:snapToGrid w:val="0"/>
          <w:color w:val="auto"/>
          <w:kern w:val="0"/>
          <w:sz w:val="32"/>
          <w:szCs w:val="32"/>
          <w:lang w:val="en-US" w:eastAsia="zh-CN" w:bidi="ar-SA"/>
        </w:rPr>
      </w:pPr>
      <w:r>
        <w:rPr>
          <w:rFonts w:hint="eastAsia" w:ascii="Calibri" w:hAnsi="Calibri" w:eastAsia="仿宋_GB2312" w:cs="Times New Roman"/>
          <w:snapToGrid w:val="0"/>
          <w:color w:val="auto"/>
          <w:kern w:val="0"/>
          <w:sz w:val="32"/>
          <w:szCs w:val="32"/>
          <w:lang w:val="en-US" w:eastAsia="zh-CN" w:bidi="ar-SA"/>
        </w:rPr>
        <w:t>我单位2023年基本支出8937098.32元，年初收入预算8937098.32元。其中人员经费支出4865705.9元，占基本支出的54.43%，主要包括基本工资、津贴补贴、奖金、机关事业单位基本养老保险缴费、职工基本医疗保险缴费、公务员医疗补助缴费、住房公积金、其他社会保障缴费、其他工资福利支出、生活补助；公用经费支出1401640元，占基本支出的15.68 %，主要包括办公费、印刷费、水费、电费、邮电费、差旅费、维修（护）费、会议费、培训费、公务接待费、专用材料费、劳务费、委托业务费、工会经费、公务用车运行维护费、其他交通费用、其他商品和服务支出;粮油物资储备支出2669752.42元,占基本支出的29.87 %，主要包括粮食风险基金费用和专项业务活动费用。</w:t>
      </w:r>
    </w:p>
    <w:p>
      <w:pPr>
        <w:pStyle w:val="7"/>
        <w:widowControl/>
        <w:spacing w:line="520" w:lineRule="exact"/>
        <w:ind w:left="640" w:firstLine="0" w:firstLineChars="0"/>
        <w:rPr>
          <w:rFonts w:hint="eastAsia" w:ascii="楷体_GB2312" w:hAnsi="楷体_GB2312" w:eastAsia="楷体_GB2312" w:cs="楷体_GB2312"/>
          <w:color w:val="auto"/>
          <w:sz w:val="32"/>
          <w:szCs w:val="32"/>
        </w:rPr>
      </w:pPr>
    </w:p>
    <w:p>
      <w:pPr>
        <w:pStyle w:val="7"/>
        <w:widowControl/>
        <w:spacing w:line="520" w:lineRule="exact"/>
        <w:ind w:left="640" w:firstLine="0" w:firstLineChars="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（二）项目支出情况</w:t>
      </w:r>
    </w:p>
    <w:p>
      <w:pPr>
        <w:pStyle w:val="7"/>
        <w:widowControl/>
        <w:spacing w:line="520" w:lineRule="exact"/>
        <w:jc w:val="left"/>
        <w:rPr>
          <w:rFonts w:hint="eastAsia" w:ascii="Calibri" w:hAnsi="Calibri" w:eastAsia="仿宋_GB2312" w:cs="Times New Roman"/>
          <w:snapToGrid w:val="0"/>
          <w:color w:val="auto"/>
          <w:kern w:val="0"/>
          <w:sz w:val="32"/>
          <w:szCs w:val="32"/>
          <w:lang w:val="en-US" w:eastAsia="zh-CN" w:bidi="ar-SA"/>
        </w:rPr>
      </w:pPr>
      <w:r>
        <w:rPr>
          <w:rFonts w:hint="eastAsia" w:ascii="Calibri" w:hAnsi="Calibri" w:eastAsia="仿宋_GB2312" w:cs="Times New Roman"/>
          <w:snapToGrid w:val="0"/>
          <w:color w:val="auto"/>
          <w:kern w:val="0"/>
          <w:sz w:val="32"/>
          <w:szCs w:val="32"/>
          <w:lang w:val="en-US" w:eastAsia="zh-CN" w:bidi="ar-SA"/>
        </w:rPr>
        <w:t>本单位无项目资金支出。</w:t>
      </w:r>
    </w:p>
    <w:p>
      <w:pPr>
        <w:pStyle w:val="7"/>
        <w:widowControl/>
        <w:spacing w:line="520" w:lineRule="exact"/>
        <w:ind w:left="640" w:firstLine="0" w:firstLineChars="0"/>
        <w:jc w:val="left"/>
        <w:rPr>
          <w:rFonts w:hint="eastAsia" w:ascii="Times New Roman" w:hAnsi="Times New Roman" w:eastAsia="黑体"/>
          <w:color w:val="auto"/>
          <w:sz w:val="32"/>
          <w:szCs w:val="32"/>
        </w:rPr>
      </w:pPr>
    </w:p>
    <w:p>
      <w:pPr>
        <w:pStyle w:val="7"/>
        <w:widowControl/>
        <w:spacing w:line="520" w:lineRule="exact"/>
        <w:ind w:left="640" w:firstLine="0" w:firstLineChars="0"/>
        <w:jc w:val="left"/>
        <w:rPr>
          <w:rFonts w:ascii="Times New Roman" w:hAnsi="Times New Roman" w:eastAsia="黑体"/>
          <w:color w:val="auto"/>
          <w:sz w:val="32"/>
          <w:szCs w:val="32"/>
        </w:rPr>
      </w:pPr>
      <w:r>
        <w:rPr>
          <w:rFonts w:hint="eastAsia" w:ascii="Times New Roman" w:hAnsi="Times New Roman" w:eastAsia="黑体"/>
          <w:color w:val="auto"/>
          <w:sz w:val="32"/>
          <w:szCs w:val="32"/>
        </w:rPr>
        <w:t>三、</w:t>
      </w:r>
      <w:r>
        <w:rPr>
          <w:rFonts w:ascii="Times New Roman" w:hAnsi="Times New Roman" w:eastAsia="黑体"/>
          <w:color w:val="auto"/>
          <w:sz w:val="32"/>
          <w:szCs w:val="32"/>
        </w:rPr>
        <w:t>政府性基金预算支出情况</w:t>
      </w:r>
    </w:p>
    <w:p>
      <w:pPr>
        <w:pStyle w:val="7"/>
        <w:widowControl/>
        <w:spacing w:line="520" w:lineRule="exact"/>
        <w:jc w:val="left"/>
        <w:rPr>
          <w:rFonts w:hint="eastAsia" w:ascii="Calibri" w:hAnsi="Calibri" w:eastAsia="仿宋_GB2312" w:cs="Times New Roman"/>
          <w:snapToGrid w:val="0"/>
          <w:color w:val="auto"/>
          <w:kern w:val="0"/>
          <w:sz w:val="32"/>
          <w:szCs w:val="32"/>
          <w:lang w:val="en-US" w:eastAsia="zh-CN" w:bidi="ar-SA"/>
        </w:rPr>
      </w:pPr>
      <w:r>
        <w:rPr>
          <w:rFonts w:hint="eastAsia" w:ascii="Calibri" w:hAnsi="Calibri" w:eastAsia="仿宋_GB2312" w:cs="Times New Roman"/>
          <w:snapToGrid w:val="0"/>
          <w:color w:val="auto"/>
          <w:kern w:val="0"/>
          <w:sz w:val="32"/>
          <w:szCs w:val="32"/>
          <w:lang w:val="en-US" w:eastAsia="zh-CN" w:bidi="ar-SA"/>
        </w:rPr>
        <w:t>我单位2023年政府性基金基本支出950000元，年初政府性基金收入预算950000元。其中征地和拆迁补偿支出450000元，农村基础设施建设支出250000元。</w:t>
      </w:r>
    </w:p>
    <w:p>
      <w:pPr>
        <w:pStyle w:val="7"/>
        <w:widowControl/>
        <w:spacing w:line="520" w:lineRule="exact"/>
        <w:jc w:val="left"/>
        <w:rPr>
          <w:rFonts w:hint="default" w:ascii="Calibri" w:hAnsi="Calibri" w:eastAsia="仿宋_GB2312" w:cs="Times New Roman"/>
          <w:snapToGrid w:val="0"/>
          <w:color w:val="auto"/>
          <w:kern w:val="0"/>
          <w:sz w:val="32"/>
          <w:szCs w:val="32"/>
          <w:lang w:val="en-US" w:eastAsia="zh-CN" w:bidi="ar-SA"/>
        </w:rPr>
      </w:pPr>
    </w:p>
    <w:p>
      <w:pPr>
        <w:pStyle w:val="7"/>
        <w:widowControl/>
        <w:numPr>
          <w:ilvl w:val="0"/>
          <w:numId w:val="4"/>
        </w:numPr>
        <w:spacing w:line="520" w:lineRule="exact"/>
        <w:ind w:left="630" w:leftChars="0" w:firstLine="0" w:firstLineChars="0"/>
        <w:jc w:val="left"/>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lang w:val="en-US" w:eastAsia="zh-CN"/>
        </w:rPr>
        <w:t>国有资本经营预算支出情况</w:t>
      </w:r>
    </w:p>
    <w:p>
      <w:pPr>
        <w:pStyle w:val="7"/>
        <w:widowControl/>
        <w:numPr>
          <w:ilvl w:val="0"/>
          <w:numId w:val="0"/>
        </w:numPr>
        <w:spacing w:line="520" w:lineRule="exact"/>
        <w:ind w:left="640" w:leftChars="0" w:firstLine="640" w:firstLineChars="200"/>
        <w:jc w:val="left"/>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lang w:val="en-US" w:eastAsia="zh-CN"/>
        </w:rPr>
        <w:t>无</w:t>
      </w:r>
    </w:p>
    <w:p>
      <w:pPr>
        <w:pStyle w:val="7"/>
        <w:widowControl/>
        <w:numPr>
          <w:ilvl w:val="0"/>
          <w:numId w:val="0"/>
        </w:numPr>
        <w:spacing w:line="520" w:lineRule="exact"/>
        <w:ind w:left="640" w:leftChars="0" w:firstLine="640" w:firstLineChars="200"/>
        <w:jc w:val="left"/>
        <w:rPr>
          <w:rFonts w:hint="default" w:ascii="Times New Roman" w:hAnsi="Times New Roman" w:eastAsia="黑体"/>
          <w:color w:val="auto"/>
          <w:sz w:val="32"/>
          <w:szCs w:val="32"/>
          <w:lang w:val="en-US" w:eastAsia="zh-CN"/>
        </w:rPr>
      </w:pPr>
    </w:p>
    <w:p>
      <w:pPr>
        <w:pStyle w:val="7"/>
        <w:widowControl/>
        <w:numPr>
          <w:ilvl w:val="0"/>
          <w:numId w:val="4"/>
        </w:numPr>
        <w:spacing w:line="520" w:lineRule="exact"/>
        <w:ind w:left="630" w:leftChars="0" w:firstLine="0" w:firstLineChars="0"/>
        <w:jc w:val="left"/>
        <w:rPr>
          <w:rFonts w:ascii="Times New Roman" w:hAnsi="Times New Roman" w:eastAsia="黑体"/>
          <w:color w:val="auto"/>
          <w:sz w:val="32"/>
          <w:szCs w:val="32"/>
        </w:rPr>
      </w:pPr>
      <w:r>
        <w:rPr>
          <w:rFonts w:ascii="Times New Roman" w:hAnsi="Times New Roman" w:eastAsia="黑体"/>
          <w:color w:val="auto"/>
          <w:sz w:val="32"/>
          <w:szCs w:val="32"/>
        </w:rPr>
        <w:t>社会保险基金预算支出情况</w:t>
      </w:r>
    </w:p>
    <w:p>
      <w:pPr>
        <w:ind w:firstLine="640" w:firstLineChars="200"/>
        <w:jc w:val="left"/>
        <w:rPr>
          <w:rFonts w:hint="eastAsia" w:ascii="Calibri" w:hAnsi="Calibri" w:eastAsia="仿宋_GB2312" w:cs="Times New Roman"/>
          <w:snapToGrid w:val="0"/>
          <w:color w:val="auto"/>
          <w:kern w:val="0"/>
          <w:sz w:val="32"/>
          <w:szCs w:val="32"/>
          <w:lang w:val="en-US" w:eastAsia="zh-CN" w:bidi="ar-SA"/>
        </w:rPr>
      </w:pPr>
      <w:r>
        <w:rPr>
          <w:rFonts w:hint="eastAsia" w:ascii="Calibri" w:hAnsi="Calibri" w:eastAsia="仿宋_GB2312" w:cs="Times New Roman"/>
          <w:snapToGrid w:val="0"/>
          <w:color w:val="auto"/>
          <w:kern w:val="0"/>
          <w:sz w:val="32"/>
          <w:szCs w:val="32"/>
          <w:lang w:val="en-US" w:eastAsia="zh-CN" w:bidi="ar-SA"/>
        </w:rPr>
        <w:t>1、社会保障和就业支出（类）行政事业单位养老支出（款）机关事业单位基本养老保险缴费支出（项）。</w:t>
      </w:r>
    </w:p>
    <w:p>
      <w:pPr>
        <w:pStyle w:val="7"/>
        <w:widowControl/>
        <w:numPr>
          <w:ilvl w:val="0"/>
          <w:numId w:val="0"/>
        </w:numPr>
        <w:spacing w:line="520" w:lineRule="exact"/>
        <w:ind w:firstLine="640" w:firstLineChars="200"/>
        <w:jc w:val="left"/>
        <w:rPr>
          <w:rFonts w:hint="default" w:ascii="Calibri" w:hAnsi="Calibri" w:eastAsia="仿宋_GB2312" w:cs="Times New Roman"/>
          <w:snapToGrid w:val="0"/>
          <w:color w:val="auto"/>
          <w:kern w:val="0"/>
          <w:sz w:val="32"/>
          <w:szCs w:val="32"/>
          <w:lang w:val="en-US" w:eastAsia="zh-CN" w:bidi="ar-SA"/>
        </w:rPr>
      </w:pPr>
      <w:r>
        <w:rPr>
          <w:rFonts w:hint="eastAsia" w:ascii="Calibri" w:hAnsi="Calibri" w:eastAsia="仿宋_GB2312" w:cs="Times New Roman"/>
          <w:snapToGrid w:val="0"/>
          <w:color w:val="auto"/>
          <w:kern w:val="0"/>
          <w:sz w:val="32"/>
          <w:szCs w:val="32"/>
          <w:lang w:val="en-US" w:eastAsia="zh-CN" w:bidi="ar-SA"/>
        </w:rPr>
        <w:t>年初预算为372002元，支出决算为480716元，完成年初预算的129.22%。决算数大于年初预算数的主要原因是：2023年度粮食、人防、财经委因职能转入我局，我局增加了人员经费。</w:t>
      </w:r>
    </w:p>
    <w:p>
      <w:pPr>
        <w:ind w:firstLine="640" w:firstLineChars="200"/>
        <w:jc w:val="left"/>
        <w:rPr>
          <w:rFonts w:hint="eastAsia" w:ascii="Calibri" w:hAnsi="Calibri" w:eastAsia="仿宋_GB2312" w:cs="Times New Roman"/>
          <w:snapToGrid w:val="0"/>
          <w:color w:val="auto"/>
          <w:kern w:val="0"/>
          <w:sz w:val="32"/>
          <w:szCs w:val="32"/>
          <w:lang w:val="en-US" w:eastAsia="zh-CN" w:bidi="ar-SA"/>
        </w:rPr>
      </w:pPr>
      <w:r>
        <w:rPr>
          <w:rFonts w:hint="eastAsia" w:ascii="Calibri" w:hAnsi="Calibri" w:eastAsia="仿宋_GB2312" w:cs="Times New Roman"/>
          <w:snapToGrid w:val="0"/>
          <w:color w:val="auto"/>
          <w:kern w:val="0"/>
          <w:sz w:val="32"/>
          <w:szCs w:val="32"/>
          <w:lang w:val="en-US" w:eastAsia="zh-CN" w:bidi="ar-SA"/>
        </w:rPr>
        <w:t>2、社会保障和就业支出（类）财政对其他社会保险基金的补助（款）财政对失业保险基金的补助（项）。</w:t>
      </w:r>
    </w:p>
    <w:p>
      <w:pPr>
        <w:pStyle w:val="7"/>
        <w:widowControl/>
        <w:numPr>
          <w:ilvl w:val="0"/>
          <w:numId w:val="0"/>
        </w:numPr>
        <w:spacing w:line="520" w:lineRule="exact"/>
        <w:ind w:firstLine="640" w:firstLineChars="200"/>
        <w:jc w:val="left"/>
        <w:rPr>
          <w:rFonts w:hint="default" w:ascii="Calibri" w:hAnsi="Calibri" w:eastAsia="仿宋_GB2312" w:cs="Times New Roman"/>
          <w:snapToGrid w:val="0"/>
          <w:color w:val="auto"/>
          <w:kern w:val="0"/>
          <w:sz w:val="32"/>
          <w:szCs w:val="32"/>
          <w:lang w:val="en-US" w:eastAsia="zh-CN" w:bidi="ar-SA"/>
        </w:rPr>
      </w:pPr>
      <w:r>
        <w:rPr>
          <w:rFonts w:hint="eastAsia" w:ascii="Calibri" w:hAnsi="Calibri" w:eastAsia="仿宋_GB2312" w:cs="Times New Roman"/>
          <w:snapToGrid w:val="0"/>
          <w:color w:val="auto"/>
          <w:kern w:val="0"/>
          <w:sz w:val="32"/>
          <w:szCs w:val="32"/>
          <w:lang w:val="en-US" w:eastAsia="zh-CN" w:bidi="ar-SA"/>
        </w:rPr>
        <w:t>年初预算为6718元，支出决算为8196.22元，完成年初预算的122.01%。决算数大于年初预算数的主要原因是：2023年度粮食、人防、财经委因职能转入我局，我局增加了人员经费。</w:t>
      </w:r>
    </w:p>
    <w:p>
      <w:pPr>
        <w:ind w:firstLine="640" w:firstLineChars="200"/>
        <w:jc w:val="left"/>
        <w:rPr>
          <w:rFonts w:hint="eastAsia" w:ascii="Calibri" w:hAnsi="Calibri" w:eastAsia="仿宋_GB2312" w:cs="Times New Roman"/>
          <w:snapToGrid w:val="0"/>
          <w:color w:val="auto"/>
          <w:kern w:val="0"/>
          <w:sz w:val="32"/>
          <w:szCs w:val="32"/>
          <w:lang w:val="en-US" w:eastAsia="zh-CN" w:bidi="ar-SA"/>
        </w:rPr>
      </w:pPr>
      <w:r>
        <w:rPr>
          <w:rFonts w:hint="eastAsia" w:ascii="Calibri" w:hAnsi="Calibri" w:eastAsia="仿宋_GB2312" w:cs="Times New Roman"/>
          <w:snapToGrid w:val="0"/>
          <w:color w:val="auto"/>
          <w:kern w:val="0"/>
          <w:sz w:val="32"/>
          <w:szCs w:val="32"/>
          <w:lang w:val="en-US" w:eastAsia="zh-CN" w:bidi="ar-SA"/>
        </w:rPr>
        <w:t>3、社会保障和就业支出（类）财政对其他社会保险基金的补助（款）财政对工伤保险基金的补助（项）。</w:t>
      </w:r>
    </w:p>
    <w:p>
      <w:pPr>
        <w:pStyle w:val="7"/>
        <w:widowControl/>
        <w:numPr>
          <w:ilvl w:val="0"/>
          <w:numId w:val="0"/>
        </w:numPr>
        <w:spacing w:line="520" w:lineRule="exact"/>
        <w:ind w:firstLine="640" w:firstLineChars="200"/>
        <w:jc w:val="left"/>
        <w:rPr>
          <w:rFonts w:hint="eastAsia"/>
          <w:lang w:val="en-US" w:eastAsia="zh-CN"/>
        </w:rPr>
      </w:pPr>
      <w:r>
        <w:rPr>
          <w:rFonts w:hint="eastAsia" w:ascii="Calibri" w:hAnsi="Calibri" w:eastAsia="仿宋_GB2312" w:cs="Times New Roman"/>
          <w:snapToGrid w:val="0"/>
          <w:color w:val="auto"/>
          <w:kern w:val="0"/>
          <w:sz w:val="32"/>
          <w:szCs w:val="32"/>
          <w:lang w:val="en-US" w:eastAsia="zh-CN" w:bidi="ar-SA"/>
        </w:rPr>
        <w:t>年初预算为8555元，支出决算为10960.37元，完成年初预算的128.11%。决算数大于年初预算数的主要原因是：2023年度粮食、人防、财经委因职能转入我局，我局增加了人员经费。</w:t>
      </w:r>
    </w:p>
    <w:p>
      <w:pPr>
        <w:numPr>
          <w:ilvl w:val="0"/>
          <w:numId w:val="5"/>
        </w:numPr>
        <w:ind w:firstLine="640" w:firstLineChars="200"/>
        <w:jc w:val="left"/>
        <w:rPr>
          <w:rFonts w:hint="eastAsia" w:ascii="Calibri" w:hAnsi="Calibri" w:eastAsia="仿宋_GB2312" w:cs="Times New Roman"/>
          <w:snapToGrid w:val="0"/>
          <w:color w:val="auto"/>
          <w:kern w:val="0"/>
          <w:sz w:val="32"/>
          <w:szCs w:val="32"/>
          <w:lang w:val="en-US" w:eastAsia="zh-CN" w:bidi="ar-SA"/>
        </w:rPr>
      </w:pPr>
      <w:r>
        <w:rPr>
          <w:rFonts w:hint="eastAsia" w:ascii="Calibri" w:hAnsi="Calibri" w:eastAsia="仿宋_GB2312" w:cs="Times New Roman"/>
          <w:snapToGrid w:val="0"/>
          <w:color w:val="auto"/>
          <w:kern w:val="0"/>
          <w:sz w:val="32"/>
          <w:szCs w:val="32"/>
          <w:lang w:val="en-US" w:eastAsia="zh-CN" w:bidi="ar-SA"/>
        </w:rPr>
        <w:t>卫生健康支出（类）行政事业单位医疗（款）行政单位医疗（项）。</w:t>
      </w:r>
    </w:p>
    <w:p>
      <w:pPr>
        <w:pStyle w:val="7"/>
        <w:widowControl/>
        <w:numPr>
          <w:ilvl w:val="0"/>
          <w:numId w:val="0"/>
        </w:numPr>
        <w:spacing w:line="520" w:lineRule="exact"/>
        <w:ind w:firstLine="640" w:firstLineChars="200"/>
        <w:jc w:val="left"/>
        <w:rPr>
          <w:rFonts w:hint="eastAsia" w:ascii="Calibri" w:hAnsi="Calibri" w:eastAsia="仿宋_GB2312" w:cs="Times New Roman"/>
          <w:snapToGrid w:val="0"/>
          <w:color w:val="auto"/>
          <w:kern w:val="0"/>
          <w:sz w:val="32"/>
          <w:szCs w:val="32"/>
          <w:lang w:val="en-US" w:eastAsia="zh-CN" w:bidi="ar-SA"/>
        </w:rPr>
      </w:pPr>
      <w:r>
        <w:rPr>
          <w:rFonts w:hint="eastAsia" w:ascii="Calibri" w:hAnsi="Calibri" w:eastAsia="仿宋_GB2312" w:cs="Times New Roman"/>
          <w:snapToGrid w:val="0"/>
          <w:color w:val="auto"/>
          <w:kern w:val="0"/>
          <w:sz w:val="32"/>
          <w:szCs w:val="32"/>
          <w:lang w:val="en-US" w:eastAsia="zh-CN" w:bidi="ar-SA"/>
        </w:rPr>
        <w:t>年初预算为154868元，支出决算为202077.38元，完成年初预算的130.48%。决算数大于年初预算数的主要原因是：2023年度粮食、人防、财经委因职能转入我局，我局增加了人员经费。</w:t>
      </w:r>
    </w:p>
    <w:p>
      <w:pPr>
        <w:numPr>
          <w:ilvl w:val="0"/>
          <w:numId w:val="5"/>
        </w:numPr>
        <w:ind w:left="0" w:leftChars="0" w:firstLine="640" w:firstLineChars="200"/>
        <w:jc w:val="left"/>
        <w:rPr>
          <w:rFonts w:hint="eastAsia" w:ascii="Calibri" w:hAnsi="Calibri" w:eastAsia="仿宋_GB2312" w:cs="Times New Roman"/>
          <w:snapToGrid w:val="0"/>
          <w:color w:val="auto"/>
          <w:kern w:val="0"/>
          <w:sz w:val="32"/>
          <w:szCs w:val="32"/>
          <w:lang w:val="en-US" w:eastAsia="zh-CN" w:bidi="ar-SA"/>
        </w:rPr>
      </w:pPr>
      <w:r>
        <w:rPr>
          <w:rFonts w:hint="eastAsia" w:ascii="Calibri" w:hAnsi="Calibri" w:eastAsia="仿宋_GB2312" w:cs="Times New Roman"/>
          <w:snapToGrid w:val="0"/>
          <w:color w:val="auto"/>
          <w:kern w:val="0"/>
          <w:sz w:val="32"/>
          <w:szCs w:val="32"/>
          <w:lang w:val="en-US" w:eastAsia="zh-CN" w:bidi="ar-SA"/>
        </w:rPr>
        <w:t>卫生健康支出（类） 行政事业单位医疗（款）其他行政事业单位医疗支出（项）。</w:t>
      </w:r>
    </w:p>
    <w:p>
      <w:pPr>
        <w:pStyle w:val="7"/>
        <w:widowControl/>
        <w:numPr>
          <w:ilvl w:val="0"/>
          <w:numId w:val="0"/>
        </w:numPr>
        <w:spacing w:line="520" w:lineRule="exact"/>
        <w:ind w:firstLine="640" w:firstLineChars="200"/>
        <w:jc w:val="left"/>
        <w:rPr>
          <w:rFonts w:hint="eastAsia" w:ascii="Calibri" w:hAnsi="Calibri" w:eastAsia="仿宋_GB2312" w:cs="Times New Roman"/>
          <w:snapToGrid w:val="0"/>
          <w:color w:val="auto"/>
          <w:kern w:val="0"/>
          <w:sz w:val="32"/>
          <w:szCs w:val="32"/>
          <w:lang w:val="en-US" w:eastAsia="zh-CN" w:bidi="ar-SA"/>
        </w:rPr>
      </w:pPr>
      <w:r>
        <w:rPr>
          <w:rFonts w:hint="eastAsia" w:ascii="Calibri" w:hAnsi="Calibri" w:eastAsia="仿宋_GB2312" w:cs="Times New Roman"/>
          <w:snapToGrid w:val="0"/>
          <w:color w:val="auto"/>
          <w:kern w:val="0"/>
          <w:sz w:val="32"/>
          <w:szCs w:val="32"/>
          <w:lang w:val="en-US" w:eastAsia="zh-CN" w:bidi="ar-SA"/>
        </w:rPr>
        <w:t>年初预算为3120元，支出决算为4006元，完成年初预算的1</w:t>
      </w:r>
      <w:bookmarkStart w:id="0" w:name="_GoBack"/>
      <w:bookmarkEnd w:id="0"/>
      <w:r>
        <w:rPr>
          <w:rFonts w:hint="eastAsia" w:ascii="Calibri" w:hAnsi="Calibri" w:eastAsia="仿宋_GB2312" w:cs="Times New Roman"/>
          <w:snapToGrid w:val="0"/>
          <w:color w:val="auto"/>
          <w:kern w:val="0"/>
          <w:sz w:val="32"/>
          <w:szCs w:val="32"/>
          <w:lang w:val="en-US" w:eastAsia="zh-CN" w:bidi="ar-SA"/>
        </w:rPr>
        <w:t>28.39%。决算数大于年初预算数的主要原因是：2023年度粮食、人防、财经委因职能转入我局，我局增加了人员经费。</w:t>
      </w:r>
    </w:p>
    <w:p>
      <w:pPr>
        <w:ind w:firstLine="640" w:firstLineChars="200"/>
        <w:jc w:val="left"/>
        <w:rPr>
          <w:rFonts w:hint="eastAsia" w:ascii="Calibri" w:hAnsi="Calibri" w:eastAsia="仿宋_GB2312" w:cs="Times New Roman"/>
          <w:snapToGrid w:val="0"/>
          <w:color w:val="auto"/>
          <w:kern w:val="0"/>
          <w:sz w:val="32"/>
          <w:szCs w:val="32"/>
          <w:lang w:val="en-US" w:eastAsia="zh-CN" w:bidi="ar-SA"/>
        </w:rPr>
      </w:pPr>
      <w:r>
        <w:rPr>
          <w:rFonts w:hint="eastAsia" w:ascii="Calibri" w:hAnsi="Calibri" w:eastAsia="仿宋_GB2312" w:cs="Times New Roman"/>
          <w:snapToGrid w:val="0"/>
          <w:color w:val="auto"/>
          <w:kern w:val="0"/>
          <w:sz w:val="32"/>
          <w:szCs w:val="32"/>
          <w:lang w:val="en-US" w:eastAsia="zh-CN" w:bidi="ar-SA"/>
        </w:rPr>
        <w:t>6.住房保障支出（类）住房改革支出（款）住房公积金（项）。</w:t>
      </w:r>
    </w:p>
    <w:p>
      <w:pPr>
        <w:ind w:firstLine="640" w:firstLineChars="200"/>
        <w:jc w:val="left"/>
        <w:rPr>
          <w:rFonts w:hint="default" w:ascii="Calibri" w:hAnsi="Calibri" w:eastAsia="仿宋_GB2312" w:cs="Times New Roman"/>
          <w:snapToGrid w:val="0"/>
          <w:color w:val="auto"/>
          <w:kern w:val="0"/>
          <w:sz w:val="32"/>
          <w:szCs w:val="32"/>
          <w:lang w:val="en-US" w:eastAsia="zh-CN" w:bidi="ar-SA"/>
        </w:rPr>
      </w:pPr>
      <w:r>
        <w:rPr>
          <w:rFonts w:hint="eastAsia" w:ascii="Calibri" w:hAnsi="Calibri" w:eastAsia="仿宋_GB2312" w:cs="Times New Roman"/>
          <w:snapToGrid w:val="0"/>
          <w:color w:val="auto"/>
          <w:kern w:val="0"/>
          <w:sz w:val="32"/>
          <w:szCs w:val="32"/>
          <w:lang w:val="en-US" w:eastAsia="zh-CN" w:bidi="ar-SA"/>
        </w:rPr>
        <w:t>年初预算为305822元，支出决算为394966元，完成年初预算的129.14%，决算数大于年初预算数的主要原因是：2023年度粮食、人防、财经委因职能转入我局，我局增加了人员经费。</w:t>
      </w:r>
    </w:p>
    <w:p>
      <w:pPr>
        <w:widowControl/>
        <w:spacing w:line="520" w:lineRule="exact"/>
        <w:ind w:firstLine="645"/>
        <w:jc w:val="left"/>
        <w:rPr>
          <w:rFonts w:hint="eastAsia" w:eastAsia="黑体"/>
          <w:color w:val="auto"/>
          <w:sz w:val="32"/>
          <w:szCs w:val="32"/>
          <w:lang w:val="en-US" w:eastAsia="zh-CN"/>
        </w:rPr>
      </w:pPr>
    </w:p>
    <w:p>
      <w:pPr>
        <w:widowControl/>
        <w:spacing w:line="520" w:lineRule="exact"/>
        <w:ind w:firstLine="645"/>
        <w:jc w:val="left"/>
        <w:rPr>
          <w:rFonts w:eastAsia="黑体"/>
          <w:color w:val="auto"/>
          <w:sz w:val="32"/>
          <w:szCs w:val="32"/>
        </w:rPr>
      </w:pPr>
      <w:r>
        <w:rPr>
          <w:rFonts w:hint="eastAsia" w:eastAsia="黑体"/>
          <w:color w:val="auto"/>
          <w:sz w:val="32"/>
          <w:szCs w:val="32"/>
          <w:lang w:val="en-US" w:eastAsia="zh-CN"/>
        </w:rPr>
        <w:t>六</w:t>
      </w:r>
      <w:r>
        <w:rPr>
          <w:rFonts w:eastAsia="黑体"/>
          <w:color w:val="auto"/>
          <w:sz w:val="32"/>
          <w:szCs w:val="32"/>
        </w:rPr>
        <w:t>、部门整体支出绩效情况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alibri" w:hAnsi="Calibri" w:eastAsia="仿宋_GB2312" w:cs="Times New Roman"/>
          <w:snapToGrid w:val="0"/>
          <w:color w:val="auto"/>
          <w:kern w:val="0"/>
          <w:sz w:val="32"/>
          <w:szCs w:val="32"/>
          <w:lang w:val="en-US" w:eastAsia="zh-CN" w:bidi="ar-SA"/>
        </w:rPr>
      </w:pPr>
      <w:r>
        <w:rPr>
          <w:rFonts w:hint="eastAsia" w:ascii="Calibri" w:hAnsi="Calibri" w:eastAsia="仿宋_GB2312" w:cs="Times New Roman"/>
          <w:snapToGrid w:val="0"/>
          <w:color w:val="auto"/>
          <w:kern w:val="0"/>
          <w:sz w:val="32"/>
          <w:szCs w:val="32"/>
          <w:lang w:val="en-US" w:eastAsia="zh-CN" w:bidi="ar-SA"/>
        </w:rPr>
        <w:t>2023年，在县委县政府的坚强领导下，县发展和改革局始终坚持以习近平新时代中国特色社会主义思想为指导，深入学习贯彻习近平总书记视察湖南重要讲话和重要批示精神，全面落实党的二十大精神，紧紧围绕县委县政府工作思路，全局干部职工争先创优、砥砺奋进、狠抓落实，统筹推进重点项目建设、固定资产投资等工作，持续提升炎陵经济发展质效。炎陵县高质量发展工作入选省政府2023年真抓实干督查激励推荐名单；易地扶贫搬迁工作获省政府2023年真抓实干提名，综合评分排全省第13名、全市第1名；价格认证中心获全省价格认证综合业务平台推广应用成效突出单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alibri" w:hAnsi="Calibri" w:eastAsia="仿宋_GB2312" w:cs="Times New Roman"/>
          <w:snapToGrid w:val="0"/>
          <w:color w:val="auto"/>
          <w:kern w:val="0"/>
          <w:sz w:val="32"/>
          <w:szCs w:val="32"/>
          <w:lang w:val="en-US" w:eastAsia="zh-CN" w:bidi="ar-SA"/>
        </w:rPr>
      </w:pPr>
      <w:r>
        <w:rPr>
          <w:rFonts w:hint="eastAsia" w:ascii="Calibri" w:hAnsi="Calibri" w:eastAsia="仿宋_GB2312" w:cs="Times New Roman"/>
          <w:snapToGrid w:val="0"/>
          <w:color w:val="auto"/>
          <w:kern w:val="0"/>
          <w:sz w:val="32"/>
          <w:szCs w:val="32"/>
          <w:lang w:val="en-US" w:eastAsia="zh-CN" w:bidi="ar-SA"/>
        </w:rPr>
        <w:t>一是推进“一批项目”。纳入市重点建设项目30个，总投资201.5亿元，年度计划投资49亿元，全年完成投资52.2亿元，占年度投资计划的106.5%。其中，炎陵罗萍江抽水蓄能电站、东方希望现代化养殖循环产业基地、春华锂业新能源汽车电池正极材料生产等3个单体项目入选2023年省重点建设项目名单，是近年来纳入省重点项目最多的一年，也是省重点项目中县级层面最多的。发改牵头引进的金紫仙风电项目于去年12月份竣工投产；龙溪风电场项目是全市纳入省“十四五”规划风电项目中第一批核准且第一个开工的项目，正加快推进。总投资82.3亿元的炎陵罗萍江抽水蓄能电站项目，入规后仅用一年便实现项目实质性开工，跑出了抽蓄项目的超常速度，获评2022年度优秀省重点项目、2023年全市首批“立标杆树典型”项目、中国电建标杆项目。项目建设成效显著，在全市二季度打造“三个高地”工作评比中，炎陵县荣获项目攻坚组亚军，并获全能奖亚军。二是争取“一批资金”。2023年争取上级转移支付资金和中央、省预算内资金13.5亿元，其中争取2023-2024年长江经济带农业面源污染治理建设项目5000万元，为全市获得该专项支持的首个项目。发改口争取项目资金总和在全市排名第二，考虑体量因素，实际在全市排名第一。完成2024年中央预算内项目储备59个，总投资44.62亿元，拟申请中央预算内资金15.68亿元；储备2024年地方政府专项债券项目18个，总投资20.01亿元，拟申请专项债资金8.55亿元；申报2024年国债项目24个，总投资8.58亿元，债券资金需求6.86亿元。三是搭建“一个平台”。在市重点项目全生命周期管理系统的基础上，结合炎陵实际拓展和细化了总体框架及部分功能模块，开发了自己的管理平台并于7月11日上线运行。按照“一个项目、一名领导、一套班子、一抓到底”的“四个一”机制，将30个市重点项目和66个县重点项目纳入全生命周期管理系统进行统一调度，配备24名项目服务专员，开辟审批帮代办服务“绿色通道”，将年度项目建设任务分解到联系县领导、责任单位和项目专员，全面压实重点项目管理和服务责任。</w:t>
      </w:r>
    </w:p>
    <w:p>
      <w:pPr>
        <w:widowControl/>
        <w:spacing w:line="520" w:lineRule="exact"/>
        <w:ind w:firstLine="645"/>
        <w:jc w:val="left"/>
        <w:rPr>
          <w:rFonts w:eastAsia="仿宋_GB2312"/>
          <w:color w:val="auto"/>
          <w:sz w:val="32"/>
          <w:szCs w:val="32"/>
        </w:rPr>
      </w:pPr>
    </w:p>
    <w:p>
      <w:pPr>
        <w:pStyle w:val="7"/>
        <w:widowControl/>
        <w:spacing w:line="520" w:lineRule="exact"/>
        <w:ind w:left="640" w:firstLine="0" w:firstLineChars="0"/>
        <w:jc w:val="left"/>
        <w:rPr>
          <w:rFonts w:ascii="Times New Roman" w:hAnsi="Times New Roman" w:eastAsia="黑体"/>
          <w:color w:val="auto"/>
          <w:sz w:val="32"/>
          <w:szCs w:val="32"/>
        </w:rPr>
      </w:pPr>
      <w:r>
        <w:rPr>
          <w:rFonts w:hint="eastAsia" w:ascii="Times New Roman" w:hAnsi="Times New Roman" w:eastAsia="黑体"/>
          <w:color w:val="auto"/>
          <w:sz w:val="32"/>
          <w:szCs w:val="32"/>
          <w:lang w:val="en-US" w:eastAsia="zh-CN"/>
        </w:rPr>
        <w:t>七</w:t>
      </w:r>
      <w:r>
        <w:rPr>
          <w:rFonts w:hint="eastAsia" w:ascii="Times New Roman" w:hAnsi="Times New Roman" w:eastAsia="黑体"/>
          <w:color w:val="auto"/>
          <w:sz w:val="32"/>
          <w:szCs w:val="32"/>
        </w:rPr>
        <w:t>、</w:t>
      </w:r>
      <w:r>
        <w:rPr>
          <w:rFonts w:ascii="Times New Roman" w:hAnsi="Times New Roman" w:eastAsia="黑体"/>
          <w:color w:val="auto"/>
          <w:sz w:val="32"/>
          <w:szCs w:val="32"/>
        </w:rPr>
        <w:t>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alibri" w:hAnsi="Calibri" w:eastAsia="仿宋_GB2312" w:cs="Times New Roman"/>
          <w:snapToGrid w:val="0"/>
          <w:color w:val="auto"/>
          <w:kern w:val="0"/>
          <w:sz w:val="32"/>
          <w:szCs w:val="32"/>
          <w:lang w:val="en-US" w:eastAsia="zh-CN" w:bidi="ar-SA"/>
        </w:rPr>
      </w:pPr>
      <w:r>
        <w:rPr>
          <w:rFonts w:hint="eastAsia" w:ascii="Calibri" w:hAnsi="Calibri" w:eastAsia="仿宋_GB2312" w:cs="Times New Roman"/>
          <w:snapToGrid w:val="0"/>
          <w:color w:val="auto"/>
          <w:kern w:val="0"/>
          <w:sz w:val="32"/>
          <w:szCs w:val="32"/>
          <w:lang w:val="en-US" w:eastAsia="zh-CN" w:bidi="ar-SA"/>
        </w:rPr>
        <w:t>一是合理安排收支预算，严格预算管理。按照“以收定支，量入为出，保证重点，兼顾一般”的原则，科学合理编制部门预算，使预算更加切合实际。进一步细化预算，严格执行，增强预算约束意识，提高科学化、精细化预算管理水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alibri" w:hAnsi="Calibri" w:eastAsia="仿宋_GB2312" w:cs="Times New Roman"/>
          <w:snapToGrid w:val="0"/>
          <w:color w:val="auto"/>
          <w:kern w:val="0"/>
          <w:sz w:val="32"/>
          <w:szCs w:val="32"/>
          <w:lang w:val="en-US" w:eastAsia="zh-CN" w:bidi="ar-SA"/>
        </w:rPr>
      </w:pPr>
      <w:r>
        <w:rPr>
          <w:rFonts w:hint="eastAsia" w:ascii="Calibri" w:hAnsi="Calibri" w:eastAsia="仿宋_GB2312" w:cs="Times New Roman"/>
          <w:snapToGrid w:val="0"/>
          <w:color w:val="auto"/>
          <w:kern w:val="0"/>
          <w:sz w:val="32"/>
          <w:szCs w:val="32"/>
          <w:lang w:val="en-US" w:eastAsia="zh-CN" w:bidi="ar-SA"/>
        </w:rPr>
        <w:t>二是规范财务行为，提高会计基础工作质量。严格执行财经纪律和各项财经政策，自觉接受财政、审计、纪检监察等职能部门的监督，做到有法可依，有章可循，实现管理的规范化、制度化。进一步健全机关各项财务制度，严格财经手续，完善经费使用内部控制制度，加强对原始票据的合法性、完整性审核，做到票据合法规范，手续完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alibri" w:hAnsi="Calibri" w:eastAsia="仿宋_GB2312" w:cs="Times New Roman"/>
          <w:snapToGrid w:val="0"/>
          <w:color w:val="auto"/>
          <w:kern w:val="0"/>
          <w:sz w:val="32"/>
          <w:szCs w:val="32"/>
          <w:lang w:val="en-US" w:eastAsia="zh-CN" w:bidi="ar-SA"/>
        </w:rPr>
      </w:pPr>
      <w:r>
        <w:rPr>
          <w:rFonts w:hint="eastAsia" w:ascii="Calibri" w:hAnsi="Calibri" w:eastAsia="仿宋_GB2312" w:cs="Times New Roman"/>
          <w:snapToGrid w:val="0"/>
          <w:color w:val="auto"/>
          <w:kern w:val="0"/>
          <w:sz w:val="32"/>
          <w:szCs w:val="32"/>
          <w:lang w:val="en-US" w:eastAsia="zh-CN" w:bidi="ar-SA"/>
        </w:rPr>
        <w:t>三是建设阳光财务，提高资金效益。进一步完善财政预决算、“三公经费”及重大专项公开工作。使重大项目管理制度更加科学合理，程序更加规范透明，分配更加公平公正，资金更加安全高效。</w:t>
      </w:r>
    </w:p>
    <w:p>
      <w:pPr>
        <w:pStyle w:val="2"/>
        <w:rPr>
          <w:rFonts w:hint="eastAsia"/>
          <w:lang w:val="en-US" w:eastAsia="zh-CN"/>
        </w:rPr>
      </w:pPr>
    </w:p>
    <w:p>
      <w:pPr>
        <w:widowControl/>
        <w:numPr>
          <w:ilvl w:val="0"/>
          <w:numId w:val="6"/>
        </w:numPr>
        <w:spacing w:line="520" w:lineRule="exact"/>
        <w:ind w:firstLine="640" w:firstLineChars="200"/>
        <w:jc w:val="left"/>
        <w:rPr>
          <w:rFonts w:eastAsia="黑体"/>
          <w:color w:val="auto"/>
          <w:sz w:val="32"/>
          <w:szCs w:val="32"/>
        </w:rPr>
      </w:pPr>
      <w:r>
        <w:rPr>
          <w:rFonts w:eastAsia="黑体"/>
          <w:color w:val="auto"/>
          <w:sz w:val="32"/>
          <w:szCs w:val="32"/>
        </w:rPr>
        <w:t>下一步改进措施</w:t>
      </w:r>
    </w:p>
    <w:p>
      <w:pPr>
        <w:pStyle w:val="2"/>
        <w:numPr>
          <w:ilvl w:val="0"/>
          <w:numId w:val="0"/>
        </w:numPr>
        <w:rPr>
          <w:rFonts w:hint="eastAsia" w:ascii="Calibri" w:hAnsi="Calibri" w:eastAsia="仿宋_GB2312" w:cs="Times New Roman"/>
          <w:snapToGrid w:val="0"/>
          <w:color w:val="auto"/>
          <w:kern w:val="0"/>
          <w:sz w:val="32"/>
          <w:szCs w:val="32"/>
          <w:lang w:val="en-US" w:eastAsia="zh-CN" w:bidi="ar-SA"/>
        </w:rPr>
      </w:pPr>
      <w:r>
        <w:rPr>
          <w:rFonts w:hint="eastAsia"/>
          <w:color w:val="auto"/>
          <w:lang w:val="en-US" w:eastAsia="zh-CN"/>
        </w:rPr>
        <w:t xml:space="preserve">            </w:t>
      </w:r>
      <w:r>
        <w:rPr>
          <w:rFonts w:hint="eastAsia" w:ascii="Calibri" w:hAnsi="Calibri" w:eastAsia="仿宋_GB2312" w:cs="Times New Roman"/>
          <w:snapToGrid w:val="0"/>
          <w:color w:val="auto"/>
          <w:kern w:val="0"/>
          <w:sz w:val="32"/>
          <w:szCs w:val="32"/>
          <w:lang w:val="en-US" w:eastAsia="zh-CN" w:bidi="ar-SA"/>
        </w:rPr>
        <w:t>无</w:t>
      </w:r>
    </w:p>
    <w:p>
      <w:pPr>
        <w:rPr>
          <w:rFonts w:hint="eastAsia"/>
          <w:lang w:val="en-US" w:eastAsia="zh-CN"/>
        </w:rPr>
      </w:pPr>
    </w:p>
    <w:p>
      <w:pPr>
        <w:widowControl/>
        <w:spacing w:line="520" w:lineRule="exact"/>
        <w:ind w:firstLine="645"/>
        <w:jc w:val="left"/>
        <w:rPr>
          <w:rFonts w:eastAsia="黑体"/>
          <w:color w:val="auto"/>
          <w:sz w:val="32"/>
          <w:szCs w:val="32"/>
        </w:rPr>
      </w:pPr>
      <w:r>
        <w:rPr>
          <w:rFonts w:hint="eastAsia" w:eastAsia="黑体"/>
          <w:color w:val="auto"/>
          <w:sz w:val="32"/>
          <w:szCs w:val="32"/>
          <w:lang w:val="en-US" w:eastAsia="zh-CN"/>
        </w:rPr>
        <w:t>九</w:t>
      </w:r>
      <w:r>
        <w:rPr>
          <w:rFonts w:eastAsia="黑体"/>
          <w:color w:val="auto"/>
          <w:sz w:val="32"/>
          <w:szCs w:val="32"/>
        </w:rPr>
        <w:t>、</w:t>
      </w:r>
      <w:r>
        <w:rPr>
          <w:rFonts w:hint="eastAsia" w:eastAsia="黑体"/>
          <w:color w:val="auto"/>
          <w:sz w:val="32"/>
          <w:szCs w:val="32"/>
          <w:lang w:val="en-US" w:eastAsia="zh-CN"/>
        </w:rPr>
        <w:t>绩效自评结果及</w:t>
      </w:r>
      <w:r>
        <w:rPr>
          <w:rFonts w:eastAsia="黑体"/>
          <w:color w:val="auto"/>
          <w:sz w:val="32"/>
          <w:szCs w:val="32"/>
        </w:rPr>
        <w:t>其他需要说明的情况</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eastAsia="宋体"/>
          <w:color w:val="auto"/>
          <w:lang w:val="en-US" w:eastAsia="zh-CN"/>
        </w:rPr>
      </w:pPr>
      <w:r>
        <w:rPr>
          <w:rFonts w:hint="eastAsia" w:eastAsia="宋体"/>
          <w:color w:val="auto"/>
          <w:lang w:val="en-US" w:eastAsia="zh-CN"/>
        </w:rPr>
        <w:t xml:space="preserve">      </w:t>
      </w:r>
      <w:r>
        <w:rPr>
          <w:rFonts w:hint="eastAsia" w:ascii="Calibri" w:hAnsi="Calibri" w:eastAsia="仿宋_GB2312" w:cs="Times New Roman"/>
          <w:snapToGrid w:val="0"/>
          <w:color w:val="auto"/>
          <w:kern w:val="0"/>
          <w:sz w:val="32"/>
          <w:szCs w:val="32"/>
          <w:lang w:val="en-US" w:eastAsia="zh-CN" w:bidi="ar-SA"/>
        </w:rPr>
        <w:t xml:space="preserve">    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39"/>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BAC44296"/>
    <w:multiLevelType w:val="singleLevel"/>
    <w:tmpl w:val="BAC44296"/>
    <w:lvl w:ilvl="0" w:tentative="0">
      <w:start w:val="4"/>
      <w:numFmt w:val="chineseCounting"/>
      <w:suff w:val="nothing"/>
      <w:lvlText w:val="%1、"/>
      <w:lvlJc w:val="left"/>
      <w:pPr>
        <w:ind w:left="-10"/>
      </w:pPr>
      <w:rPr>
        <w:rFonts w:hint="eastAsia"/>
      </w:rPr>
    </w:lvl>
  </w:abstractNum>
  <w:abstractNum w:abstractNumId="2">
    <w:nsid w:val="E16CF67A"/>
    <w:multiLevelType w:val="singleLevel"/>
    <w:tmpl w:val="E16CF67A"/>
    <w:lvl w:ilvl="0" w:tentative="0">
      <w:start w:val="4"/>
      <w:numFmt w:val="decimal"/>
      <w:suff w:val="space"/>
      <w:lvlText w:val="%1、"/>
      <w:lvlJc w:val="left"/>
    </w:lvl>
  </w:abstractNum>
  <w:abstractNum w:abstractNumId="3">
    <w:nsid w:val="E2C58055"/>
    <w:multiLevelType w:val="singleLevel"/>
    <w:tmpl w:val="E2C58055"/>
    <w:lvl w:ilvl="0" w:tentative="0">
      <w:start w:val="1"/>
      <w:numFmt w:val="decimal"/>
      <w:suff w:val="nothing"/>
      <w:lvlText w:val="%1．"/>
      <w:lvlJc w:val="left"/>
    </w:lvl>
  </w:abstractNum>
  <w:abstractNum w:abstractNumId="4">
    <w:nsid w:val="FDC310B5"/>
    <w:multiLevelType w:val="singleLevel"/>
    <w:tmpl w:val="FDC310B5"/>
    <w:lvl w:ilvl="0" w:tentative="0">
      <w:start w:val="1"/>
      <w:numFmt w:val="chineseCounting"/>
      <w:suff w:val="nothing"/>
      <w:lvlText w:val="%1、"/>
      <w:lvlJc w:val="left"/>
      <w:rPr>
        <w:rFonts w:hint="eastAsia"/>
      </w:rPr>
    </w:lvl>
  </w:abstractNum>
  <w:abstractNum w:abstractNumId="5">
    <w:nsid w:val="79C05C50"/>
    <w:multiLevelType w:val="singleLevel"/>
    <w:tmpl w:val="79C05C50"/>
    <w:lvl w:ilvl="0" w:tentative="0">
      <w:start w:val="8"/>
      <w:numFmt w:val="chineseCounting"/>
      <w:suff w:val="nothing"/>
      <w:lvlText w:val="%1、"/>
      <w:lvlJc w:val="left"/>
      <w:rPr>
        <w:rFonts w:hint="eastAsia"/>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05CA6B44"/>
    <w:rsid w:val="15BF56EC"/>
    <w:rsid w:val="328647A1"/>
    <w:rsid w:val="35CB6416"/>
    <w:rsid w:val="4B4334AB"/>
    <w:rsid w:val="4D5D370A"/>
    <w:rsid w:val="5403276E"/>
    <w:rsid w:val="54C57A37"/>
    <w:rsid w:val="6AB8411C"/>
    <w:rsid w:val="726623DD"/>
    <w:rsid w:val="73161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rPr>
      <w:rFonts w:ascii="Calibri" w:hAnsi="Calibri" w:eastAsia="宋体"/>
      <w:szCs w:val="24"/>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453</Words>
  <Characters>458</Characters>
  <Lines>0</Lines>
  <Paragraphs>0</Paragraphs>
  <TotalTime>8</TotalTime>
  <ScaleCrop>false</ScaleCrop>
  <LinksUpToDate>false</LinksUpToDate>
  <CharactersWithSpaces>458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Administrator</cp:lastModifiedBy>
  <cp:lastPrinted>2024-09-02T12:00:00Z</cp:lastPrinted>
  <dcterms:modified xsi:type="dcterms:W3CDTF">2024-09-03T01:19:08Z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DEC29D6FF1984251977FAFE43F2C91AB_12</vt:lpwstr>
  </property>
</Properties>
</file>