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E779B">
      <w:pPr>
        <w:pStyle w:val="2"/>
        <w:keepNext w:val="0"/>
        <w:keepLines w:val="0"/>
        <w:pageBreakBefore w:val="0"/>
        <w:widowControl/>
        <w:kinsoku w:val="0"/>
        <w:wordWrap/>
        <w:overflowPunct/>
        <w:topLinePunct w:val="0"/>
        <w:autoSpaceDE w:val="0"/>
        <w:autoSpaceDN w:val="0"/>
        <w:bidi w:val="0"/>
        <w:adjustRightInd w:val="0"/>
        <w:snapToGrid w:val="0"/>
        <w:spacing w:before="162" w:line="560" w:lineRule="exact"/>
        <w:textAlignment w:val="baseline"/>
        <w:rPr>
          <w:rFonts w:hint="eastAsia" w:ascii="黑体" w:hAnsi="黑体" w:eastAsia="黑体" w:cs="黑体"/>
          <w:sz w:val="34"/>
          <w:szCs w:val="34"/>
          <w:lang w:eastAsia="zh-CN"/>
        </w:rPr>
      </w:pPr>
      <w:r>
        <w:rPr>
          <w:rFonts w:hint="eastAsia" w:ascii="黑体" w:hAnsi="黑体" w:eastAsia="黑体" w:cs="黑体"/>
          <w:spacing w:val="14"/>
          <w:sz w:val="34"/>
          <w:szCs w:val="34"/>
        </w:rPr>
        <w:t>附件</w:t>
      </w:r>
      <w:r>
        <w:rPr>
          <w:rFonts w:hint="eastAsia" w:ascii="黑体" w:hAnsi="黑体" w:eastAsia="黑体" w:cs="黑体"/>
          <w:spacing w:val="14"/>
          <w:sz w:val="34"/>
          <w:szCs w:val="34"/>
          <w:lang w:val="en-US" w:eastAsia="zh-CN"/>
        </w:rPr>
        <w:t>3</w:t>
      </w:r>
    </w:p>
    <w:p w14:paraId="3373898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097EFB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4A74DC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118FCE9">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2023年度炎陵县皮肤病防治所</w:t>
      </w:r>
      <w:r>
        <w:rPr>
          <w:rFonts w:hint="eastAsia" w:ascii="方正小标宋简体" w:hAnsi="方正小标宋简体" w:eastAsia="方正小标宋简体" w:cs="方正小标宋简体"/>
          <w:sz w:val="44"/>
          <w:szCs w:val="44"/>
        </w:rPr>
        <w:t>部门整体支出绩效</w:t>
      </w:r>
    </w:p>
    <w:p w14:paraId="0DFB6BB4">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14:paraId="17F58897">
      <w:pPr>
        <w:spacing w:line="600" w:lineRule="exact"/>
        <w:jc w:val="center"/>
        <w:rPr>
          <w:rFonts w:eastAsia="楷体_GB2312"/>
          <w:sz w:val="32"/>
          <w:szCs w:val="32"/>
        </w:rPr>
      </w:pPr>
    </w:p>
    <w:p w14:paraId="315F8578">
      <w:pPr>
        <w:spacing w:line="600" w:lineRule="exact"/>
        <w:jc w:val="center"/>
        <w:rPr>
          <w:rFonts w:eastAsia="楷体_GB2312"/>
          <w:sz w:val="32"/>
          <w:szCs w:val="32"/>
        </w:rPr>
      </w:pPr>
    </w:p>
    <w:p w14:paraId="2E029910">
      <w:pPr>
        <w:spacing w:line="600" w:lineRule="exact"/>
        <w:jc w:val="center"/>
        <w:rPr>
          <w:rFonts w:eastAsia="楷体_GB2312"/>
          <w:sz w:val="32"/>
          <w:szCs w:val="32"/>
        </w:rPr>
      </w:pPr>
    </w:p>
    <w:p w14:paraId="1C92C148">
      <w:pPr>
        <w:spacing w:line="600" w:lineRule="exact"/>
        <w:jc w:val="center"/>
        <w:rPr>
          <w:rFonts w:eastAsia="楷体_GB2312"/>
          <w:sz w:val="32"/>
          <w:szCs w:val="32"/>
        </w:rPr>
      </w:pPr>
    </w:p>
    <w:p w14:paraId="2E9017B2">
      <w:pPr>
        <w:spacing w:line="600" w:lineRule="exact"/>
        <w:jc w:val="center"/>
        <w:rPr>
          <w:rFonts w:eastAsia="楷体_GB2312"/>
          <w:sz w:val="32"/>
          <w:szCs w:val="32"/>
        </w:rPr>
      </w:pPr>
    </w:p>
    <w:p w14:paraId="0FA4C78A">
      <w:pPr>
        <w:spacing w:line="600" w:lineRule="exact"/>
        <w:jc w:val="center"/>
        <w:rPr>
          <w:rFonts w:eastAsia="楷体_GB2312"/>
          <w:sz w:val="32"/>
          <w:szCs w:val="32"/>
        </w:rPr>
      </w:pPr>
    </w:p>
    <w:p w14:paraId="6833FC49">
      <w:pPr>
        <w:spacing w:line="600" w:lineRule="exact"/>
        <w:jc w:val="center"/>
        <w:rPr>
          <w:rFonts w:eastAsia="楷体_GB2312"/>
          <w:sz w:val="32"/>
          <w:szCs w:val="32"/>
        </w:rPr>
      </w:pPr>
    </w:p>
    <w:p w14:paraId="082DCFC8">
      <w:pPr>
        <w:spacing w:line="60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单位名称（盖章）：炎陵县皮肤病防治所</w:t>
      </w:r>
    </w:p>
    <w:p w14:paraId="123D12D1">
      <w:pPr>
        <w:spacing w:line="600" w:lineRule="exact"/>
        <w:jc w:val="center"/>
        <w:rPr>
          <w:rFonts w:hint="eastAsia" w:ascii="黑体" w:hAnsi="黑体" w:eastAsia="黑体" w:cs="黑体"/>
          <w:sz w:val="36"/>
          <w:szCs w:val="36"/>
          <w:lang w:val="en-US" w:eastAsia="zh-CN"/>
        </w:rPr>
      </w:pPr>
    </w:p>
    <w:p w14:paraId="70828991">
      <w:pPr>
        <w:spacing w:line="600" w:lineRule="exact"/>
        <w:jc w:val="center"/>
        <w:rPr>
          <w:rFonts w:hint="eastAsia" w:ascii="黑体" w:hAnsi="黑体" w:eastAsia="黑体" w:cs="黑体"/>
          <w:sz w:val="36"/>
          <w:szCs w:val="36"/>
          <w:lang w:val="en-US" w:eastAsia="zh-CN"/>
        </w:rPr>
      </w:pPr>
    </w:p>
    <w:p w14:paraId="17DB65AB">
      <w:pPr>
        <w:spacing w:line="600" w:lineRule="exact"/>
        <w:jc w:val="center"/>
        <w:rPr>
          <w:rFonts w:hint="eastAsia" w:ascii="黑体" w:hAnsi="黑体" w:eastAsia="黑体" w:cs="黑体"/>
          <w:sz w:val="36"/>
          <w:szCs w:val="36"/>
          <w:lang w:val="en-US" w:eastAsia="zh-CN"/>
        </w:rPr>
      </w:pPr>
    </w:p>
    <w:p w14:paraId="2010740C">
      <w:pPr>
        <w:spacing w:line="600" w:lineRule="exact"/>
        <w:jc w:val="center"/>
        <w:rPr>
          <w:rFonts w:hint="eastAsia" w:ascii="黑体" w:hAnsi="黑体" w:eastAsia="黑体" w:cs="黑体"/>
          <w:sz w:val="36"/>
          <w:szCs w:val="36"/>
          <w:lang w:val="en-US" w:eastAsia="zh-CN"/>
        </w:rPr>
      </w:pPr>
    </w:p>
    <w:p w14:paraId="084269F2">
      <w:pPr>
        <w:spacing w:line="600" w:lineRule="exact"/>
        <w:jc w:val="center"/>
        <w:rPr>
          <w:rFonts w:hint="eastAsia" w:ascii="黑体" w:hAnsi="黑体" w:eastAsia="黑体" w:cs="黑体"/>
          <w:sz w:val="36"/>
          <w:szCs w:val="36"/>
          <w:lang w:val="en-US" w:eastAsia="zh-CN"/>
        </w:rPr>
      </w:pPr>
    </w:p>
    <w:p w14:paraId="698BEB94">
      <w:pPr>
        <w:spacing w:line="600" w:lineRule="exact"/>
        <w:jc w:val="center"/>
        <w:rPr>
          <w:rFonts w:hint="eastAsia" w:ascii="仿宋_GB2312" w:hAnsi="仿宋_GB2312" w:eastAsia="仿宋_GB2312" w:cs="仿宋_GB2312"/>
          <w:sz w:val="32"/>
          <w:szCs w:val="32"/>
          <w:lang w:val="en-US" w:eastAsia="zh-CN"/>
        </w:rPr>
      </w:pPr>
    </w:p>
    <w:p w14:paraId="660F4AB2">
      <w:pPr>
        <w:rPr>
          <w:rFonts w:eastAsia="楷体_GB2312"/>
          <w:sz w:val="32"/>
          <w:szCs w:val="32"/>
        </w:rPr>
      </w:pPr>
      <w:r>
        <w:rPr>
          <w:rFonts w:hint="eastAsia" w:ascii="仿宋_GB2312" w:hAnsi="仿宋_GB2312" w:eastAsia="仿宋_GB2312" w:cs="仿宋_GB2312"/>
          <w:sz w:val="32"/>
          <w:szCs w:val="32"/>
          <w:lang w:val="en-US" w:eastAsia="zh-CN"/>
        </w:rPr>
        <w:br w:type="page"/>
      </w:r>
    </w:p>
    <w:p w14:paraId="69FD9C40">
      <w:pPr>
        <w:pStyle w:val="6"/>
        <w:widowControl/>
        <w:numPr>
          <w:ilvl w:val="0"/>
          <w:numId w:val="1"/>
        </w:numPr>
        <w:spacing w:line="520" w:lineRule="exact"/>
        <w:ind w:firstLine="640"/>
        <w:rPr>
          <w:rFonts w:ascii="Times New Roman" w:hAnsi="Times New Roman" w:eastAsia="黑体"/>
          <w:sz w:val="32"/>
          <w:szCs w:val="32"/>
        </w:rPr>
      </w:pPr>
      <w:r>
        <w:rPr>
          <w:rFonts w:ascii="Times New Roman" w:hAnsi="Times New Roman" w:eastAsia="黑体"/>
          <w:sz w:val="32"/>
          <w:szCs w:val="32"/>
        </w:rPr>
        <w:t>基本情况</w:t>
      </w:r>
    </w:p>
    <w:p w14:paraId="049DC1A2">
      <w:pPr>
        <w:pStyle w:val="6"/>
        <w:widowControl/>
        <w:numPr>
          <w:ilvl w:val="0"/>
          <w:numId w:val="2"/>
        </w:numPr>
        <w:spacing w:line="520" w:lineRule="exact"/>
        <w:ind w:left="-10" w:leftChars="0" w:firstLine="640" w:firstLine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基本情况</w:t>
      </w:r>
    </w:p>
    <w:p w14:paraId="23C4898C">
      <w:pPr>
        <w:widowControl/>
        <w:spacing w:line="520" w:lineRule="exact"/>
        <w:ind w:firstLine="640" w:firstLineChars="200"/>
        <w:jc w:val="left"/>
        <w:rPr>
          <w:rFonts w:hint="eastAsia" w:eastAsia="仿宋_GB2312"/>
          <w:sz w:val="32"/>
          <w:szCs w:val="32"/>
        </w:rPr>
      </w:pPr>
      <w:r>
        <w:rPr>
          <w:rFonts w:hint="eastAsia" w:eastAsia="仿宋_GB2312"/>
          <w:sz w:val="32"/>
          <w:szCs w:val="32"/>
        </w:rPr>
        <w:t>炎陵县皮肤病防治所是炎陵县人民政府主管麻风病防治工作的工作机构，属县全额事业二级预算单位。本部门的主要职能职责是麻风病调查、诊断、治疗预防、宣传教育和社会麻风病人的管理。负责龙景山住院麻风病人医疗、护理和生活保障。</w:t>
      </w:r>
      <w:r>
        <w:rPr>
          <w:rFonts w:hint="eastAsia" w:eastAsia="仿宋_GB2312"/>
          <w:sz w:val="32"/>
          <w:szCs w:val="32"/>
          <w:lang w:eastAsia="zh-CN"/>
        </w:rPr>
        <w:t>以及</w:t>
      </w:r>
      <w:r>
        <w:rPr>
          <w:rFonts w:hint="eastAsia" w:eastAsia="仿宋_GB2312"/>
          <w:sz w:val="32"/>
          <w:szCs w:val="32"/>
        </w:rPr>
        <w:t>皮肤病、性病、内儿科、中医科诊治和麻风病社会病人筛查。</w:t>
      </w:r>
    </w:p>
    <w:p w14:paraId="78C22208">
      <w:pPr>
        <w:widowControl/>
        <w:spacing w:line="520" w:lineRule="exact"/>
        <w:ind w:firstLine="640" w:firstLineChars="200"/>
        <w:jc w:val="left"/>
        <w:rPr>
          <w:rFonts w:hint="eastAsia" w:eastAsia="仿宋_GB2312"/>
          <w:sz w:val="32"/>
          <w:szCs w:val="32"/>
          <w:lang w:eastAsia="zh-CN"/>
        </w:rPr>
      </w:pPr>
      <w:r>
        <w:rPr>
          <w:rFonts w:hint="eastAsia" w:eastAsia="仿宋_GB2312"/>
          <w:sz w:val="32"/>
          <w:szCs w:val="32"/>
          <w:lang w:eastAsia="zh-CN"/>
        </w:rPr>
        <w:t>机构设置：</w:t>
      </w:r>
      <w:r>
        <w:rPr>
          <w:rFonts w:eastAsia="仿宋_GB2312"/>
          <w:sz w:val="32"/>
          <w:szCs w:val="32"/>
        </w:rPr>
        <w:t>本</w:t>
      </w:r>
      <w:r>
        <w:rPr>
          <w:rFonts w:hint="eastAsia" w:eastAsia="仿宋_GB2312"/>
          <w:sz w:val="32"/>
          <w:szCs w:val="32"/>
          <w:lang w:eastAsia="zh-CN"/>
        </w:rPr>
        <w:t>单位</w:t>
      </w:r>
      <w:r>
        <w:rPr>
          <w:rFonts w:eastAsia="仿宋_GB2312"/>
          <w:sz w:val="32"/>
          <w:szCs w:val="32"/>
        </w:rPr>
        <w:t>共有编制人数</w:t>
      </w:r>
      <w:r>
        <w:rPr>
          <w:rFonts w:hint="eastAsia" w:eastAsia="仿宋_GB2312"/>
          <w:sz w:val="32"/>
          <w:szCs w:val="32"/>
        </w:rPr>
        <w:t>14</w:t>
      </w:r>
      <w:r>
        <w:rPr>
          <w:rFonts w:eastAsia="仿宋_GB2312"/>
          <w:sz w:val="32"/>
          <w:szCs w:val="32"/>
        </w:rPr>
        <w:t>人，实有人数</w:t>
      </w:r>
      <w:r>
        <w:rPr>
          <w:rFonts w:hint="eastAsia" w:eastAsia="仿宋_GB2312"/>
          <w:sz w:val="32"/>
          <w:szCs w:val="32"/>
        </w:rPr>
        <w:t>14</w:t>
      </w:r>
      <w:r>
        <w:rPr>
          <w:rFonts w:eastAsia="仿宋_GB2312"/>
          <w:sz w:val="32"/>
          <w:szCs w:val="32"/>
        </w:rPr>
        <w:t>人。内设科室</w:t>
      </w:r>
      <w:r>
        <w:rPr>
          <w:rFonts w:hint="eastAsia" w:eastAsia="仿宋_GB2312"/>
          <w:sz w:val="32"/>
          <w:szCs w:val="32"/>
        </w:rPr>
        <w:t>3</w:t>
      </w:r>
      <w:r>
        <w:rPr>
          <w:rFonts w:eastAsia="仿宋_GB2312"/>
          <w:sz w:val="32"/>
          <w:szCs w:val="32"/>
        </w:rPr>
        <w:t>个</w:t>
      </w:r>
      <w:r>
        <w:rPr>
          <w:rFonts w:hint="eastAsia" w:eastAsia="仿宋_GB2312"/>
          <w:sz w:val="32"/>
          <w:szCs w:val="32"/>
          <w:lang w:eastAsia="zh-CN"/>
        </w:rPr>
        <w:t>。</w:t>
      </w:r>
    </w:p>
    <w:p w14:paraId="2D062AC5">
      <w:pPr>
        <w:pStyle w:val="6"/>
        <w:widowControl/>
        <w:numPr>
          <w:numId w:val="0"/>
        </w:numPr>
        <w:spacing w:line="520" w:lineRule="exact"/>
        <w:ind w:left="630" w:leftChars="0"/>
        <w:rPr>
          <w:rFonts w:hint="default" w:ascii="楷体_GB2312" w:hAnsi="楷体_GB2312" w:eastAsia="楷体_GB2312" w:cs="楷体_GB2312"/>
          <w:b/>
          <w:bCs/>
          <w:sz w:val="32"/>
          <w:szCs w:val="32"/>
          <w:lang w:val="en-US" w:eastAsia="zh-CN"/>
        </w:rPr>
      </w:pPr>
    </w:p>
    <w:p w14:paraId="5556C9CE">
      <w:pPr>
        <w:pStyle w:val="6"/>
        <w:widowControl/>
        <w:numPr>
          <w:ilvl w:val="0"/>
          <w:numId w:val="2"/>
        </w:numPr>
        <w:spacing w:line="520" w:lineRule="exact"/>
        <w:ind w:left="-10" w:leftChars="0" w:firstLine="640" w:firstLineChars="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年度整体支出绩效目标，专项资金绩效目标、其他项目支出（除专项资金以外）绩效目标</w:t>
      </w:r>
    </w:p>
    <w:p w14:paraId="382FC200">
      <w:pPr>
        <w:pStyle w:val="6"/>
        <w:widowControl/>
        <w:numPr>
          <w:numId w:val="0"/>
        </w:numPr>
        <w:spacing w:line="520" w:lineRule="exact"/>
        <w:ind w:firstLine="960" w:firstLineChars="300"/>
        <w:rPr>
          <w:rFonts w:hint="default" w:ascii="Arial" w:hAnsi="Arial" w:eastAsia="仿宋_GB2312" w:cs="Arial"/>
          <w:snapToGrid w:val="0"/>
          <w:color w:val="000000"/>
          <w:kern w:val="0"/>
          <w:sz w:val="32"/>
          <w:szCs w:val="32"/>
          <w:lang w:val="en-US" w:eastAsia="zh-CN" w:bidi="ar-SA"/>
        </w:rPr>
      </w:pPr>
      <w:r>
        <w:rPr>
          <w:rFonts w:hint="eastAsia" w:ascii="仿宋_GB2312" w:eastAsia="仿宋_GB2312"/>
          <w:sz w:val="32"/>
          <w:szCs w:val="32"/>
          <w:lang w:eastAsia="zh-CN"/>
        </w:rPr>
        <w:t>作为</w:t>
      </w:r>
      <w:r>
        <w:rPr>
          <w:rFonts w:hint="eastAsia" w:ascii="仿宋_GB2312" w:eastAsia="仿宋_GB2312"/>
          <w:sz w:val="32"/>
          <w:szCs w:val="32"/>
        </w:rPr>
        <w:t>全县唯一的公立皮肤科专科门诊，解决了全县人民的就医需求。</w:t>
      </w:r>
      <w:r>
        <w:rPr>
          <w:rFonts w:hint="eastAsia" w:ascii="仿宋_GB2312" w:eastAsia="仿宋_GB2312"/>
          <w:sz w:val="32"/>
          <w:szCs w:val="32"/>
          <w:lang w:eastAsia="zh-CN"/>
        </w:rPr>
        <w:t>实行</w:t>
      </w:r>
      <w:r>
        <w:rPr>
          <w:rFonts w:hint="eastAsia" w:ascii="仿宋_GB2312" w:eastAsia="仿宋_GB2312"/>
          <w:sz w:val="32"/>
          <w:szCs w:val="32"/>
        </w:rPr>
        <w:t>药品零差价销售，大大降低了门诊病人的医疗费用</w:t>
      </w:r>
      <w:r>
        <w:rPr>
          <w:rFonts w:hint="eastAsia" w:ascii="仿宋_GB2312" w:eastAsia="仿宋_GB2312"/>
          <w:sz w:val="32"/>
          <w:szCs w:val="32"/>
          <w:lang w:eastAsia="zh-CN"/>
        </w:rPr>
        <w:t>，</w:t>
      </w:r>
      <w:r>
        <w:rPr>
          <w:rFonts w:hint="eastAsia" w:ascii="Arial" w:hAnsi="Arial" w:eastAsia="仿宋_GB2312" w:cs="Arial"/>
          <w:snapToGrid w:val="0"/>
          <w:color w:val="000000"/>
          <w:kern w:val="0"/>
          <w:sz w:val="32"/>
          <w:szCs w:val="32"/>
          <w:lang w:val="en-US" w:eastAsia="zh-CN" w:bidi="ar-SA"/>
        </w:rPr>
        <w:t>提供良好的</w:t>
      </w:r>
      <w:r>
        <w:rPr>
          <w:rFonts w:hint="default" w:ascii="Arial" w:hAnsi="Arial" w:eastAsia="仿宋_GB2312" w:cs="Arial"/>
          <w:snapToGrid w:val="0"/>
          <w:color w:val="000000"/>
          <w:kern w:val="0"/>
          <w:sz w:val="32"/>
          <w:szCs w:val="32"/>
          <w:lang w:val="en-US" w:eastAsia="zh-CN" w:bidi="ar-SA"/>
        </w:rPr>
        <w:t>皮肤病门诊医疗服务</w:t>
      </w:r>
      <w:r>
        <w:rPr>
          <w:rFonts w:hint="eastAsia" w:ascii="Arial" w:hAnsi="Arial" w:eastAsia="仿宋_GB2312" w:cs="Arial"/>
          <w:snapToGrid w:val="0"/>
          <w:color w:val="000000"/>
          <w:kern w:val="0"/>
          <w:sz w:val="32"/>
          <w:szCs w:val="32"/>
          <w:lang w:val="en-US" w:eastAsia="zh-CN" w:bidi="ar-SA"/>
        </w:rPr>
        <w:t>；做好麻风防治工作，不仅要为治愈后的</w:t>
      </w:r>
      <w:r>
        <w:rPr>
          <w:rFonts w:hint="default" w:ascii="Arial" w:hAnsi="Arial" w:eastAsia="仿宋_GB2312" w:cs="Arial"/>
          <w:snapToGrid w:val="0"/>
          <w:color w:val="000000"/>
          <w:kern w:val="0"/>
          <w:sz w:val="32"/>
          <w:szCs w:val="32"/>
          <w:lang w:val="en-US" w:eastAsia="zh-CN" w:bidi="ar-SA"/>
        </w:rPr>
        <w:t>住院病人的</w:t>
      </w:r>
      <w:r>
        <w:rPr>
          <w:rFonts w:hint="eastAsia" w:ascii="Arial" w:hAnsi="Arial" w:eastAsia="仿宋_GB2312" w:cs="Arial"/>
          <w:snapToGrid w:val="0"/>
          <w:color w:val="000000"/>
          <w:kern w:val="0"/>
          <w:sz w:val="32"/>
          <w:szCs w:val="32"/>
          <w:lang w:val="en-US" w:eastAsia="zh-CN" w:bidi="ar-SA"/>
        </w:rPr>
        <w:t>提供良好的生活就医保障</w:t>
      </w:r>
      <w:r>
        <w:rPr>
          <w:rFonts w:hint="default" w:ascii="Arial" w:hAnsi="Arial" w:eastAsia="仿宋_GB2312" w:cs="Arial"/>
          <w:snapToGrid w:val="0"/>
          <w:color w:val="000000"/>
          <w:kern w:val="0"/>
          <w:sz w:val="32"/>
          <w:szCs w:val="32"/>
          <w:lang w:val="en-US" w:eastAsia="zh-CN" w:bidi="ar-SA"/>
        </w:rPr>
        <w:t>，</w:t>
      </w:r>
      <w:r>
        <w:rPr>
          <w:rFonts w:hint="eastAsia" w:ascii="Arial" w:hAnsi="Arial" w:eastAsia="仿宋_GB2312" w:cs="Arial"/>
          <w:snapToGrid w:val="0"/>
          <w:color w:val="000000"/>
          <w:kern w:val="0"/>
          <w:sz w:val="32"/>
          <w:szCs w:val="32"/>
          <w:lang w:val="en-US" w:eastAsia="zh-CN" w:bidi="ar-SA"/>
        </w:rPr>
        <w:t>还要对社会上的新发病人做好监测工作，</w:t>
      </w:r>
      <w:r>
        <w:rPr>
          <w:rFonts w:hint="eastAsia" w:ascii="仿宋_GB2312" w:eastAsia="仿宋_GB2312"/>
          <w:sz w:val="32"/>
          <w:szCs w:val="32"/>
        </w:rPr>
        <w:t>2023年株洲市疾控安排炎陵县症状监测任务数为120条。全县医务人员积极参与该项目工作，目前已上报可疑线索170余条，全部录入全国麻风病防治管理系统，并由皮防所麻防科医生逐一筛查，从中确诊2例麻风病例。</w:t>
      </w:r>
      <w:r>
        <w:rPr>
          <w:rFonts w:hint="eastAsia" w:ascii="仿宋_GB2312" w:eastAsia="仿宋_GB2312"/>
          <w:sz w:val="32"/>
          <w:szCs w:val="32"/>
          <w:lang w:eastAsia="zh-CN"/>
        </w:rPr>
        <w:t>并且</w:t>
      </w:r>
      <w:r>
        <w:rPr>
          <w:rFonts w:hint="eastAsia" w:ascii="仿宋_GB2312" w:eastAsia="仿宋_GB2312"/>
          <w:sz w:val="32"/>
          <w:szCs w:val="32"/>
        </w:rPr>
        <w:t>对全市现症麻风病患者和部分治愈存活者开展的密切接触者检查工作，通过密切接触者检查未发现新发病例</w:t>
      </w:r>
      <w:r>
        <w:rPr>
          <w:rFonts w:hint="eastAsia" w:ascii="仿宋_GB2312" w:eastAsia="仿宋_GB2312"/>
          <w:sz w:val="32"/>
          <w:szCs w:val="32"/>
          <w:lang w:eastAsia="zh-CN"/>
        </w:rPr>
        <w:t>；按时</w:t>
      </w:r>
      <w:r>
        <w:rPr>
          <w:rFonts w:hint="default" w:ascii="Arial" w:hAnsi="Arial" w:eastAsia="仿宋_GB2312" w:cs="Arial"/>
          <w:snapToGrid w:val="0"/>
          <w:color w:val="000000"/>
          <w:kern w:val="0"/>
          <w:sz w:val="32"/>
          <w:szCs w:val="32"/>
          <w:lang w:val="en-US" w:eastAsia="zh-CN" w:bidi="ar-SA"/>
        </w:rPr>
        <w:t>完成</w:t>
      </w:r>
      <w:r>
        <w:rPr>
          <w:rFonts w:hint="eastAsia" w:ascii="Arial" w:hAnsi="Arial" w:eastAsia="仿宋_GB2312" w:cs="Arial"/>
          <w:snapToGrid w:val="0"/>
          <w:color w:val="000000"/>
          <w:kern w:val="0"/>
          <w:sz w:val="32"/>
          <w:szCs w:val="32"/>
          <w:lang w:val="en-US" w:eastAsia="zh-CN" w:bidi="ar-SA"/>
        </w:rPr>
        <w:t>县财政的</w:t>
      </w:r>
      <w:r>
        <w:rPr>
          <w:rFonts w:hint="default" w:ascii="Arial" w:hAnsi="Arial" w:eastAsia="仿宋_GB2312" w:cs="Arial"/>
          <w:snapToGrid w:val="0"/>
          <w:color w:val="000000"/>
          <w:kern w:val="0"/>
          <w:sz w:val="32"/>
          <w:szCs w:val="32"/>
          <w:lang w:val="en-US" w:eastAsia="zh-CN" w:bidi="ar-SA"/>
        </w:rPr>
        <w:t>非税任务</w:t>
      </w:r>
      <w:r>
        <w:rPr>
          <w:rFonts w:hint="eastAsia" w:ascii="Arial" w:hAnsi="Arial" w:eastAsia="仿宋_GB2312" w:cs="Arial"/>
          <w:snapToGrid w:val="0"/>
          <w:color w:val="000000"/>
          <w:kern w:val="0"/>
          <w:sz w:val="32"/>
          <w:szCs w:val="32"/>
          <w:lang w:val="en-US" w:eastAsia="zh-CN" w:bidi="ar-SA"/>
        </w:rPr>
        <w:t>，2023年超额完成。</w:t>
      </w:r>
    </w:p>
    <w:p w14:paraId="7587B28A">
      <w:pPr>
        <w:pStyle w:val="6"/>
        <w:widowControl/>
        <w:spacing w:line="52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14:paraId="55115D6B">
      <w:pPr>
        <w:pStyle w:val="6"/>
        <w:widowControl/>
        <w:spacing w:line="52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（一）基本支出情况</w:t>
      </w:r>
    </w:p>
    <w:p w14:paraId="478EE00E">
      <w:pPr>
        <w:tabs>
          <w:tab w:val="left" w:pos="7560"/>
        </w:tabs>
        <w:adjustRightInd w:val="0"/>
        <w:snapToGrid w:val="0"/>
        <w:spacing w:line="560" w:lineRule="exac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2023年年初预算数196.57万元，其中，社会保障和就业支出20.92万元，卫生健康支出159.69万元，住房保障支出15.96万元</w:t>
      </w:r>
      <w:r>
        <w:rPr>
          <w:rFonts w:hint="eastAsia" w:eastAsia="仿宋_GB2312" w:cs="Arial"/>
          <w:snapToGrid w:val="0"/>
          <w:color w:val="000000"/>
          <w:kern w:val="0"/>
          <w:sz w:val="32"/>
          <w:szCs w:val="32"/>
          <w:lang w:val="en-US" w:eastAsia="zh-CN" w:bidi="ar-SA"/>
        </w:rPr>
        <w:t>，</w:t>
      </w:r>
    </w:p>
    <w:p w14:paraId="43EC56FF">
      <w:pPr>
        <w:tabs>
          <w:tab w:val="left" w:pos="7560"/>
        </w:tabs>
        <w:adjustRightInd w:val="0"/>
        <w:snapToGrid w:val="0"/>
        <w:spacing w:line="560" w:lineRule="exact"/>
        <w:ind w:firstLine="640" w:firstLineChars="200"/>
        <w:rPr>
          <w:rFonts w:hint="default" w:ascii="Arial" w:hAnsi="Arial"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2023年决算数313.93万元，</w:t>
      </w:r>
      <w:r>
        <w:rPr>
          <w:rFonts w:hint="eastAsia" w:ascii="Arial" w:hAnsi="Arial" w:eastAsia="仿宋_GB2312" w:cs="Arial"/>
          <w:snapToGrid w:val="0"/>
          <w:color w:val="000000"/>
          <w:kern w:val="0"/>
          <w:sz w:val="32"/>
          <w:szCs w:val="32"/>
          <w:lang w:val="en-US" w:eastAsia="zh-CN" w:bidi="ar-SA"/>
        </w:rPr>
        <w:t>其中，社会保障和就业支出</w:t>
      </w:r>
      <w:r>
        <w:rPr>
          <w:rFonts w:hint="eastAsia" w:eastAsia="仿宋_GB2312" w:cs="Arial"/>
          <w:snapToGrid w:val="0"/>
          <w:color w:val="000000"/>
          <w:kern w:val="0"/>
          <w:sz w:val="32"/>
          <w:szCs w:val="32"/>
          <w:lang w:val="en-US" w:eastAsia="zh-CN" w:bidi="ar-SA"/>
        </w:rPr>
        <w:t>20.92</w:t>
      </w:r>
      <w:r>
        <w:rPr>
          <w:rFonts w:hint="eastAsia" w:ascii="Arial" w:hAnsi="Arial" w:eastAsia="仿宋_GB2312" w:cs="Arial"/>
          <w:snapToGrid w:val="0"/>
          <w:color w:val="000000"/>
          <w:kern w:val="0"/>
          <w:sz w:val="32"/>
          <w:szCs w:val="32"/>
          <w:lang w:val="en-US" w:eastAsia="zh-CN" w:bidi="ar-SA"/>
        </w:rPr>
        <w:t>万元，卫生健康支出</w:t>
      </w:r>
      <w:r>
        <w:rPr>
          <w:rFonts w:hint="eastAsia" w:eastAsia="仿宋_GB2312" w:cs="Arial"/>
          <w:snapToGrid w:val="0"/>
          <w:color w:val="000000"/>
          <w:kern w:val="0"/>
          <w:sz w:val="32"/>
          <w:szCs w:val="32"/>
          <w:lang w:val="en-US" w:eastAsia="zh-CN" w:bidi="ar-SA"/>
        </w:rPr>
        <w:t>277.05</w:t>
      </w:r>
      <w:r>
        <w:rPr>
          <w:rFonts w:hint="eastAsia" w:ascii="Arial" w:hAnsi="Arial" w:eastAsia="仿宋_GB2312" w:cs="Arial"/>
          <w:snapToGrid w:val="0"/>
          <w:color w:val="000000"/>
          <w:kern w:val="0"/>
          <w:sz w:val="32"/>
          <w:szCs w:val="32"/>
          <w:lang w:val="en-US" w:eastAsia="zh-CN" w:bidi="ar-SA"/>
        </w:rPr>
        <w:t>万元，住房保障支出15.96万元</w:t>
      </w:r>
    </w:p>
    <w:p w14:paraId="79B72877">
      <w:pPr>
        <w:tabs>
          <w:tab w:val="left" w:pos="7560"/>
        </w:tabs>
        <w:adjustRightInd w:val="0"/>
        <w:snapToGrid w:val="0"/>
        <w:spacing w:line="560" w:lineRule="exact"/>
        <w:ind w:firstLine="640" w:firstLineChars="200"/>
        <w:rPr>
          <w:rFonts w:hint="default"/>
          <w:sz w:val="32"/>
          <w:szCs w:val="32"/>
          <w:lang w:val="en-US" w:eastAsia="zh-CN"/>
        </w:rPr>
      </w:pPr>
    </w:p>
    <w:p w14:paraId="62560C25">
      <w:pPr>
        <w:pStyle w:val="6"/>
        <w:widowControl/>
        <w:spacing w:line="52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（二）项目支出情况</w:t>
      </w:r>
    </w:p>
    <w:p w14:paraId="7CB456EE">
      <w:pPr>
        <w:pStyle w:val="6"/>
        <w:widowControl/>
        <w:numPr>
          <w:numId w:val="0"/>
        </w:numPr>
        <w:spacing w:line="520" w:lineRule="exact"/>
        <w:ind w:left="630" w:left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本单位无</w:t>
      </w:r>
    </w:p>
    <w:p w14:paraId="5668883B">
      <w:pPr>
        <w:pStyle w:val="6"/>
        <w:widowControl/>
        <w:numPr>
          <w:numId w:val="0"/>
        </w:numPr>
        <w:spacing w:line="520" w:lineRule="exact"/>
        <w:ind w:left="630" w:leftChars="0"/>
        <w:rPr>
          <w:rFonts w:hint="eastAsia" w:ascii="楷体_GB2312" w:hAnsi="楷体_GB2312" w:eastAsia="楷体_GB2312" w:cs="楷体_GB2312"/>
          <w:sz w:val="32"/>
          <w:szCs w:val="32"/>
          <w:lang w:val="en-US" w:eastAsia="zh-CN"/>
        </w:rPr>
      </w:pPr>
    </w:p>
    <w:p w14:paraId="751A51C8">
      <w:pPr>
        <w:pStyle w:val="6"/>
        <w:widowControl/>
        <w:numPr>
          <w:ilvl w:val="0"/>
          <w:numId w:val="1"/>
        </w:numPr>
        <w:spacing w:line="520" w:lineRule="exact"/>
        <w:ind w:left="0" w:leftChars="0" w:firstLine="640" w:firstLineChars="200"/>
        <w:jc w:val="left"/>
        <w:rPr>
          <w:rFonts w:ascii="Times New Roman" w:hAnsi="Times New Roman" w:eastAsia="黑体"/>
          <w:sz w:val="32"/>
          <w:szCs w:val="32"/>
        </w:rPr>
      </w:pPr>
      <w:r>
        <w:rPr>
          <w:rFonts w:ascii="Times New Roman" w:hAnsi="Times New Roman" w:eastAsia="黑体"/>
          <w:sz w:val="32"/>
          <w:szCs w:val="32"/>
        </w:rPr>
        <w:t>政府性基金预算支出情况</w:t>
      </w:r>
    </w:p>
    <w:p w14:paraId="5884DC9F">
      <w:pPr>
        <w:pStyle w:val="6"/>
        <w:widowControl/>
        <w:numPr>
          <w:ilvl w:val="0"/>
          <w:numId w:val="0"/>
        </w:numPr>
        <w:spacing w:line="520" w:lineRule="exact"/>
        <w:ind w:left="630" w:left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本单位无</w:t>
      </w:r>
    </w:p>
    <w:p w14:paraId="739C4468">
      <w:pPr>
        <w:pStyle w:val="6"/>
        <w:widowControl/>
        <w:numPr>
          <w:numId w:val="0"/>
        </w:numPr>
        <w:spacing w:line="520" w:lineRule="exact"/>
        <w:ind w:leftChars="200"/>
        <w:jc w:val="left"/>
        <w:rPr>
          <w:rFonts w:ascii="Times New Roman" w:hAnsi="Times New Roman" w:eastAsia="黑体"/>
          <w:sz w:val="32"/>
          <w:szCs w:val="32"/>
        </w:rPr>
      </w:pPr>
    </w:p>
    <w:p w14:paraId="216101D4">
      <w:pPr>
        <w:pStyle w:val="6"/>
        <w:widowControl/>
        <w:numPr>
          <w:ilvl w:val="0"/>
          <w:numId w:val="1"/>
        </w:numPr>
        <w:spacing w:line="520" w:lineRule="exact"/>
        <w:ind w:left="0" w:leftChars="0" w:firstLine="640" w:firstLineChars="200"/>
        <w:jc w:val="left"/>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国有资本经营预算支出情况</w:t>
      </w:r>
    </w:p>
    <w:p w14:paraId="6B85114D">
      <w:pPr>
        <w:pStyle w:val="6"/>
        <w:widowControl/>
        <w:numPr>
          <w:ilvl w:val="0"/>
          <w:numId w:val="0"/>
        </w:numPr>
        <w:spacing w:line="520" w:lineRule="exact"/>
        <w:ind w:left="630" w:left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本单位无</w:t>
      </w:r>
    </w:p>
    <w:p w14:paraId="48F5EFAA">
      <w:pPr>
        <w:pStyle w:val="6"/>
        <w:widowControl/>
        <w:numPr>
          <w:numId w:val="0"/>
        </w:numPr>
        <w:spacing w:line="520" w:lineRule="exact"/>
        <w:ind w:leftChars="200"/>
        <w:jc w:val="left"/>
        <w:rPr>
          <w:rFonts w:hint="default" w:ascii="Times New Roman" w:hAnsi="Times New Roman" w:eastAsia="黑体"/>
          <w:sz w:val="32"/>
          <w:szCs w:val="32"/>
          <w:lang w:val="en-US" w:eastAsia="zh-CN"/>
        </w:rPr>
      </w:pPr>
    </w:p>
    <w:p w14:paraId="690EE68D">
      <w:pPr>
        <w:pStyle w:val="6"/>
        <w:widowControl/>
        <w:numPr>
          <w:ilvl w:val="0"/>
          <w:numId w:val="1"/>
        </w:numPr>
        <w:spacing w:line="520" w:lineRule="exact"/>
        <w:ind w:left="0" w:leftChars="0" w:firstLine="640" w:firstLineChars="200"/>
        <w:jc w:val="left"/>
        <w:rPr>
          <w:rFonts w:ascii="Times New Roman" w:hAnsi="Times New Roman" w:eastAsia="黑体"/>
          <w:sz w:val="32"/>
          <w:szCs w:val="32"/>
        </w:rPr>
      </w:pPr>
      <w:r>
        <w:rPr>
          <w:rFonts w:ascii="Times New Roman" w:hAnsi="Times New Roman" w:eastAsia="黑体"/>
          <w:sz w:val="32"/>
          <w:szCs w:val="32"/>
        </w:rPr>
        <w:t>社会保险基金预算支出情况</w:t>
      </w:r>
    </w:p>
    <w:p w14:paraId="5EBAEA8B">
      <w:pPr>
        <w:pStyle w:val="6"/>
        <w:widowControl/>
        <w:numPr>
          <w:ilvl w:val="0"/>
          <w:numId w:val="0"/>
        </w:numPr>
        <w:spacing w:line="520" w:lineRule="exact"/>
        <w:ind w:left="630" w:left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本单位无</w:t>
      </w:r>
    </w:p>
    <w:p w14:paraId="442DB77E">
      <w:pPr>
        <w:pStyle w:val="6"/>
        <w:widowControl/>
        <w:numPr>
          <w:numId w:val="0"/>
        </w:numPr>
        <w:spacing w:line="520" w:lineRule="exact"/>
        <w:ind w:leftChars="200"/>
        <w:jc w:val="left"/>
        <w:rPr>
          <w:rFonts w:ascii="Times New Roman" w:hAnsi="Times New Roman" w:eastAsia="黑体"/>
          <w:sz w:val="32"/>
          <w:szCs w:val="32"/>
        </w:rPr>
      </w:pPr>
    </w:p>
    <w:p w14:paraId="7074D3E2">
      <w:pPr>
        <w:widowControl/>
        <w:spacing w:line="520" w:lineRule="exact"/>
        <w:ind w:firstLine="645"/>
        <w:jc w:val="left"/>
        <w:rPr>
          <w:rFonts w:hint="eastAsia" w:eastAsia="黑体"/>
          <w:sz w:val="32"/>
          <w:szCs w:val="32"/>
          <w:lang w:eastAsia="zh-CN"/>
        </w:rPr>
      </w:pPr>
      <w:r>
        <w:rPr>
          <w:rFonts w:hint="eastAsia" w:eastAsia="黑体"/>
          <w:sz w:val="32"/>
          <w:szCs w:val="32"/>
          <w:lang w:val="en-US" w:eastAsia="zh-CN"/>
        </w:rPr>
        <w:t>六</w:t>
      </w:r>
      <w:r>
        <w:rPr>
          <w:rFonts w:eastAsia="黑体"/>
          <w:sz w:val="32"/>
          <w:szCs w:val="32"/>
        </w:rPr>
        <w:t>、部门整体支出绩效情况</w:t>
      </w:r>
    </w:p>
    <w:p w14:paraId="389281D2">
      <w:pPr>
        <w:pStyle w:val="6"/>
        <w:widowControl/>
        <w:spacing w:line="520" w:lineRule="exact"/>
        <w:ind w:left="640" w:firstLine="0" w:firstLineChars="0"/>
        <w:jc w:val="left"/>
        <w:rPr>
          <w:rFonts w:hint="eastAsia" w:ascii="Times New Roman" w:hAnsi="Times New Roman" w:eastAsia="仿宋_GB2312"/>
          <w:sz w:val="32"/>
          <w:szCs w:val="32"/>
        </w:rPr>
      </w:pPr>
      <w:r>
        <w:rPr>
          <w:rFonts w:hint="eastAsia" w:ascii="Times New Roman" w:hAnsi="Times New Roman" w:eastAsia="仿宋_GB2312"/>
          <w:sz w:val="32"/>
          <w:szCs w:val="32"/>
        </w:rPr>
        <w:t>一般公共预算、政府性基金预算完成年度绩效目标任务，保障了政府各部门资金正常使用，保障了政府各部门的正常运转，实现了一般公共预算、政府性基金预算资金的使用效益。发挥部门职责，严格执行预算资金管理，一般公共预算、政府性基金预算资金年度在履职效能、社会效应等方面，发挥了资金使用的最大效益，为可持续发展、发展经济、公共服务发挥巨大作用</w:t>
      </w:r>
    </w:p>
    <w:p w14:paraId="40A07C61">
      <w:pPr>
        <w:pStyle w:val="6"/>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lang w:val="en-US" w:eastAsia="zh-CN"/>
        </w:rPr>
        <w:t>七</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14:paraId="5F227A28">
      <w:pPr>
        <w:widowControl/>
        <w:spacing w:line="520" w:lineRule="exact"/>
        <w:ind w:firstLine="640" w:firstLineChars="200"/>
        <w:jc w:val="left"/>
        <w:rPr>
          <w:rFonts w:eastAsia="仿宋_GB2312"/>
          <w:sz w:val="32"/>
          <w:szCs w:val="32"/>
        </w:rPr>
      </w:pPr>
      <w:r>
        <w:rPr>
          <w:rFonts w:hint="eastAsia" w:eastAsia="仿宋_GB2312"/>
          <w:sz w:val="32"/>
          <w:szCs w:val="32"/>
          <w:lang w:eastAsia="zh-CN"/>
        </w:rPr>
        <w:t>还需要加大麻风宣传力度，提高公众知晓率到达预期指标</w:t>
      </w:r>
      <w:r>
        <w:rPr>
          <w:rFonts w:eastAsia="仿宋_GB2312"/>
          <w:sz w:val="32"/>
          <w:szCs w:val="32"/>
        </w:rPr>
        <w:t>。</w:t>
      </w:r>
    </w:p>
    <w:p w14:paraId="455796B8">
      <w:pPr>
        <w:widowControl/>
        <w:numPr>
          <w:ilvl w:val="0"/>
          <w:numId w:val="3"/>
        </w:numPr>
        <w:spacing w:line="520" w:lineRule="exact"/>
        <w:ind w:firstLine="640" w:firstLineChars="200"/>
        <w:jc w:val="left"/>
        <w:rPr>
          <w:rFonts w:eastAsia="黑体"/>
          <w:sz w:val="32"/>
          <w:szCs w:val="32"/>
        </w:rPr>
      </w:pPr>
      <w:r>
        <w:rPr>
          <w:rFonts w:eastAsia="黑体"/>
          <w:sz w:val="32"/>
          <w:szCs w:val="32"/>
        </w:rPr>
        <w:t>下一步改进措施</w:t>
      </w:r>
    </w:p>
    <w:p w14:paraId="04C61D2B">
      <w:pPr>
        <w:widowControl/>
        <w:numPr>
          <w:numId w:val="0"/>
        </w:numPr>
        <w:spacing w:line="520" w:lineRule="exact"/>
        <w:jc w:val="left"/>
        <w:rPr>
          <w:rFonts w:hint="default" w:eastAsia="黑体"/>
          <w:sz w:val="32"/>
          <w:szCs w:val="32"/>
          <w:lang w:val="en-US" w:eastAsia="zh-CN"/>
        </w:rPr>
      </w:pPr>
      <w:r>
        <w:rPr>
          <w:rFonts w:hint="eastAsia" w:eastAsia="黑体"/>
          <w:sz w:val="32"/>
          <w:szCs w:val="32"/>
          <w:lang w:val="en-US" w:eastAsia="zh-CN"/>
        </w:rPr>
        <w:t xml:space="preserve">    </w:t>
      </w:r>
      <w:r>
        <w:rPr>
          <w:rFonts w:hint="eastAsia" w:eastAsia="仿宋_GB2312"/>
          <w:sz w:val="32"/>
          <w:szCs w:val="32"/>
          <w:lang w:val="en-US" w:eastAsia="zh-CN"/>
        </w:rPr>
        <w:t>加强预算执行进度并且提升资金利用效率，严格按照财政厅相关要求，</w:t>
      </w:r>
      <w:r>
        <w:rPr>
          <w:rFonts w:ascii="仿宋_GB2312" w:eastAsia="仿宋_GB2312"/>
          <w:color w:val="000000"/>
          <w:sz w:val="32"/>
          <w:szCs w:val="32"/>
        </w:rPr>
        <w:t>督促业务</w:t>
      </w:r>
      <w:r>
        <w:rPr>
          <w:rFonts w:hint="eastAsia" w:ascii="仿宋_GB2312" w:eastAsia="仿宋_GB2312"/>
          <w:color w:val="000000"/>
          <w:sz w:val="32"/>
          <w:szCs w:val="32"/>
        </w:rPr>
        <w:t>科</w:t>
      </w:r>
      <w:r>
        <w:rPr>
          <w:rFonts w:ascii="仿宋_GB2312" w:eastAsia="仿宋_GB2312"/>
          <w:color w:val="000000"/>
          <w:sz w:val="32"/>
          <w:szCs w:val="32"/>
        </w:rPr>
        <w:t>室加快项目实施进度，切实加大预算执行力度。提高项算资金使用效率，年底确保全部执行完所有的预算指标，全面完成单位年初制定的各项目标任务。</w:t>
      </w:r>
      <w:r>
        <w:rPr>
          <w:rFonts w:hint="eastAsia" w:ascii="仿宋_GB2312" w:eastAsia="仿宋_GB2312"/>
          <w:color w:val="000000"/>
          <w:sz w:val="32"/>
          <w:szCs w:val="32"/>
        </w:rPr>
        <w:t>进一步健全和完善财务管理制度及内部控制制度，创新管理手段，用新思路、新方法，改进完善财务管理方法，用制度管项目，用制度管资金，杜绝一切腐败现象</w:t>
      </w:r>
    </w:p>
    <w:p w14:paraId="47BCC704">
      <w:pPr>
        <w:widowControl/>
        <w:spacing w:line="520" w:lineRule="exact"/>
        <w:ind w:firstLine="645"/>
        <w:jc w:val="left"/>
        <w:rPr>
          <w:rFonts w:eastAsia="黑体"/>
          <w:sz w:val="32"/>
          <w:szCs w:val="32"/>
        </w:rPr>
      </w:pPr>
      <w:r>
        <w:rPr>
          <w:rFonts w:hint="eastAsia" w:eastAsia="黑体"/>
          <w:sz w:val="32"/>
          <w:szCs w:val="32"/>
          <w:lang w:val="en-US" w:eastAsia="zh-CN"/>
        </w:rPr>
        <w:t>九</w:t>
      </w:r>
      <w:r>
        <w:rPr>
          <w:rFonts w:eastAsia="黑体"/>
          <w:sz w:val="32"/>
          <w:szCs w:val="32"/>
        </w:rPr>
        <w:t>、</w:t>
      </w:r>
      <w:r>
        <w:rPr>
          <w:rFonts w:hint="eastAsia" w:eastAsia="黑体"/>
          <w:sz w:val="32"/>
          <w:szCs w:val="32"/>
          <w:lang w:val="en-US" w:eastAsia="zh-CN"/>
        </w:rPr>
        <w:t>绩效自评结果及</w:t>
      </w:r>
      <w:r>
        <w:rPr>
          <w:rFonts w:eastAsia="黑体"/>
          <w:sz w:val="32"/>
          <w:szCs w:val="32"/>
        </w:rPr>
        <w:t>其他需要说明的情况</w:t>
      </w:r>
    </w:p>
    <w:p w14:paraId="48C275C6">
      <w:pPr>
        <w:widowControl/>
        <w:numPr>
          <w:ilvl w:val="0"/>
          <w:numId w:val="0"/>
        </w:numPr>
        <w:spacing w:line="520" w:lineRule="exact"/>
        <w:jc w:val="left"/>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绩效评价优</w:t>
      </w:r>
      <w:bookmarkStart w:id="0" w:name="_GoBack"/>
      <w:bookmarkEnd w:id="0"/>
      <w:r>
        <w:rPr>
          <w:rFonts w:hint="eastAsia" w:ascii="仿宋_GB2312" w:eastAsia="仿宋_GB2312"/>
          <w:color w:val="000000"/>
          <w:sz w:val="32"/>
          <w:szCs w:val="32"/>
          <w:lang w:eastAsia="zh-CN"/>
        </w:rPr>
        <w:t>良，无其他说明</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AB514">
    <w:pPr>
      <w:spacing w:line="176" w:lineRule="auto"/>
      <w:ind w:left="4039"/>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8E7EC"/>
    <w:multiLevelType w:val="singleLevel"/>
    <w:tmpl w:val="A418E7EC"/>
    <w:lvl w:ilvl="0" w:tentative="0">
      <w:start w:val="1"/>
      <w:numFmt w:val="chineseCounting"/>
      <w:suff w:val="nothing"/>
      <w:lvlText w:val="（%1）"/>
      <w:lvlJc w:val="left"/>
      <w:pPr>
        <w:ind w:left="-10"/>
      </w:pPr>
      <w:rPr>
        <w:rFonts w:hint="eastAsia"/>
      </w:rPr>
    </w:lvl>
  </w:abstractNum>
  <w:abstractNum w:abstractNumId="1">
    <w:nsid w:val="FDC310B5"/>
    <w:multiLevelType w:val="singleLevel"/>
    <w:tmpl w:val="FDC310B5"/>
    <w:lvl w:ilvl="0" w:tentative="0">
      <w:start w:val="1"/>
      <w:numFmt w:val="chineseCounting"/>
      <w:suff w:val="nothing"/>
      <w:lvlText w:val="%1、"/>
      <w:lvlJc w:val="left"/>
      <w:rPr>
        <w:rFonts w:hint="eastAsia"/>
      </w:rPr>
    </w:lvl>
  </w:abstractNum>
  <w:abstractNum w:abstractNumId="2">
    <w:nsid w:val="5D7FB333"/>
    <w:multiLevelType w:val="singleLevel"/>
    <w:tmpl w:val="5D7FB333"/>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jMTk2NDIwZjhiYWUwNjQzYzYzN2U0YTA5ZmQwZWQifQ=="/>
  </w:docVars>
  <w:rsids>
    <w:rsidRoot w:val="00000000"/>
    <w:rsid w:val="15BF56EC"/>
    <w:rsid w:val="35CB6416"/>
    <w:rsid w:val="4B4334AB"/>
    <w:rsid w:val="5403276E"/>
    <w:rsid w:val="54C57A37"/>
    <w:rsid w:val="72B60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453</Words>
  <Characters>458</Characters>
  <Lines>0</Lines>
  <Paragraphs>0</Paragraphs>
  <TotalTime>0</TotalTime>
  <ScaleCrop>false</ScaleCrop>
  <LinksUpToDate>false</LinksUpToDate>
  <CharactersWithSpaces>458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2024-08-12T02:40:00Z</dcterms:created>
  <dc:creator>mini4use</dc:creator>
  <cp:lastModifiedBy>微信用户</cp:lastModifiedBy>
  <dcterms:modified xsi:type="dcterms:W3CDTF">2024-09-03T08:45:46Z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DEC29D6FF1984251977FAFE43F2C91AB_12</vt:lpwstr>
  </property>
</Properties>
</file>