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2023年度住房保障服务中心</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63114AD6">
      <w:pPr>
        <w:widowControl/>
        <w:spacing w:line="5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单位</w:t>
      </w:r>
      <w:r>
        <w:rPr>
          <w:rFonts w:hint="eastAsia" w:ascii="仿宋" w:hAnsi="仿宋" w:eastAsia="仿宋" w:cs="仿宋"/>
          <w:sz w:val="30"/>
          <w:szCs w:val="30"/>
          <w:lang w:val="en-US" w:eastAsia="zh-CN"/>
        </w:rPr>
        <w:t>基本情况</w:t>
      </w:r>
    </w:p>
    <w:p w14:paraId="078F4F29">
      <w:pPr>
        <w:widowControl/>
        <w:spacing w:line="52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住房保障服务中心为全额拨款事业单位，主要业务范围：为住房保障行业提供服务保障。负责全县保障性住房建设、储备、分配、小售、交易相关事务性工作；住房保障对象审核及保障性租房货币补贴发放；直管公房租赁、修缮、改造维护经营工作，白蚁预防及房屋维修资金管理相关事务性工作；全县住房保障信息汇集。</w:t>
      </w:r>
    </w:p>
    <w:p w14:paraId="5A93D34B">
      <w:pPr>
        <w:pStyle w:val="7"/>
        <w:widowControl/>
        <w:numPr>
          <w:ilvl w:val="0"/>
          <w:numId w:val="0"/>
        </w:numPr>
        <w:spacing w:line="520" w:lineRule="exact"/>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z w:val="30"/>
          <w:szCs w:val="30"/>
          <w:lang w:val="en-US" w:eastAsia="zh-CN"/>
        </w:rPr>
        <w:t xml:space="preserve">  </w:t>
      </w:r>
      <w:r>
        <w:rPr>
          <w:rFonts w:hint="eastAsia" w:ascii="仿宋" w:hAnsi="仿宋" w:eastAsia="仿宋" w:cs="仿宋"/>
          <w:snapToGrid w:val="0"/>
          <w:color w:val="000000"/>
          <w:kern w:val="0"/>
          <w:sz w:val="30"/>
          <w:szCs w:val="30"/>
          <w:lang w:val="en-US" w:eastAsia="zh-CN" w:bidi="ar-SA"/>
        </w:rPr>
        <w:t xml:space="preserve"> 2023年末中心总人数33人。其中：全额公益一类33人</w:t>
      </w:r>
    </w:p>
    <w:p w14:paraId="6F8E24BA">
      <w:pPr>
        <w:pStyle w:val="7"/>
        <w:widowControl/>
        <w:numPr>
          <w:ilvl w:val="0"/>
          <w:numId w:val="2"/>
        </w:numPr>
        <w:spacing w:line="520" w:lineRule="exact"/>
        <w:ind w:left="210" w:leftChars="0" w:firstLineChars="0"/>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kern w:val="0"/>
          <w:sz w:val="30"/>
          <w:szCs w:val="30"/>
          <w:lang w:val="en-US" w:eastAsia="en-US" w:bidi="ar-SA"/>
        </w:rPr>
        <w:t>单位</w:t>
      </w:r>
      <w:r>
        <w:rPr>
          <w:rFonts w:hint="eastAsia" w:ascii="仿宋" w:hAnsi="仿宋" w:eastAsia="仿宋" w:cs="仿宋"/>
          <w:snapToGrid w:val="0"/>
          <w:color w:val="000000"/>
          <w:kern w:val="0"/>
          <w:sz w:val="30"/>
          <w:szCs w:val="30"/>
          <w:lang w:val="en-US" w:eastAsia="zh-CN" w:bidi="ar-SA"/>
        </w:rPr>
        <w:t>年度整体支出绩效目标：</w:t>
      </w:r>
    </w:p>
    <w:p w14:paraId="11EE9D97">
      <w:pPr>
        <w:pStyle w:val="7"/>
        <w:widowControl/>
        <w:numPr>
          <w:ilvl w:val="0"/>
          <w:numId w:val="0"/>
        </w:numPr>
        <w:spacing w:line="520" w:lineRule="exact"/>
        <w:ind w:firstLine="600" w:firstLineChars="200"/>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kern w:val="0"/>
          <w:sz w:val="30"/>
          <w:szCs w:val="30"/>
          <w:lang w:val="en-US" w:eastAsia="zh-CN" w:bidi="ar-SA"/>
        </w:rPr>
        <w:t>贯彻执行上级有关住房保障工作的法律、法规和方针政策，对全县住房保障工作发展规划及年度计划提出建议并负责拟订具体实施办法，为住房保障行业提供服务保障。做好廉租住房、公共租赁住房、直管公房的分配、租赁等事务性工作，审核、实施保障性住房货币补贴工作。完成租金收缴工作。完成全县城市白蚁预防和回访灭治工作。做好全县住宅专项维修资金的缴存和使用管理服务，做好房产测绘及测绘成果审查备案和利用转化工作；承担全县住房保障信息汇集工作。</w:t>
      </w:r>
    </w:p>
    <w:p w14:paraId="7587B28A">
      <w:pPr>
        <w:pStyle w:val="7"/>
        <w:widowControl/>
        <w:spacing w:line="520" w:lineRule="exact"/>
        <w:ind w:left="640" w:firstLine="0" w:firstLineChars="0"/>
        <w:rPr>
          <w:rFonts w:hint="eastAsia" w:ascii="黑体" w:hAnsi="黑体" w:eastAsia="黑体" w:cs="黑体"/>
          <w:sz w:val="30"/>
          <w:szCs w:val="30"/>
        </w:rPr>
      </w:pPr>
      <w:r>
        <w:rPr>
          <w:rFonts w:hint="eastAsia" w:ascii="黑体" w:hAnsi="黑体" w:eastAsia="黑体" w:cs="黑体"/>
          <w:sz w:val="30"/>
          <w:szCs w:val="30"/>
        </w:rPr>
        <w:t>二、一般公共预算支出情况</w:t>
      </w:r>
    </w:p>
    <w:p w14:paraId="7698860E">
      <w:pPr>
        <w:widowControl/>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（一）基本支出情况</w:t>
      </w:r>
    </w:p>
    <w:p w14:paraId="513EED7F">
      <w:pPr>
        <w:widowControl/>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23</w:t>
      </w:r>
      <w:r>
        <w:rPr>
          <w:rFonts w:hint="eastAsia" w:ascii="仿宋" w:hAnsi="仿宋" w:eastAsia="仿宋" w:cs="仿宋"/>
          <w:sz w:val="30"/>
          <w:szCs w:val="30"/>
        </w:rPr>
        <w:t>年，</w:t>
      </w:r>
      <w:r>
        <w:rPr>
          <w:rFonts w:hint="eastAsia" w:ascii="仿宋" w:hAnsi="仿宋" w:eastAsia="仿宋" w:cs="仿宋"/>
          <w:sz w:val="30"/>
          <w:szCs w:val="30"/>
          <w:lang w:val="en-US" w:eastAsia="zh-CN"/>
        </w:rPr>
        <w:t>我中心年初基本支出预算364.53万元，实际</w:t>
      </w:r>
      <w:r>
        <w:rPr>
          <w:rFonts w:hint="eastAsia" w:ascii="仿宋" w:hAnsi="仿宋" w:eastAsia="仿宋" w:cs="仿宋"/>
          <w:sz w:val="30"/>
          <w:szCs w:val="30"/>
        </w:rPr>
        <w:t>基本支出</w:t>
      </w:r>
      <w:r>
        <w:rPr>
          <w:rFonts w:hint="eastAsia" w:ascii="仿宋" w:hAnsi="仿宋" w:eastAsia="仿宋" w:cs="仿宋"/>
          <w:sz w:val="30"/>
          <w:szCs w:val="30"/>
          <w:lang w:val="en-US" w:eastAsia="zh-CN"/>
        </w:rPr>
        <w:t>415.98万</w:t>
      </w:r>
      <w:r>
        <w:rPr>
          <w:rFonts w:hint="eastAsia" w:ascii="仿宋" w:hAnsi="仿宋" w:eastAsia="仿宋" w:cs="仿宋"/>
          <w:sz w:val="30"/>
          <w:szCs w:val="30"/>
        </w:rPr>
        <w:t>元，</w:t>
      </w:r>
      <w:r>
        <w:rPr>
          <w:rFonts w:hint="eastAsia" w:ascii="仿宋" w:hAnsi="仿宋" w:eastAsia="仿宋" w:cs="仿宋"/>
          <w:sz w:val="30"/>
          <w:szCs w:val="30"/>
          <w:lang w:val="en-US" w:eastAsia="zh-CN"/>
        </w:rPr>
        <w:t>其中：</w:t>
      </w:r>
      <w:r>
        <w:rPr>
          <w:rFonts w:hint="eastAsia" w:ascii="仿宋" w:hAnsi="仿宋" w:eastAsia="仿宋" w:cs="仿宋"/>
          <w:kern w:val="2"/>
          <w:sz w:val="30"/>
          <w:szCs w:val="30"/>
          <w:lang w:val="en-US" w:eastAsia="zh-CN" w:bidi="ar"/>
        </w:rPr>
        <w:t>工资福利支出341.09万元；商品和服务支出74.88万元；</w:t>
      </w:r>
    </w:p>
    <w:p w14:paraId="7C11EFB6">
      <w:pPr>
        <w:pStyle w:val="7"/>
        <w:widowControl/>
        <w:spacing w:line="52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（二）项目支出情况</w:t>
      </w:r>
    </w:p>
    <w:p w14:paraId="595F4FA5">
      <w:pPr>
        <w:pStyle w:val="7"/>
        <w:widowControl/>
        <w:numPr>
          <w:ilvl w:val="0"/>
          <w:numId w:val="0"/>
        </w:numPr>
        <w:spacing w:line="52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2023年，我中心项目支出年初预算15万元，实际支出401.5万元。</w:t>
      </w:r>
    </w:p>
    <w:p w14:paraId="751A51C8">
      <w:pPr>
        <w:pStyle w:val="7"/>
        <w:widowControl/>
        <w:spacing w:line="520" w:lineRule="exact"/>
        <w:ind w:left="640" w:firstLine="0" w:firstLineChars="0"/>
        <w:jc w:val="left"/>
        <w:rPr>
          <w:rFonts w:hint="eastAsia" w:ascii="仿宋" w:hAnsi="仿宋" w:eastAsia="仿宋" w:cs="仿宋"/>
          <w:sz w:val="30"/>
          <w:szCs w:val="30"/>
        </w:rPr>
      </w:pPr>
      <w:r>
        <w:rPr>
          <w:rFonts w:hint="eastAsia" w:ascii="黑体" w:hAnsi="黑体" w:eastAsia="黑体" w:cs="黑体"/>
          <w:sz w:val="30"/>
          <w:szCs w:val="30"/>
        </w:rPr>
        <w:t>三、政府性基金预算支出情况</w:t>
      </w:r>
    </w:p>
    <w:p w14:paraId="48A76E7E">
      <w:pPr>
        <w:pStyle w:val="7"/>
        <w:widowControl/>
        <w:spacing w:line="520" w:lineRule="exact"/>
        <w:ind w:left="640" w:firstLine="0" w:firstLineChars="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SA"/>
        </w:rPr>
        <w:t>2023年，我中心年初政府性资金预算0元，实际支259.37万元。</w:t>
      </w:r>
    </w:p>
    <w:p w14:paraId="43C8F5F5">
      <w:pPr>
        <w:pStyle w:val="7"/>
        <w:widowControl/>
        <w:numPr>
          <w:ilvl w:val="0"/>
          <w:numId w:val="3"/>
        </w:numPr>
        <w:spacing w:line="520" w:lineRule="exact"/>
        <w:ind w:left="640" w:firstLine="0"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国有资本经营预算支出情况  </w:t>
      </w:r>
    </w:p>
    <w:p w14:paraId="741CA2B8">
      <w:pPr>
        <w:pStyle w:val="7"/>
        <w:widowControl/>
        <w:numPr>
          <w:ilvl w:val="0"/>
          <w:numId w:val="0"/>
        </w:numPr>
        <w:spacing w:line="520" w:lineRule="exact"/>
        <w:ind w:left="640" w:leftChars="0"/>
        <w:jc w:val="left"/>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2023年我中心无资本经营预算支出。</w:t>
      </w:r>
    </w:p>
    <w:p w14:paraId="0B567C9D">
      <w:pPr>
        <w:pStyle w:val="7"/>
        <w:widowControl/>
        <w:numPr>
          <w:ilvl w:val="0"/>
          <w:numId w:val="3"/>
        </w:numPr>
        <w:spacing w:line="520" w:lineRule="exact"/>
        <w:ind w:left="640" w:leftChars="0" w:firstLine="0" w:firstLineChars="0"/>
        <w:jc w:val="left"/>
        <w:rPr>
          <w:rFonts w:hint="eastAsia" w:ascii="仿宋" w:hAnsi="仿宋" w:eastAsia="仿宋" w:cs="仿宋"/>
          <w:sz w:val="30"/>
          <w:szCs w:val="30"/>
          <w:lang w:val="en-US" w:eastAsia="zh-CN"/>
        </w:rPr>
      </w:pPr>
      <w:r>
        <w:rPr>
          <w:rFonts w:hint="eastAsia" w:ascii="黑体" w:hAnsi="黑体" w:eastAsia="黑体" w:cs="黑体"/>
          <w:sz w:val="30"/>
          <w:szCs w:val="30"/>
        </w:rPr>
        <w:t>社会保险基金预算支出情况</w:t>
      </w:r>
      <w:r>
        <w:rPr>
          <w:rFonts w:hint="eastAsia" w:ascii="黑体" w:hAnsi="黑体" w:eastAsia="黑体" w:cs="黑体"/>
          <w:sz w:val="30"/>
          <w:szCs w:val="30"/>
          <w:lang w:val="en-US" w:eastAsia="zh-CN"/>
        </w:rPr>
        <w:t xml:space="preserve"> </w:t>
      </w:r>
      <w:r>
        <w:rPr>
          <w:rFonts w:hint="eastAsia" w:ascii="仿宋" w:hAnsi="仿宋" w:eastAsia="仿宋" w:cs="仿宋"/>
          <w:sz w:val="30"/>
          <w:szCs w:val="30"/>
          <w:lang w:val="en-US" w:eastAsia="zh-CN"/>
        </w:rPr>
        <w:t xml:space="preserve"> </w:t>
      </w:r>
    </w:p>
    <w:p w14:paraId="690EE68D">
      <w:pPr>
        <w:pStyle w:val="7"/>
        <w:widowControl/>
        <w:numPr>
          <w:ilvl w:val="0"/>
          <w:numId w:val="0"/>
        </w:numPr>
        <w:spacing w:line="520" w:lineRule="exac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2023年我中心无保险基金预算支出。</w:t>
      </w:r>
    </w:p>
    <w:p w14:paraId="7074D3E2">
      <w:pPr>
        <w:widowControl/>
        <w:spacing w:line="520" w:lineRule="exact"/>
        <w:ind w:firstLine="645"/>
        <w:jc w:val="left"/>
        <w:rPr>
          <w:rFonts w:hint="eastAsia" w:ascii="黑体" w:hAnsi="黑体" w:eastAsia="黑体" w:cs="黑体"/>
          <w:sz w:val="30"/>
          <w:szCs w:val="30"/>
        </w:rPr>
      </w:pPr>
      <w:r>
        <w:rPr>
          <w:rFonts w:hint="eastAsia" w:ascii="黑体" w:hAnsi="黑体" w:eastAsia="黑体" w:cs="黑体"/>
          <w:sz w:val="30"/>
          <w:szCs w:val="30"/>
          <w:lang w:val="en-US" w:eastAsia="zh-CN"/>
        </w:rPr>
        <w:t>六</w:t>
      </w:r>
      <w:r>
        <w:rPr>
          <w:rFonts w:hint="eastAsia" w:ascii="黑体" w:hAnsi="黑体" w:eastAsia="黑体" w:cs="黑体"/>
          <w:sz w:val="30"/>
          <w:szCs w:val="30"/>
        </w:rPr>
        <w:t>、部门整体支出绩效情况</w:t>
      </w:r>
    </w:p>
    <w:p w14:paraId="645CA40D">
      <w:pPr>
        <w:pStyle w:val="7"/>
        <w:widowControl/>
        <w:spacing w:line="520" w:lineRule="exact"/>
        <w:ind w:left="640" w:firstLine="0" w:firstLineChars="0"/>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23</w:t>
      </w:r>
      <w:r>
        <w:rPr>
          <w:rFonts w:hint="eastAsia" w:ascii="仿宋" w:hAnsi="仿宋" w:eastAsia="仿宋" w:cs="仿宋"/>
          <w:sz w:val="30"/>
          <w:szCs w:val="30"/>
        </w:rPr>
        <w:t>年，住房保障服务中心全面贯彻县委、县政府的</w:t>
      </w:r>
    </w:p>
    <w:p w14:paraId="641D13B5">
      <w:pPr>
        <w:pStyle w:val="7"/>
        <w:widowControl/>
        <w:spacing w:line="520" w:lineRule="exact"/>
        <w:ind w:firstLine="0" w:firstLineChars="0"/>
        <w:rPr>
          <w:rFonts w:hint="eastAsia" w:ascii="仿宋" w:hAnsi="仿宋" w:eastAsia="仿宋" w:cs="仿宋"/>
          <w:sz w:val="30"/>
          <w:szCs w:val="30"/>
        </w:rPr>
      </w:pPr>
      <w:r>
        <w:rPr>
          <w:rFonts w:hint="eastAsia" w:ascii="仿宋" w:hAnsi="仿宋" w:eastAsia="仿宋" w:cs="仿宋"/>
          <w:sz w:val="30"/>
          <w:szCs w:val="30"/>
        </w:rPr>
        <w:t>决策部署，积极落实全县各项中心工作，以抓好住房保障和房产市场管理为重点，认真履行住房保障职能职责，积极推进房地产市场健康发展，住房保障有力推进，</w:t>
      </w:r>
      <w:r>
        <w:rPr>
          <w:rFonts w:hint="eastAsia" w:ascii="仿宋" w:hAnsi="仿宋" w:eastAsia="仿宋" w:cs="仿宋"/>
          <w:sz w:val="30"/>
          <w:szCs w:val="30"/>
          <w:lang w:val="en-US" w:eastAsia="zh-CN"/>
        </w:rPr>
        <w:t>完成</w:t>
      </w:r>
      <w:r>
        <w:rPr>
          <w:rFonts w:hint="eastAsia" w:ascii="仿宋" w:hAnsi="仿宋" w:eastAsia="仿宋" w:cs="仿宋"/>
          <w:sz w:val="30"/>
          <w:szCs w:val="30"/>
        </w:rPr>
        <w:t>棚改项目</w:t>
      </w:r>
      <w:r>
        <w:rPr>
          <w:rFonts w:hint="eastAsia" w:ascii="仿宋" w:hAnsi="仿宋" w:eastAsia="仿宋" w:cs="仿宋"/>
          <w:sz w:val="30"/>
          <w:szCs w:val="30"/>
          <w:lang w:val="en-US" w:eastAsia="zh-CN"/>
        </w:rPr>
        <w:t>扫尾工作</w:t>
      </w:r>
      <w:r>
        <w:rPr>
          <w:rFonts w:hint="eastAsia" w:ascii="仿宋" w:hAnsi="仿宋" w:eastAsia="仿宋" w:cs="仿宋"/>
          <w:sz w:val="30"/>
          <w:szCs w:val="30"/>
        </w:rPr>
        <w:t>，住房困难租赁补贴足额发放，白蚁预防工作稳步进行</w:t>
      </w:r>
      <w:r>
        <w:rPr>
          <w:rFonts w:hint="eastAsia" w:ascii="仿宋" w:hAnsi="仿宋" w:eastAsia="仿宋" w:cs="仿宋"/>
          <w:sz w:val="30"/>
          <w:szCs w:val="30"/>
          <w:lang w:val="en-US" w:eastAsia="zh-CN"/>
        </w:rPr>
        <w:t>维修资金管理、红色物业创建、信访维稳、乡村振兴等工作</w:t>
      </w:r>
      <w:r>
        <w:rPr>
          <w:rFonts w:hint="eastAsia" w:ascii="仿宋" w:hAnsi="仿宋" w:eastAsia="仿宋" w:cs="仿宋"/>
          <w:sz w:val="30"/>
          <w:szCs w:val="30"/>
        </w:rPr>
        <w:t>有新成效，公租房管理规范有序</w:t>
      </w:r>
      <w:r>
        <w:rPr>
          <w:rFonts w:hint="eastAsia" w:ascii="仿宋" w:hAnsi="仿宋" w:eastAsia="仿宋" w:cs="仿宋"/>
          <w:sz w:val="30"/>
          <w:szCs w:val="30"/>
          <w:lang w:eastAsia="zh-CN"/>
        </w:rPr>
        <w:t>，租金收缴率达到</w:t>
      </w:r>
      <w:r>
        <w:rPr>
          <w:rFonts w:hint="eastAsia" w:ascii="仿宋" w:hAnsi="仿宋" w:eastAsia="仿宋" w:cs="仿宋"/>
          <w:sz w:val="30"/>
          <w:szCs w:val="30"/>
          <w:lang w:val="en-US" w:eastAsia="zh-CN"/>
        </w:rPr>
        <w:t>100%</w:t>
      </w:r>
      <w:r>
        <w:rPr>
          <w:rFonts w:hint="eastAsia" w:ascii="仿宋" w:hAnsi="仿宋" w:eastAsia="仿宋" w:cs="仿宋"/>
          <w:sz w:val="30"/>
          <w:szCs w:val="30"/>
        </w:rPr>
        <w:t>等等，各项工作开展较好，取得了良好的社会效益</w:t>
      </w:r>
      <w:r>
        <w:rPr>
          <w:rFonts w:hint="eastAsia" w:ascii="仿宋" w:hAnsi="仿宋" w:eastAsia="仿宋" w:cs="仿宋"/>
          <w:sz w:val="30"/>
          <w:szCs w:val="30"/>
          <w:lang w:eastAsia="zh-CN"/>
        </w:rPr>
        <w:t>和经济效益</w:t>
      </w:r>
      <w:r>
        <w:rPr>
          <w:rFonts w:hint="eastAsia" w:ascii="仿宋" w:hAnsi="仿宋" w:eastAsia="仿宋" w:cs="仿宋"/>
          <w:sz w:val="30"/>
          <w:szCs w:val="30"/>
        </w:rPr>
        <w:t>。</w:t>
      </w:r>
    </w:p>
    <w:p w14:paraId="40A07C61">
      <w:pPr>
        <w:pStyle w:val="7"/>
        <w:widowControl/>
        <w:spacing w:line="520" w:lineRule="exact"/>
        <w:ind w:left="640" w:firstLine="0" w:firstLineChars="0"/>
        <w:jc w:val="left"/>
        <w:rPr>
          <w:rFonts w:hint="eastAsia"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、存在的问题及原因分析</w:t>
      </w:r>
    </w:p>
    <w:p w14:paraId="3ACC01DF">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预算数与决算数的差异较大，主要原因不能确定上级专项资金下发情况，住房保障支出资金及其他支出资金未纳入年初预算。</w:t>
      </w:r>
    </w:p>
    <w:p w14:paraId="455796B8">
      <w:pPr>
        <w:snapToGrid w:val="0"/>
        <w:spacing w:line="52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下一步改进措施</w:t>
      </w:r>
    </w:p>
    <w:p w14:paraId="1D4A61A8">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pacing w:val="0"/>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按照“应保尽保、动态管理”的原则，及时足额</w:t>
      </w:r>
      <w:r>
        <w:rPr>
          <w:rFonts w:hint="eastAsia" w:ascii="仿宋" w:hAnsi="仿宋" w:eastAsia="仿宋" w:cs="仿宋"/>
          <w:sz w:val="30"/>
          <w:szCs w:val="30"/>
        </w:rPr>
        <w:t>发放住房困难租赁补贴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加强保障性住房租赁管理</w:t>
      </w:r>
      <w:r>
        <w:rPr>
          <w:rFonts w:hint="eastAsia" w:ascii="仿宋" w:hAnsi="仿宋" w:eastAsia="仿宋" w:cs="仿宋"/>
          <w:spacing w:val="0"/>
          <w:sz w:val="30"/>
          <w:szCs w:val="30"/>
        </w:rPr>
        <w:t>；</w:t>
      </w:r>
      <w:r>
        <w:rPr>
          <w:rFonts w:hint="eastAsia" w:ascii="仿宋" w:hAnsi="仿宋" w:eastAsia="仿宋" w:cs="仿宋"/>
          <w:color w:val="auto"/>
          <w:sz w:val="30"/>
          <w:szCs w:val="30"/>
          <w:lang w:eastAsia="zh-CN"/>
        </w:rPr>
        <w:t>督促</w:t>
      </w:r>
      <w:r>
        <w:rPr>
          <w:rFonts w:hint="eastAsia" w:ascii="仿宋" w:hAnsi="仿宋" w:eastAsia="仿宋" w:cs="仿宋"/>
          <w:sz w:val="30"/>
          <w:szCs w:val="30"/>
          <w:lang w:val="en-US" w:eastAsia="zh-CN"/>
        </w:rPr>
        <w:t>加快推进</w:t>
      </w:r>
      <w:r>
        <w:rPr>
          <w:rFonts w:hint="eastAsia" w:ascii="仿宋" w:hAnsi="仿宋" w:eastAsia="仿宋" w:cs="仿宋"/>
          <w:color w:val="auto"/>
          <w:sz w:val="30"/>
          <w:szCs w:val="30"/>
          <w:lang w:eastAsia="zh-CN"/>
        </w:rPr>
        <w:t>保障性租赁住房建设进度，</w:t>
      </w:r>
      <w:r>
        <w:rPr>
          <w:rFonts w:hint="eastAsia" w:ascii="仿宋" w:hAnsi="仿宋" w:eastAsia="仿宋" w:cs="仿宋"/>
          <w:sz w:val="30"/>
          <w:szCs w:val="30"/>
          <w:lang w:val="en-US" w:eastAsia="zh-CN"/>
        </w:rPr>
        <w:t>；</w:t>
      </w:r>
      <w:r>
        <w:rPr>
          <w:rFonts w:hint="eastAsia" w:ascii="仿宋" w:hAnsi="仿宋" w:eastAsia="仿宋" w:cs="仿宋"/>
          <w:spacing w:val="0"/>
          <w:sz w:val="30"/>
          <w:szCs w:val="30"/>
          <w:lang w:val="en-US" w:eastAsia="zh-CN"/>
        </w:rPr>
        <w:t>进一步</w:t>
      </w:r>
      <w:r>
        <w:rPr>
          <w:rFonts w:hint="eastAsia" w:ascii="仿宋" w:hAnsi="仿宋" w:eastAsia="仿宋" w:cs="仿宋"/>
          <w:sz w:val="30"/>
          <w:szCs w:val="30"/>
        </w:rPr>
        <w:t>加大维修资金归集力度</w:t>
      </w:r>
      <w:r>
        <w:rPr>
          <w:rFonts w:hint="eastAsia" w:ascii="仿宋" w:hAnsi="仿宋" w:eastAsia="仿宋" w:cs="仿宋"/>
          <w:b/>
          <w:sz w:val="30"/>
          <w:szCs w:val="30"/>
          <w:lang w:eastAsia="zh-CN"/>
        </w:rPr>
        <w:t>，</w:t>
      </w:r>
      <w:r>
        <w:rPr>
          <w:rFonts w:hint="eastAsia" w:ascii="仿宋" w:hAnsi="仿宋" w:eastAsia="仿宋" w:cs="仿宋"/>
          <w:sz w:val="30"/>
          <w:szCs w:val="30"/>
        </w:rPr>
        <w:t>规范缴交行为。</w:t>
      </w:r>
    </w:p>
    <w:p w14:paraId="0642781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pacing w:val="0"/>
          <w:sz w:val="30"/>
          <w:szCs w:val="30"/>
          <w:lang w:val="en-US" w:eastAsia="zh-CN"/>
        </w:rPr>
        <w:t>（2）</w:t>
      </w:r>
      <w:r>
        <w:rPr>
          <w:rFonts w:hint="eastAsia" w:ascii="仿宋" w:hAnsi="仿宋" w:eastAsia="仿宋" w:cs="仿宋"/>
          <w:sz w:val="30"/>
          <w:szCs w:val="30"/>
          <w:lang w:val="en-US" w:eastAsia="zh-CN"/>
        </w:rPr>
        <w:t>根据省市有关</w:t>
      </w:r>
      <w:r>
        <w:rPr>
          <w:rFonts w:hint="eastAsia" w:ascii="仿宋" w:hAnsi="仿宋" w:eastAsia="仿宋" w:cs="仿宋"/>
          <w:color w:val="auto"/>
          <w:sz w:val="30"/>
          <w:szCs w:val="30"/>
          <w:lang w:val="en-US" w:eastAsia="zh-CN"/>
        </w:rPr>
        <w:t>文件</w:t>
      </w:r>
      <w:r>
        <w:rPr>
          <w:rFonts w:hint="eastAsia" w:ascii="仿宋" w:hAnsi="仿宋" w:eastAsia="仿宋" w:cs="仿宋"/>
          <w:sz w:val="30"/>
          <w:szCs w:val="30"/>
          <w:lang w:val="en-US" w:eastAsia="zh-CN"/>
        </w:rPr>
        <w:t>，结合炎陵县实际，牵头</w:t>
      </w:r>
      <w:bookmarkStart w:id="0" w:name="_GoBack"/>
      <w:bookmarkEnd w:id="0"/>
      <w:r>
        <w:rPr>
          <w:rFonts w:hint="eastAsia" w:ascii="仿宋" w:hAnsi="仿宋" w:eastAsia="仿宋" w:cs="仿宋"/>
          <w:sz w:val="30"/>
          <w:szCs w:val="30"/>
          <w:lang w:val="en-US" w:eastAsia="zh-CN"/>
        </w:rPr>
        <w:t>起草本县相关政策措施，进一步优化房地产市场环境，保障购房者合法权益，全力推进房产开发项目建设和“保交楼”措施。促进房地产业良性循环和健康发展，提振市场信心。</w:t>
      </w:r>
    </w:p>
    <w:p w14:paraId="069A2DD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lang w:eastAsia="zh-CN"/>
        </w:rPr>
        <w:t>（</w:t>
      </w:r>
      <w:r>
        <w:rPr>
          <w:rFonts w:hint="eastAsia" w:ascii="仿宋" w:hAnsi="仿宋" w:eastAsia="仿宋" w:cs="仿宋"/>
          <w:spacing w:val="0"/>
          <w:sz w:val="30"/>
          <w:szCs w:val="30"/>
          <w:lang w:val="en-US" w:eastAsia="zh-CN"/>
        </w:rPr>
        <w:t>3</w:t>
      </w:r>
      <w:r>
        <w:rPr>
          <w:rFonts w:hint="eastAsia" w:ascii="仿宋" w:hAnsi="仿宋" w:eastAsia="仿宋" w:cs="仿宋"/>
          <w:spacing w:val="0"/>
          <w:sz w:val="30"/>
          <w:szCs w:val="30"/>
          <w:lang w:eastAsia="zh-CN"/>
        </w:rPr>
        <w:t>）加强物业管理。结合干部进小区、网格化治理模式，加快推动住宅</w:t>
      </w:r>
      <w:r>
        <w:rPr>
          <w:rFonts w:hint="eastAsia" w:ascii="仿宋" w:hAnsi="仿宋" w:eastAsia="仿宋" w:cs="仿宋"/>
          <w:spacing w:val="0"/>
          <w:sz w:val="30"/>
          <w:szCs w:val="30"/>
        </w:rPr>
        <w:t>小区</w:t>
      </w:r>
      <w:r>
        <w:rPr>
          <w:rFonts w:hint="eastAsia" w:ascii="仿宋" w:hAnsi="仿宋" w:eastAsia="仿宋" w:cs="仿宋"/>
          <w:spacing w:val="0"/>
          <w:sz w:val="30"/>
          <w:szCs w:val="30"/>
          <w:lang w:eastAsia="zh-CN"/>
        </w:rPr>
        <w:t>协同治理和“红色物业”创建工作，扩大物业管理覆盖面。</w:t>
      </w:r>
    </w:p>
    <w:p w14:paraId="47BCC704">
      <w:pPr>
        <w:widowControl/>
        <w:spacing w:line="520" w:lineRule="exact"/>
        <w:ind w:firstLine="600" w:firstLineChars="200"/>
        <w:jc w:val="left"/>
        <w:rPr>
          <w:rFonts w:hint="eastAsia" w:ascii="黑体" w:hAnsi="黑体" w:eastAsia="黑体" w:cs="黑体"/>
          <w:sz w:val="30"/>
          <w:szCs w:val="30"/>
        </w:rPr>
      </w:pPr>
      <w:r>
        <w:rPr>
          <w:rFonts w:hint="eastAsia" w:ascii="黑体" w:hAnsi="黑体" w:eastAsia="黑体" w:cs="黑体"/>
          <w:sz w:val="30"/>
          <w:szCs w:val="30"/>
          <w:lang w:val="en-US" w:eastAsia="zh-CN"/>
        </w:rPr>
        <w:t>九</w:t>
      </w:r>
      <w:r>
        <w:rPr>
          <w:rFonts w:hint="eastAsia" w:ascii="黑体" w:hAnsi="黑体" w:eastAsia="黑体" w:cs="黑体"/>
          <w:sz w:val="30"/>
          <w:szCs w:val="30"/>
        </w:rPr>
        <w:t>、</w:t>
      </w:r>
      <w:r>
        <w:rPr>
          <w:rFonts w:hint="eastAsia" w:ascii="黑体" w:hAnsi="黑体" w:eastAsia="黑体" w:cs="黑体"/>
          <w:sz w:val="30"/>
          <w:szCs w:val="30"/>
          <w:lang w:val="en-US" w:eastAsia="zh-CN"/>
        </w:rPr>
        <w:t>绩效自评结果及</w:t>
      </w:r>
      <w:r>
        <w:rPr>
          <w:rFonts w:hint="eastAsia" w:ascii="黑体" w:hAnsi="黑体" w:eastAsia="黑体" w:cs="黑体"/>
          <w:sz w:val="30"/>
          <w:szCs w:val="30"/>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整体绩效自评为优秀</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E1F4F"/>
    <w:multiLevelType w:val="singleLevel"/>
    <w:tmpl w:val="EBAE1F4F"/>
    <w:lvl w:ilvl="0" w:tentative="0">
      <w:start w:val="2"/>
      <w:numFmt w:val="chineseCounting"/>
      <w:suff w:val="nothing"/>
      <w:lvlText w:val="（%1）"/>
      <w:lvlJc w:val="left"/>
      <w:pPr>
        <w:ind w:left="-42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625B3D61"/>
    <w:multiLevelType w:val="singleLevel"/>
    <w:tmpl w:val="625B3D61"/>
    <w:lvl w:ilvl="0" w:tentative="0">
      <w:start w:val="4"/>
      <w:numFmt w:val="chineseCounting"/>
      <w:suff w:val="nothing"/>
      <w:lvlText w:val="%1、"/>
      <w:lvlJc w:val="left"/>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zMyM2Q4NGM1ZDFjNTExODc0MjYzMDUwZGQ5ZjQifQ=="/>
  </w:docVars>
  <w:rsids>
    <w:rsidRoot w:val="00000000"/>
    <w:rsid w:val="15BF56EC"/>
    <w:rsid w:val="2A4E4A6B"/>
    <w:rsid w:val="35CB6416"/>
    <w:rsid w:val="44CE5E75"/>
    <w:rsid w:val="4B4334AB"/>
    <w:rsid w:val="5189757E"/>
    <w:rsid w:val="5403276E"/>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line="540" w:lineRule="exact"/>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1194</Words>
  <Characters>1250</Characters>
  <Lines>0</Lines>
  <Paragraphs>0</Paragraphs>
  <TotalTime>31</TotalTime>
  <ScaleCrop>false</ScaleCrop>
  <LinksUpToDate>false</LinksUpToDate>
  <CharactersWithSpaces>1265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鱼儿笑</cp:lastModifiedBy>
  <dcterms:modified xsi:type="dcterms:W3CDTF">2024-09-03T03:42:58Z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