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2023年度炎陵县残疾人联合会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eastAsia="楷体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7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基本情况。</w:t>
      </w:r>
      <w:r>
        <w:rPr>
          <w:rFonts w:eastAsia="仿宋_GB2312"/>
          <w:sz w:val="32"/>
          <w:szCs w:val="32"/>
        </w:rPr>
        <w:t>1、部门职责：</w:t>
      </w:r>
      <w:r>
        <w:rPr>
          <w:rFonts w:hint="eastAsia" w:eastAsia="仿宋_GB2312"/>
          <w:sz w:val="32"/>
          <w:szCs w:val="32"/>
          <w:lang w:val="en-US" w:eastAsia="zh-CN"/>
        </w:rPr>
        <w:t>炎陵县残疾人联合会贯彻执行《中华人民共和国残疾人保障法》等法律法规，听取残疾人意见、反映残疾人要求、维护残疾人权益、为残疾人服务。开展残疾人康复、教育、劳动就业、文化、体育、科研、用品供应、福利、法律服务、无障碍设施和残疾预防工作，创造良好的环境和条件，扶助残疾人平等参与社会生活。指导和管理残疾人组织，核发《中华人民共和国残疾人证》等工作。</w:t>
      </w:r>
      <w:r>
        <w:rPr>
          <w:rFonts w:eastAsia="仿宋_GB2312"/>
          <w:sz w:val="32"/>
          <w:szCs w:val="32"/>
        </w:rPr>
        <w:t>属于财政全额拨款的一级预算单位</w:t>
      </w:r>
      <w:r>
        <w:rPr>
          <w:rFonts w:hint="default" w:eastAsia="仿宋_GB2312"/>
          <w:sz w:val="32"/>
          <w:szCs w:val="32"/>
        </w:rPr>
        <w:t>，执行行政事业单位政府会计制度。</w:t>
      </w:r>
      <w:r>
        <w:rPr>
          <w:rFonts w:hint="eastAsia" w:eastAsia="仿宋_GB2312"/>
          <w:sz w:val="32"/>
          <w:szCs w:val="32"/>
          <w:lang w:val="en-US" w:eastAsia="zh-CN"/>
        </w:rPr>
        <w:t>2．</w:t>
      </w:r>
      <w:r>
        <w:rPr>
          <w:rFonts w:hint="eastAsia" w:ascii="仿宋_GB2312" w:hAnsi="仿宋" w:eastAsia="仿宋_GB2312"/>
          <w:sz w:val="32"/>
          <w:szCs w:val="32"/>
        </w:rPr>
        <w:t>机构情况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/>
          <w:sz w:val="32"/>
          <w:szCs w:val="32"/>
        </w:rPr>
        <w:t>内设机构包括：残疾人劳动就业服务中心。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eastAsia" w:eastAsia="仿宋_GB2312"/>
          <w:sz w:val="32"/>
          <w:szCs w:val="32"/>
          <w:lang w:val="en-US" w:eastAsia="zh-CN"/>
        </w:rPr>
        <w:t>人员情况：</w:t>
      </w:r>
      <w:r>
        <w:rPr>
          <w:rFonts w:eastAsia="仿宋_GB2312"/>
          <w:sz w:val="32"/>
          <w:szCs w:val="32"/>
        </w:rPr>
        <w:t>核定人员编制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名</w:t>
      </w:r>
      <w:r>
        <w:rPr>
          <w:rFonts w:hint="default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其中行政编制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名</w:t>
      </w:r>
      <w:r>
        <w:rPr>
          <w:rFonts w:hint="default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全额拨款事业编制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名</w:t>
      </w:r>
      <w:r>
        <w:rPr>
          <w:rFonts w:hint="default" w:eastAsia="仿宋_GB2312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目前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在编在岗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人员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（二）</w:t>
      </w:r>
      <w:r>
        <w:rPr>
          <w:rFonts w:hint="eastAsia" w:eastAsia="仿宋_GB2312"/>
          <w:sz w:val="32"/>
          <w:szCs w:val="32"/>
          <w:lang w:val="en-US" w:eastAsia="zh-CN"/>
        </w:rPr>
        <w:t>年度整体支出绩效目标。实施残疾人民生项目，开展残疾人困难救助、残疾人教育扶持，培训、残疾人保障等服务维护社会稳定，促进社会和谐全面发展。</w:t>
      </w:r>
    </w:p>
    <w:p>
      <w:pPr>
        <w:pStyle w:val="7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>
      <w:pPr>
        <w:pStyle w:val="7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>
      <w:pPr>
        <w:pStyle w:val="7"/>
        <w:widowControl/>
        <w:spacing w:line="52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2023年基本支出153.06万元，其中：工资福利支出130.17万元</w:t>
      </w:r>
      <w:r>
        <w:rPr>
          <w:rFonts w:hint="default" w:eastAsia="仿宋_GB2312"/>
          <w:sz w:val="32"/>
          <w:szCs w:val="32"/>
          <w:lang w:val="en-US" w:eastAsia="zh-CN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商品和服务支出22.87万元</w:t>
      </w:r>
      <w:r>
        <w:rPr>
          <w:rFonts w:hint="default" w:eastAsia="仿宋_GB2312"/>
          <w:sz w:val="32"/>
          <w:szCs w:val="32"/>
          <w:lang w:val="en-US" w:eastAsia="zh-CN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对个人和家庭补助支出0.016万元</w:t>
      </w:r>
      <w:r>
        <w:rPr>
          <w:rFonts w:hint="default" w:eastAsia="仿宋_GB2312"/>
          <w:sz w:val="32"/>
          <w:szCs w:val="32"/>
          <w:lang w:val="en-US" w:eastAsia="zh-CN"/>
        </w:rPr>
        <w:t>。</w:t>
      </w:r>
    </w:p>
    <w:p>
      <w:pPr>
        <w:pStyle w:val="7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本单位的项目支出为394.60万元，主要为纳入专户管理的非税收入</w:t>
      </w:r>
      <w:r>
        <w:rPr>
          <w:rFonts w:hint="eastAsia" w:ascii="楷体_GB2312" w:hAnsi="楷体_GB2312" w:eastAsia="楷体_GB2312" w:cs="楷体_GB2312"/>
          <w:sz w:val="32"/>
          <w:szCs w:val="32"/>
        </w:rPr>
        <w:t>（残疾人就业保障金）</w:t>
      </w:r>
      <w:r>
        <w:rPr>
          <w:rFonts w:hint="eastAsia" w:eastAsia="仿宋_GB2312"/>
          <w:sz w:val="32"/>
          <w:szCs w:val="32"/>
          <w:lang w:val="en-US" w:eastAsia="zh-CN"/>
        </w:rPr>
        <w:t>拨款223.68元，上级补助收入170.91，主要用于残疾儿童康复救助，辅助器具配送服务，残疾人状况调查，残疾人家庭无障碍改造，残疾人托养服务，残疾人阳光增收服务，残疾人创业扶持，残疾人培训服务，残疾学生及贫困残疾人家庭子女教育助学，精神病免费服药，春节慰问特困残疾人，代缴重度残疾人养老保险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为上级补助收入（2023年的公益彩票公益金支出）42.39万元和本级支出54.71万元，主要用于0-6岁残疾儿童康复训练费和生活补助、贫困智力、精神和重度残疾人残疾评定补贴、残疾人文化周活动、残疾人辅具配送等项目支出，共97.1万元。</w:t>
      </w:r>
    </w:p>
    <w:p>
      <w:pPr>
        <w:pStyle w:val="7"/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四、国有资本经营预算支出情况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eastAsia="仿宋_GB2312"/>
          <w:sz w:val="32"/>
          <w:szCs w:val="32"/>
          <w:lang w:val="en-US" w:eastAsia="zh-CN"/>
        </w:rPr>
        <w:t>是重点工作成效明显。经费保障方面，残疾人就业保障金做到应征尽征。创先争优方面，省、市重点民生实事项目，困难残疾人家庭无障碍改造和残疾儿童康复救助完成率分别达到130%、186.6%。在全市残疾人工作会议中，我县被评为2022年度残联系统就业服务工作先进单位，蔡敏获全市残联系统创先争优先进个人，王常文获残疾人教就业务工作先进个人，在2023年株洲市残疾人职业技能竞赛中，我县获优秀组织奖，残疾人选手李桃春获无人机组第一名。依托帮扶走访、下乡评残、技能培训等契机，切实解决残疾人急、难、愁、盼问题。开展“遇见”活动，号召广大残联干部与残疾人交朋友，拉家常，学他们的优点、解他们的难题。严格落实并完善各项内部管理制度，严格工作纪律落实，做到“服务受理零推诿、服务质量零差错、服务结果零投诉”。推进民生实事任务清单化管理，细化责任到人到点，推进落实对标对表。二是完善自身建设，残联干部队伍更加有为。抓好队伍建设，变“残疾人跑腿”为“残疾人工作者跑路”，完善县、乡残联、社区残协三级代办服务队伍。让残疾朋友办事“最多跑一次”甚至“不用跑”，切实提升我县残疾人群众的满意度和获得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cs="仿宋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二是民生保障扎实有力。协同民政部门年度发放“两项补贴”；重度残疾人城乡居民基本医疗保险、城乡居民养老保险代缴政策全面落实到位。投入20万以政府购买服务形式为我县100名就业年龄段的智力、精神和重度肢体残疾人提供基本生活照料和护理、生活自理能力训练、社会适应能力训练等专业化居家托养服务；为354名残疾人提供轮椅、助听器、拐杖、盲杖、助听器等基本辅助器具；投入33.32万元资金对25名残疾儿童进行康复救助；为19名残疾大学生或残疾子女大学生发放6.8万元的助学金；为47名高中阶段残疾学生和困难残疾人家庭子女发放6.38万元助学金；为542名义务教育阶段的残疾学生和残疾人子女学生发放助学金19.8万元；投入资金7.8万元对133户残疾人家庭开展春节慰问活动；投入资金34.8万元，对65户困难残疾人家庭进行了无障碍改造；投入29.69万元开展了残疾人职业技能和实用技术、农村残疾人阳光增收等各类培训共4期，培训120人次；对20名残疾人开展SYB创业扶持培训并发放扶持资金20万元；为134人残疾人专职委员发放补助8.1万元；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对残疾儿童、重度残疾人、一户多残等重点残疾人实现家庭医生签约服务全覆盖；开展精神病患者服药救助工作。为477名残疾人发放救助卡，救助对象可在县中医医院精神科免费领取精神病治疗药物；残疾人文体生活更丰富，在第24个“爱耳日”，联合湖南健耳听力助听器有限公司、莹火社会工作服务中心开展“科学爱耳护耳，实现主动健康”为主题的宣传教育活动；在第三十三次“全国助残日”与鱼片志愿者联合会、信和社会工作服务中心、新的社会阶层人士联合会开展了系列助残活动；联合株洲张爱武职业技术培训学校组织100名残疾人开展“五个一”文化助残活动。</w:t>
      </w:r>
    </w:p>
    <w:p>
      <w:pPr>
        <w:pStyle w:val="7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widowControl/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2023年本部门严格执行资金管理各项规定，经费支出重点保障部门正常运转，高标准完成预算绩效目标。但在执行过程中，还有两个方面需要提高。一是部门整体支出绩效评价指标，需要紧扣县委、政府重点为工作、重点项目任务，重点民生项目；二是项目绩效目标，自评工作有待加强提高。</w:t>
      </w:r>
    </w:p>
    <w:p>
      <w:pPr>
        <w:widowControl/>
        <w:numPr>
          <w:ilvl w:val="0"/>
          <w:numId w:val="3"/>
        </w:numPr>
        <w:spacing w:line="520" w:lineRule="exact"/>
        <w:ind w:firstLine="640" w:firstLineChars="200"/>
        <w:jc w:val="left"/>
      </w:pPr>
      <w:r>
        <w:rPr>
          <w:rFonts w:eastAsia="黑体"/>
          <w:sz w:val="32"/>
          <w:szCs w:val="32"/>
        </w:rPr>
        <w:t>下一步改进措施</w:t>
      </w:r>
    </w:p>
    <w:p>
      <w:pPr>
        <w:widowControl/>
        <w:spacing w:line="52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进一步加强学习，提高整体支出绩效评价指标设置的科学性、合理性、可操作性。</w:t>
      </w:r>
    </w:p>
    <w:p>
      <w:pPr>
        <w:widowControl/>
        <w:numPr>
          <w:ilvl w:val="0"/>
          <w:numId w:val="3"/>
        </w:numPr>
        <w:spacing w:line="520" w:lineRule="exact"/>
        <w:ind w:left="0" w:leftChars="0"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EDD979"/>
    <w:multiLevelType w:val="singleLevel"/>
    <w:tmpl w:val="99EDD97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268B3B9"/>
    <w:multiLevelType w:val="singleLevel"/>
    <w:tmpl w:val="6268B3B9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15BF56EC"/>
    <w:rsid w:val="1BE67536"/>
    <w:rsid w:val="1D3C218A"/>
    <w:rsid w:val="2BBE7BC7"/>
    <w:rsid w:val="35CB6416"/>
    <w:rsid w:val="4B4334AB"/>
    <w:rsid w:val="5403276E"/>
    <w:rsid w:val="54C5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0</Lines>
  <Paragraphs>0</Paragraphs>
  <TotalTime>3</TotalTime>
  <ScaleCrop>false</ScaleCrop>
  <LinksUpToDate>false</LinksUpToDate>
  <CharactersWithSpaces>458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hs</cp:lastModifiedBy>
  <dcterms:modified xsi:type="dcterms:W3CDTF">2024-09-02T07:45:27Z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DEC29D6FF1984251977FAFE43F2C91AB_12</vt:lpwstr>
  </property>
</Properties>
</file>