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E779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pacing w:val="14"/>
          <w:sz w:val="34"/>
          <w:szCs w:val="34"/>
        </w:rPr>
        <w:t>附件</w:t>
      </w:r>
      <w:r>
        <w:rPr>
          <w:rFonts w:hint="eastAsia" w:ascii="黑体" w:hAnsi="黑体" w:eastAsia="黑体" w:cs="黑体"/>
          <w:spacing w:val="14"/>
          <w:sz w:val="34"/>
          <w:szCs w:val="34"/>
          <w:lang w:val="en-US" w:eastAsia="zh-CN"/>
        </w:rPr>
        <w:t>3</w:t>
      </w:r>
    </w:p>
    <w:p w14:paraId="337389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097EF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4A74D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118FCE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2023年度炎陵县司法局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</w:t>
      </w:r>
    </w:p>
    <w:p w14:paraId="0DFB6BB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 w14:paraId="6365D549">
      <w:pPr>
        <w:spacing w:line="600" w:lineRule="exact"/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（参考</w:t>
      </w:r>
      <w:r>
        <w:rPr>
          <w:rFonts w:hint="eastAsia" w:eastAsia="楷体_GB2312"/>
          <w:sz w:val="32"/>
          <w:szCs w:val="32"/>
          <w:lang w:val="en-US" w:eastAsia="zh-CN"/>
        </w:rPr>
        <w:t>格式</w:t>
      </w:r>
      <w:r>
        <w:rPr>
          <w:rFonts w:eastAsia="楷体_GB2312"/>
          <w:sz w:val="32"/>
          <w:szCs w:val="32"/>
        </w:rPr>
        <w:t>）</w:t>
      </w:r>
    </w:p>
    <w:p w14:paraId="17F58897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315F857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029910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1C92C14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9017B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FA4C78A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6833FC49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82DCFC8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单位名称（盖章）：炎陵县司法局</w:t>
      </w:r>
    </w:p>
    <w:p w14:paraId="123D12D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082899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7DB65AB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010740C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084269F2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698BEB94"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（此页为封面）</w:t>
      </w:r>
    </w:p>
    <w:p w14:paraId="660F4AB2">
      <w:pPr>
        <w:rPr>
          <w:rFonts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171EF47A">
      <w:pPr>
        <w:pStyle w:val="8"/>
        <w:widowControl/>
        <w:numPr>
          <w:ilvl w:val="0"/>
          <w:numId w:val="1"/>
        </w:numPr>
        <w:spacing w:line="520" w:lineRule="exact"/>
        <w:ind w:firstLine="640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 w14:paraId="049DC1A2">
      <w:pPr>
        <w:pStyle w:val="8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</w:t>
      </w:r>
    </w:p>
    <w:p w14:paraId="68B00A30">
      <w:pPr>
        <w:snapToGrid w:val="0"/>
        <w:spacing w:line="520" w:lineRule="exact"/>
        <w:ind w:firstLine="960" w:firstLineChars="3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1．主要职能。</w:t>
      </w:r>
    </w:p>
    <w:p w14:paraId="2BEA5B0E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根据炎陵县三定方案文件规定，本部门的主要职能职责是：（1）承担全面依法治县重大问题的政策研究，负责有关重大决策部署督查工作，（2）负责全县规范性文件管理有关工作，（3）承担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县政府法律顾</w:t>
      </w:r>
      <w:r>
        <w:rPr>
          <w:rFonts w:hint="eastAsia" w:ascii="仿宋_GB2312" w:hAnsi="仿宋" w:eastAsia="仿宋_GB2312"/>
          <w:sz w:val="32"/>
          <w:szCs w:val="32"/>
        </w:rPr>
        <w:t>问工作，（4）负责政府合同的审查管理工作，（5）承担统筹推进法治政府建设的责任，（6）承担统筹规划全县法治社会建设的责任，（7）指导管理社区矫正工作，（8）负现拟订公共法律服务体系建设规划并指导实施，指导监督律师、法律援助、司法鉴定、仲裁和基层法律服务管理工作，（9）负责本系统队伍建设，（10）承办县委、政府和委员会交办的其他任务。</w:t>
      </w:r>
    </w:p>
    <w:p w14:paraId="0AB88606">
      <w:pPr>
        <w:numPr>
          <w:ilvl w:val="0"/>
          <w:numId w:val="0"/>
        </w:numPr>
        <w:snapToGrid w:val="0"/>
        <w:spacing w:line="520" w:lineRule="exact"/>
        <w:ind w:firstLine="960" w:firstLineChars="3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" w:eastAsia="仿宋_GB2312"/>
          <w:sz w:val="32"/>
          <w:szCs w:val="32"/>
        </w:rPr>
        <w:t>机构情况，包括当年变动情况及原因。</w:t>
      </w:r>
    </w:p>
    <w:p w14:paraId="02C420E5">
      <w:pPr>
        <w:numPr>
          <w:ilvl w:val="0"/>
          <w:numId w:val="0"/>
        </w:num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炎陵县三定方案文件规定，炎陵县司法局为一级预算单位，无二级预算单位。有内设科室、单位18个和2个事业单位（含0个副科级单位）。分别为：办公室、人民参与和促进法治股、普法和依法治理股、社区矫正管理股、公共法律服务管理股、规范性文件管理与法律事务股、行政执法协调监督股、行政复议与应诉股8个股室和10个基层司法所,2个事业单位（炎陵县法律援助中心、炎陵县公证处）。</w:t>
      </w:r>
    </w:p>
    <w:p w14:paraId="51073F76">
      <w:pPr>
        <w:numPr>
          <w:ilvl w:val="0"/>
          <w:numId w:val="0"/>
        </w:numPr>
        <w:snapToGrid w:val="0"/>
        <w:spacing w:line="520" w:lineRule="exact"/>
        <w:ind w:firstLine="960" w:firstLineChars="3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" w:eastAsia="仿宋_GB2312"/>
          <w:sz w:val="32"/>
          <w:szCs w:val="32"/>
        </w:rPr>
        <w:t>人员情况，包括当年变动情况及原因。</w:t>
      </w:r>
    </w:p>
    <w:p w14:paraId="5870A436">
      <w:pPr>
        <w:numPr>
          <w:ilvl w:val="0"/>
          <w:numId w:val="0"/>
        </w:num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现有编制54名，其中：行政编制42人，事业编制12人。实际在职人员4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人，退休人员1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人。</w:t>
      </w:r>
    </w:p>
    <w:p w14:paraId="6ACDEACC">
      <w:pPr>
        <w:pStyle w:val="8"/>
        <w:widowControl/>
        <w:numPr>
          <w:numId w:val="0"/>
        </w:numPr>
        <w:spacing w:line="520" w:lineRule="exact"/>
        <w:ind w:left="630" w:left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5556C9CE">
      <w:pPr>
        <w:pStyle w:val="8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年度整体支出绩效目标，专项资金绩效目标、其他项目支出（除专项资金以外）绩效目标</w:t>
      </w:r>
    </w:p>
    <w:p w14:paraId="28429287">
      <w:pPr>
        <w:snapToGrid w:val="0"/>
        <w:spacing w:line="520" w:lineRule="exact"/>
        <w:ind w:firstLine="640" w:firstLineChars="20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完成行政复议与应诉、依法治县、规范性文件备案审查、合同审查、人民调解、法律援助、社区矫正、普法宣传、行政执法监督等工作</w:t>
      </w:r>
    </w:p>
    <w:p w14:paraId="7587B28A">
      <w:pPr>
        <w:pStyle w:val="8"/>
        <w:widowControl/>
        <w:spacing w:line="52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 w14:paraId="55115D6B">
      <w:pPr>
        <w:pStyle w:val="8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p w14:paraId="6FDC098F">
      <w:pPr>
        <w:snapToGrid w:val="0"/>
        <w:spacing w:line="52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当年总支出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8519087.43</w:t>
      </w:r>
      <w:r>
        <w:rPr>
          <w:rFonts w:hint="eastAsia" w:ascii="仿宋_GB2312" w:hAnsi="仿宋" w:eastAsia="仿宋_GB2312"/>
          <w:sz w:val="32"/>
          <w:szCs w:val="32"/>
        </w:rPr>
        <w:t>元：1、一般公共服务支出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22800</w:t>
      </w:r>
      <w:r>
        <w:rPr>
          <w:rFonts w:hint="eastAsia" w:ascii="仿宋_GB2312" w:hAnsi="仿宋" w:eastAsia="仿宋_GB2312"/>
          <w:sz w:val="32"/>
          <w:szCs w:val="32"/>
        </w:rPr>
        <w:t>元，占总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0.27</w:t>
      </w:r>
      <w:r>
        <w:rPr>
          <w:rFonts w:hint="eastAsia" w:ascii="仿宋_GB2312" w:hAnsi="仿宋" w:eastAsia="仿宋_GB2312"/>
          <w:sz w:val="32"/>
          <w:szCs w:val="32"/>
        </w:rPr>
        <w:t>%。2、公共安全支出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6556665.87</w:t>
      </w:r>
      <w:r>
        <w:rPr>
          <w:rFonts w:hint="eastAsia" w:ascii="仿宋_GB2312" w:hAnsi="仿宋" w:eastAsia="仿宋_GB2312"/>
          <w:sz w:val="32"/>
          <w:szCs w:val="32"/>
        </w:rPr>
        <w:t>元，占总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76.96</w:t>
      </w:r>
      <w:r>
        <w:rPr>
          <w:rFonts w:hint="eastAsia" w:ascii="仿宋_GB2312" w:hAnsi="仿宋" w:eastAsia="仿宋_GB2312"/>
          <w:sz w:val="32"/>
          <w:szCs w:val="32"/>
        </w:rPr>
        <w:t>%。3、社会保障和就业支出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582470.81</w:t>
      </w:r>
      <w:r>
        <w:rPr>
          <w:rFonts w:hint="eastAsia" w:ascii="仿宋_GB2312" w:hAnsi="仿宋" w:eastAsia="仿宋_GB2312"/>
          <w:sz w:val="32"/>
          <w:szCs w:val="32"/>
        </w:rPr>
        <w:t>元，占总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6.84</w:t>
      </w:r>
      <w:r>
        <w:rPr>
          <w:rFonts w:hint="eastAsia" w:ascii="仿宋_GB2312" w:hAnsi="仿宋" w:eastAsia="仿宋_GB2312"/>
          <w:sz w:val="32"/>
          <w:szCs w:val="32"/>
        </w:rPr>
        <w:t>%。4、卫生健康支出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245580.75</w:t>
      </w:r>
      <w:r>
        <w:rPr>
          <w:rFonts w:hint="eastAsia" w:ascii="仿宋_GB2312" w:hAnsi="仿宋" w:eastAsia="仿宋_GB2312"/>
          <w:sz w:val="32"/>
          <w:szCs w:val="32"/>
        </w:rPr>
        <w:t>元，占总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2.88</w:t>
      </w:r>
      <w:r>
        <w:rPr>
          <w:rFonts w:hint="eastAsia" w:ascii="仿宋_GB2312" w:hAnsi="仿宋" w:eastAsia="仿宋_GB2312"/>
          <w:sz w:val="32"/>
          <w:szCs w:val="32"/>
        </w:rPr>
        <w:t>%。5、住房保障支出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486494</w:t>
      </w:r>
      <w:r>
        <w:rPr>
          <w:rFonts w:hint="eastAsia" w:ascii="仿宋_GB2312" w:hAnsi="仿宋" w:eastAsia="仿宋_GB2312"/>
          <w:sz w:val="32"/>
          <w:szCs w:val="32"/>
        </w:rPr>
        <w:t>元，占总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5.72</w:t>
      </w:r>
      <w:r>
        <w:rPr>
          <w:rFonts w:hint="eastAsia" w:ascii="仿宋_GB2312" w:hAnsi="仿宋" w:eastAsia="仿宋_GB2312"/>
          <w:sz w:val="32"/>
          <w:szCs w:val="32"/>
        </w:rPr>
        <w:t>%。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6、其他支出625076元，占总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7.33%。</w:t>
      </w:r>
    </w:p>
    <w:p w14:paraId="7C11EFB6">
      <w:pPr>
        <w:pStyle w:val="8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（二）项目支出情况</w:t>
      </w:r>
    </w:p>
    <w:p w14:paraId="172C8CFB">
      <w:pPr>
        <w:snapToGrid w:val="0"/>
        <w:spacing w:line="52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本单位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2023年度“智慧矫正”项目共计支出845076元，合同约定经省司法厅验收后，支付合同金额的95%，剩余5%作为质量保证金一年后无息付清，2023年12月已支付合同金额的95%，共计802822.2元。</w:t>
      </w:r>
    </w:p>
    <w:p w14:paraId="67EC6D06">
      <w:pPr>
        <w:pStyle w:val="8"/>
        <w:widowControl/>
        <w:numPr>
          <w:ilvl w:val="0"/>
          <w:numId w:val="1"/>
        </w:numPr>
        <w:spacing w:line="520" w:lineRule="exact"/>
        <w:ind w:left="0" w:leftChars="0" w:firstLine="640" w:firstLineChars="20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69B87EC7">
      <w:pPr>
        <w:pStyle w:val="8"/>
        <w:widowControl/>
        <w:numPr>
          <w:numId w:val="0"/>
        </w:numPr>
        <w:spacing w:line="520" w:lineRule="exact"/>
        <w:ind w:left="0" w:leftChars="0" w:firstLine="640" w:firstLineChars="200"/>
        <w:rPr>
          <w:rFonts w:hint="default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政府性基金预算支出625076元：1、办公费支出150000元，占总支出23.99%。2、被装购置费348393元，占总支出55.74%。3、其他商品和服务126683元，占总支出20.27%</w:t>
      </w:r>
    </w:p>
    <w:p w14:paraId="216101D4">
      <w:pPr>
        <w:pStyle w:val="8"/>
        <w:widowControl/>
        <w:numPr>
          <w:ilvl w:val="0"/>
          <w:numId w:val="1"/>
        </w:numPr>
        <w:spacing w:line="520" w:lineRule="exact"/>
        <w:ind w:left="0" w:leftChars="0" w:firstLine="640" w:firstLineChars="20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国有资本经营预算支出情况</w:t>
      </w:r>
    </w:p>
    <w:p w14:paraId="0CFEA011">
      <w:pPr>
        <w:pStyle w:val="8"/>
        <w:widowControl/>
        <w:spacing w:line="520" w:lineRule="exact"/>
        <w:ind w:left="640"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无</w:t>
      </w:r>
    </w:p>
    <w:p w14:paraId="690EE68D">
      <w:pPr>
        <w:pStyle w:val="8"/>
        <w:widowControl/>
        <w:numPr>
          <w:ilvl w:val="0"/>
          <w:numId w:val="1"/>
        </w:numPr>
        <w:spacing w:line="520" w:lineRule="exact"/>
        <w:ind w:left="0" w:leftChars="0"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7CAABA2E">
      <w:pPr>
        <w:pStyle w:val="8"/>
        <w:widowControl/>
        <w:spacing w:line="520" w:lineRule="exact"/>
        <w:ind w:left="640"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无</w:t>
      </w:r>
    </w:p>
    <w:p w14:paraId="7074D3E2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六</w:t>
      </w:r>
      <w:r>
        <w:rPr>
          <w:rFonts w:eastAsia="黑体"/>
          <w:sz w:val="32"/>
          <w:szCs w:val="32"/>
        </w:rPr>
        <w:t>、部门整体支出绩效情况</w:t>
      </w:r>
    </w:p>
    <w:p w14:paraId="3AA49AA3">
      <w:pPr>
        <w:widowControl/>
        <w:spacing w:line="520" w:lineRule="exact"/>
        <w:ind w:firstLine="645"/>
        <w:jc w:val="left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根据整体支出绩效目标管理的要求，本单位年初部门预算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6942354</w:t>
      </w:r>
      <w:r>
        <w:rPr>
          <w:rFonts w:hint="eastAsia" w:ascii="仿宋_GB2312" w:hAnsi="仿宋" w:eastAsia="仿宋_GB2312"/>
          <w:sz w:val="32"/>
          <w:szCs w:val="32"/>
        </w:rPr>
        <w:t>元申报部门整体支出绩效目标管理，其中：基本支出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6942354</w:t>
      </w:r>
      <w:r>
        <w:rPr>
          <w:rFonts w:hint="eastAsia" w:ascii="仿宋_GB2312" w:hAnsi="仿宋" w:eastAsia="仿宋_GB2312"/>
          <w:sz w:val="32"/>
          <w:szCs w:val="32"/>
        </w:rPr>
        <w:t>元，项目支出0元。决算支出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8519087.43</w:t>
      </w:r>
      <w:r>
        <w:rPr>
          <w:rFonts w:hint="eastAsia" w:ascii="仿宋_GB2312" w:hAnsi="仿宋" w:eastAsia="仿宋_GB2312"/>
          <w:sz w:val="32"/>
          <w:szCs w:val="32"/>
        </w:rPr>
        <w:t>元纳入部门整体支出绩效评价，其中：基本支出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7716265.23</w:t>
      </w:r>
      <w:r>
        <w:rPr>
          <w:rFonts w:hint="eastAsia" w:ascii="仿宋_GB2312" w:hAnsi="仿宋" w:eastAsia="仿宋_GB2312"/>
          <w:sz w:val="32"/>
          <w:szCs w:val="32"/>
        </w:rPr>
        <w:t>元，项目支出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802822.2</w:t>
      </w:r>
      <w:r>
        <w:rPr>
          <w:rFonts w:hint="eastAsia" w:ascii="仿宋_GB2312" w:hAnsi="仿宋" w:eastAsia="仿宋_GB2312"/>
          <w:sz w:val="32"/>
          <w:szCs w:val="32"/>
        </w:rPr>
        <w:t>元。本单位积极开展目标绩效管理，加强内控制度建设，规范资金使用审批程序，加强项目的招投标和政府采购管理等，基本达到了年初确定的部门整体支出绩效目标、产出指标和效益目标。从评价情况来看，单位基本支出和项目支出程序规范，预算执行及时、有效，绩效管理水平不断提高。</w:t>
      </w:r>
      <w:bookmarkStart w:id="0" w:name="_GoBack"/>
      <w:bookmarkEnd w:id="0"/>
      <w:r>
        <w:rPr>
          <w:rFonts w:eastAsia="仿宋_GB2312"/>
          <w:color w:val="000000"/>
          <w:sz w:val="32"/>
          <w:szCs w:val="32"/>
        </w:rPr>
        <w:t>。</w:t>
      </w:r>
    </w:p>
    <w:p w14:paraId="40A07C61">
      <w:pPr>
        <w:pStyle w:val="8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668CA0C6">
      <w:pPr>
        <w:pStyle w:val="8"/>
        <w:widowControl/>
        <w:spacing w:line="520" w:lineRule="exact"/>
        <w:ind w:left="640"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无</w:t>
      </w:r>
    </w:p>
    <w:p w14:paraId="455796B8">
      <w:pPr>
        <w:widowControl/>
        <w:numPr>
          <w:ilvl w:val="0"/>
          <w:numId w:val="3"/>
        </w:numPr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 w14:paraId="1315C65F">
      <w:pPr>
        <w:pStyle w:val="8"/>
        <w:widowControl/>
        <w:spacing w:line="520" w:lineRule="exact"/>
        <w:ind w:left="640"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无</w:t>
      </w:r>
    </w:p>
    <w:p w14:paraId="47BCC704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九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 w14:paraId="3E3A052F">
      <w:pPr>
        <w:pStyle w:val="8"/>
        <w:widowControl/>
        <w:spacing w:line="520" w:lineRule="exact"/>
        <w:ind w:left="640"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无</w:t>
      </w:r>
    </w:p>
    <w:p w14:paraId="0C3E84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eastAsia="宋体"/>
          <w:lang w:val="en-US" w:eastAsia="zh-CN"/>
        </w:rPr>
      </w:pPr>
    </w:p>
    <w:p w14:paraId="4D3CAB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p w14:paraId="4EF92F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AB514"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8E7EC"/>
    <w:multiLevelType w:val="singleLevel"/>
    <w:tmpl w:val="A418E7EC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60F3E5A"/>
    <w:multiLevelType w:val="singleLevel"/>
    <w:tmpl w:val="760F3E5A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NmQxYjg2YzJjNGFhMjUwMTg2Y2E5Y2ViMTUzMzAifQ=="/>
  </w:docVars>
  <w:rsids>
    <w:rsidRoot w:val="00000000"/>
    <w:rsid w:val="14681A9C"/>
    <w:rsid w:val="15BF56EC"/>
    <w:rsid w:val="1DA273E4"/>
    <w:rsid w:val="35CB6416"/>
    <w:rsid w:val="4A8051AC"/>
    <w:rsid w:val="4B4334AB"/>
    <w:rsid w:val="5403276E"/>
    <w:rsid w:val="54C57A37"/>
    <w:rsid w:val="58951D01"/>
    <w:rsid w:val="625C563D"/>
    <w:rsid w:val="74A1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99"/>
    <w:pPr>
      <w:ind w:left="800" w:leftChars="800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453</Words>
  <Characters>458</Characters>
  <Lines>0</Lines>
  <Paragraphs>0</Paragraphs>
  <TotalTime>3</TotalTime>
  <ScaleCrop>false</ScaleCrop>
  <LinksUpToDate>false</LinksUpToDate>
  <CharactersWithSpaces>458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2024-08-12T02:40:00Z</dcterms:created>
  <dc:creator>mini4use</dc:creator>
  <cp:lastModifiedBy>WPS_1629428843</cp:lastModifiedBy>
  <cp:lastPrinted>2024-09-09T07:35:05Z</cp:lastPrinted>
  <dcterms:modified xsi:type="dcterms:W3CDTF">2024-09-09T08:25:31Z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DEC29D6FF1984251977FAFE43F2C91AB_12</vt:lpwstr>
  </property>
</Properties>
</file>