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highlight w:val="none"/>
          <w:lang w:eastAsia="zh-CN"/>
        </w:rPr>
      </w:pPr>
      <w:r>
        <w:rPr>
          <w:rFonts w:hint="eastAsia" w:ascii="黑体" w:hAnsi="黑体" w:eastAsia="黑体" w:cs="黑体"/>
          <w:spacing w:val="14"/>
          <w:sz w:val="34"/>
          <w:szCs w:val="34"/>
          <w:highlight w:val="none"/>
        </w:rPr>
        <w:t>附件</w:t>
      </w:r>
      <w:r>
        <w:rPr>
          <w:rFonts w:hint="eastAsia" w:ascii="黑体" w:hAnsi="黑体" w:eastAsia="黑体" w:cs="黑体"/>
          <w:spacing w:val="14"/>
          <w:sz w:val="34"/>
          <w:szCs w:val="34"/>
          <w:highlight w:val="none"/>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highlight w:val="none"/>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highlight w:val="none"/>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highlight w:val="none"/>
        </w:rPr>
      </w:pPr>
    </w:p>
    <w:p w14:paraId="0DFB6BB4">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2023年度炎陵县霞阳镇人民政府</w:t>
      </w:r>
      <w:r>
        <w:rPr>
          <w:rFonts w:hint="eastAsia" w:ascii="方正小标宋简体" w:hAnsi="方正小标宋简体" w:eastAsia="方正小标宋简体" w:cs="方正小标宋简体"/>
          <w:sz w:val="44"/>
          <w:szCs w:val="44"/>
          <w:highlight w:val="none"/>
        </w:rPr>
        <w:t>整体支出绩效</w:t>
      </w:r>
      <w:r>
        <w:rPr>
          <w:rFonts w:hint="eastAsia" w:ascii="方正小标宋简体" w:hAnsi="方正小标宋简体" w:eastAsia="方正小标宋简体" w:cs="方正小标宋简体"/>
          <w:sz w:val="44"/>
          <w:szCs w:val="44"/>
          <w:highlight w:val="none"/>
          <w:lang w:val="en-US" w:eastAsia="zh-CN"/>
        </w:rPr>
        <w:t>自评</w:t>
      </w:r>
      <w:r>
        <w:rPr>
          <w:rFonts w:hint="eastAsia" w:ascii="方正小标宋简体" w:hAnsi="方正小标宋简体" w:eastAsia="方正小标宋简体" w:cs="方正小标宋简体"/>
          <w:sz w:val="44"/>
          <w:szCs w:val="44"/>
          <w:highlight w:val="none"/>
        </w:rPr>
        <w:t>报告</w:t>
      </w:r>
    </w:p>
    <w:p w14:paraId="17F58897">
      <w:pPr>
        <w:spacing w:line="600" w:lineRule="exact"/>
        <w:jc w:val="center"/>
        <w:rPr>
          <w:rFonts w:eastAsia="楷体_GB2312"/>
          <w:sz w:val="32"/>
          <w:szCs w:val="32"/>
          <w:highlight w:val="none"/>
        </w:rPr>
      </w:pPr>
    </w:p>
    <w:p w14:paraId="315F8578">
      <w:pPr>
        <w:spacing w:line="600" w:lineRule="exact"/>
        <w:jc w:val="center"/>
        <w:rPr>
          <w:rFonts w:eastAsia="楷体_GB2312"/>
          <w:sz w:val="32"/>
          <w:szCs w:val="32"/>
          <w:highlight w:val="none"/>
        </w:rPr>
      </w:pPr>
    </w:p>
    <w:p w14:paraId="2E029910">
      <w:pPr>
        <w:spacing w:line="600" w:lineRule="exact"/>
        <w:jc w:val="center"/>
        <w:rPr>
          <w:rFonts w:eastAsia="楷体_GB2312"/>
          <w:sz w:val="32"/>
          <w:szCs w:val="32"/>
          <w:highlight w:val="none"/>
        </w:rPr>
      </w:pPr>
    </w:p>
    <w:p w14:paraId="1C92C148">
      <w:pPr>
        <w:spacing w:line="600" w:lineRule="exact"/>
        <w:jc w:val="center"/>
        <w:rPr>
          <w:rFonts w:eastAsia="楷体_GB2312"/>
          <w:sz w:val="32"/>
          <w:szCs w:val="32"/>
          <w:highlight w:val="none"/>
        </w:rPr>
      </w:pPr>
    </w:p>
    <w:p w14:paraId="2E9017B2">
      <w:pPr>
        <w:spacing w:line="600" w:lineRule="exact"/>
        <w:jc w:val="center"/>
        <w:rPr>
          <w:rFonts w:eastAsia="楷体_GB2312"/>
          <w:sz w:val="32"/>
          <w:szCs w:val="32"/>
          <w:highlight w:val="none"/>
        </w:rPr>
      </w:pPr>
    </w:p>
    <w:p w14:paraId="0FA4C78A">
      <w:pPr>
        <w:spacing w:line="600" w:lineRule="exact"/>
        <w:jc w:val="center"/>
        <w:rPr>
          <w:rFonts w:eastAsia="楷体_GB2312"/>
          <w:sz w:val="32"/>
          <w:szCs w:val="32"/>
          <w:highlight w:val="none"/>
        </w:rPr>
      </w:pPr>
    </w:p>
    <w:p w14:paraId="6833FC49">
      <w:pPr>
        <w:spacing w:line="600" w:lineRule="exact"/>
        <w:jc w:val="center"/>
        <w:rPr>
          <w:rFonts w:eastAsia="楷体_GB2312"/>
          <w:sz w:val="32"/>
          <w:szCs w:val="32"/>
          <w:highlight w:val="none"/>
        </w:rPr>
      </w:pPr>
    </w:p>
    <w:p w14:paraId="082DCFC8">
      <w:pPr>
        <w:spacing w:line="600" w:lineRule="exact"/>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单位名称（盖章）：炎陵县霞阳镇人民政府</w:t>
      </w:r>
    </w:p>
    <w:p w14:paraId="123D12D1">
      <w:pPr>
        <w:spacing w:line="600" w:lineRule="exact"/>
        <w:jc w:val="center"/>
        <w:rPr>
          <w:rFonts w:hint="eastAsia" w:ascii="黑体" w:hAnsi="黑体" w:eastAsia="黑体" w:cs="黑体"/>
          <w:sz w:val="36"/>
          <w:szCs w:val="36"/>
          <w:highlight w:val="none"/>
          <w:lang w:val="en-US" w:eastAsia="zh-CN"/>
        </w:rPr>
      </w:pPr>
    </w:p>
    <w:p w14:paraId="70828991">
      <w:pPr>
        <w:spacing w:line="600" w:lineRule="exact"/>
        <w:jc w:val="center"/>
        <w:rPr>
          <w:rFonts w:hint="eastAsia" w:ascii="黑体" w:hAnsi="黑体" w:eastAsia="黑体" w:cs="黑体"/>
          <w:sz w:val="36"/>
          <w:szCs w:val="36"/>
          <w:highlight w:val="none"/>
          <w:lang w:val="en-US" w:eastAsia="zh-CN"/>
        </w:rPr>
      </w:pPr>
    </w:p>
    <w:p w14:paraId="17DB65AB">
      <w:pPr>
        <w:spacing w:line="600" w:lineRule="exact"/>
        <w:jc w:val="center"/>
        <w:rPr>
          <w:rFonts w:hint="eastAsia" w:ascii="黑体" w:hAnsi="黑体" w:eastAsia="黑体" w:cs="黑体"/>
          <w:sz w:val="36"/>
          <w:szCs w:val="36"/>
          <w:highlight w:val="none"/>
          <w:lang w:val="en-US" w:eastAsia="zh-CN"/>
        </w:rPr>
      </w:pPr>
    </w:p>
    <w:p w14:paraId="2010740C">
      <w:pPr>
        <w:spacing w:line="600" w:lineRule="exact"/>
        <w:jc w:val="center"/>
        <w:rPr>
          <w:rFonts w:hint="eastAsia" w:ascii="黑体" w:hAnsi="黑体" w:eastAsia="黑体" w:cs="黑体"/>
          <w:sz w:val="36"/>
          <w:szCs w:val="36"/>
          <w:highlight w:val="none"/>
          <w:lang w:val="en-US" w:eastAsia="zh-CN"/>
        </w:rPr>
      </w:pPr>
    </w:p>
    <w:p w14:paraId="084269F2">
      <w:pPr>
        <w:spacing w:line="600" w:lineRule="exact"/>
        <w:jc w:val="center"/>
        <w:rPr>
          <w:rFonts w:hint="eastAsia" w:ascii="黑体" w:hAnsi="黑体" w:eastAsia="黑体" w:cs="黑体"/>
          <w:sz w:val="36"/>
          <w:szCs w:val="36"/>
          <w:highlight w:val="none"/>
          <w:lang w:val="en-US" w:eastAsia="zh-CN"/>
        </w:rPr>
      </w:pPr>
    </w:p>
    <w:p w14:paraId="698BEB94">
      <w:pPr>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（此页为封面）</w:t>
      </w:r>
    </w:p>
    <w:p w14:paraId="660F4AB2">
      <w:pPr>
        <w:rPr>
          <w:rFonts w:eastAsia="楷体_GB2312"/>
          <w:sz w:val="32"/>
          <w:szCs w:val="32"/>
          <w:highlight w:val="none"/>
        </w:rPr>
      </w:pPr>
      <w:r>
        <w:rPr>
          <w:rFonts w:hint="eastAsia" w:ascii="仿宋_GB2312" w:hAnsi="仿宋_GB2312" w:eastAsia="仿宋_GB2312" w:cs="仿宋_GB2312"/>
          <w:sz w:val="32"/>
          <w:szCs w:val="32"/>
          <w:highlight w:val="none"/>
          <w:lang w:val="en-US" w:eastAsia="zh-CN"/>
        </w:rPr>
        <w:br w:type="page"/>
      </w:r>
    </w:p>
    <w:p w14:paraId="69FD9C40">
      <w:pPr>
        <w:pStyle w:val="8"/>
        <w:widowControl/>
        <w:numPr>
          <w:ilvl w:val="0"/>
          <w:numId w:val="1"/>
        </w:numPr>
        <w:spacing w:line="52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基本情况</w:t>
      </w:r>
    </w:p>
    <w:p w14:paraId="049DC1A2">
      <w:pPr>
        <w:pStyle w:val="8"/>
        <w:widowControl/>
        <w:numPr>
          <w:ilvl w:val="0"/>
          <w:numId w:val="2"/>
        </w:numPr>
        <w:spacing w:line="520" w:lineRule="exact"/>
        <w:ind w:left="-10" w:leftChars="0" w:firstLine="640" w:firstLineChars="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部门</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基本情况</w:t>
      </w:r>
    </w:p>
    <w:p w14:paraId="5CB8B1FB">
      <w:pPr>
        <w:keepNext w:val="0"/>
        <w:keepLines w:val="0"/>
        <w:pageBreakBefore w:val="0"/>
        <w:widowControl/>
        <w:kinsoku/>
        <w:wordWrap/>
        <w:overflowPunct/>
        <w:topLinePunct w:val="0"/>
        <w:autoSpaceDE/>
        <w:autoSpaceDN/>
        <w:bidi w:val="0"/>
        <w:adjustRightInd/>
        <w:snapToGrid w:val="0"/>
        <w:spacing w:beforeLines="0" w:afterLines="0" w:line="480" w:lineRule="exact"/>
        <w:ind w:firstLine="620" w:firstLineChars="200"/>
        <w:textAlignment w:val="auto"/>
        <w:rPr>
          <w:rFonts w:hint="eastAsia" w:ascii="楷体_GB2312" w:hAnsi="楷体_GB2312" w:eastAsia="楷体_GB2312" w:cs="楷体_GB2312"/>
          <w:sz w:val="32"/>
          <w:szCs w:val="32"/>
          <w:highlight w:val="none"/>
          <w:lang w:val="en-US" w:eastAsia="zh-CN"/>
        </w:rPr>
      </w:pPr>
      <w:r>
        <w:rPr>
          <w:rFonts w:hint="eastAsia" w:ascii="仿宋_GB2312" w:hAnsi="微软雅黑" w:eastAsia="仿宋_GB2312" w:cs="仿宋_GB2312"/>
          <w:color w:val="333333"/>
          <w:sz w:val="31"/>
          <w:szCs w:val="31"/>
          <w:highlight w:val="none"/>
          <w:shd w:val="clear" w:color="auto" w:fill="FFFFFF"/>
          <w:lang w:val="en-US" w:eastAsia="zh-CN" w:bidi="ar-SA"/>
        </w:rPr>
        <w:t xml:space="preserve"> 1．主要职能。</w:t>
      </w:r>
    </w:p>
    <w:p w14:paraId="56F8149B">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霞阳镇机关承担的主要职责如下：</w:t>
      </w:r>
    </w:p>
    <w:p w14:paraId="4D892A1D">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1）加强党的建设。落实基层党建工作责任制,严格抓好基层党组织建设各项制度,统筹抓好基层党建、意识形态和统一战线工作;推进全面从严治党,增强“四个意识”、坚定“四个自信”、做到“两个维护”,全面加强农村基层宣传思想文化工作,健全党建引领基层体系,进一步增强党在农村的政治领导力、思想引领力、群众组织力、社会号召力;贯彻落实党和国家在农村的各项方针政策和法律法规,对村民进行思想政治教育和社会主义法制教育,依法保障村民合法权益。</w:t>
      </w:r>
    </w:p>
    <w:p w14:paraId="6D025F73">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2）促进经济发展。推进区域发展,全面实施乡村振兴战略等工作统筹落实辖区发展的重大决策和建设规划;组织制定乡村经济发农民权展规划并组织实施;负责推动产业结构调整,指导、管理第级财务三产业的发展;负责产业发展、民营经济、招商引资和推进科技普作;及工作;负责农村经济管理、指导村级财务管理、农村土地承包和农民权益维护工作;负责社会经济调查统计工作;负责农业经营主会保体和适度规模经营的指导和管理,示范引导农村合作经济组织,形成地域产业特色。</w:t>
      </w:r>
    </w:p>
    <w:p w14:paraId="4F8A0EE7">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3）加强公共管理。负责落实辖区内集镇管理、人口管理、社会管理、综合执法、市场监管、农业农机畜牧管理、林业管理、水利管理等工作;负责生态环境保护、农村人居环境整治等工作;负责城镇规划发展、道路交通建设管理相关工作;负责移民开发和精准扶贫的相关工作;负责领导基层自治工作,指导村(居)务公开、村(居)民议事委员会和“一约四会”建设。</w:t>
      </w:r>
    </w:p>
    <w:p w14:paraId="0150B9CE">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4）加强公共安全。负责辖区公共安全及安全生产监管,构建公共安全防控体系,建立应对突发公共事件的处理预案,做好安全生产、防汛抗旱、防火、防疫、气象灾害防御、抗震、地质灾害、食品药品安全等应急管理工作;负责辖区内社会治安、信访维稳等工作;协调平安创建和政法综治、群防群治等工作,负贵辖区网格化建设和管理工作,落实社会矛盾纠纷排查调处机制,综合发挥人民调解、行政调解和司法调解的作用,及时化解辖区社会矛盾,维护安全稳定。</w:t>
      </w:r>
    </w:p>
    <w:p w14:paraId="66212216">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5）加强公共服务。组织实施与群众生活密切相关的各项公共服务,负贵辖区内就业、社会保障、民政优抚、医疗保障、儿童福利、科技教育、社会救助、文化体育旅游、卫生健康、退役军人事务等方面相关工作;推进审批服务便民化改革,落实基层“最多跑次”改革工作,拓宽服务渠道,改进服务方式,建立健全群众办事次办结机制,推进镇便民服务平台标准化建设,提升群众获得感和幸福感。</w:t>
      </w:r>
    </w:p>
    <w:p w14:paraId="7C8FD54F">
      <w:pPr>
        <w:widowControl w:val="0"/>
        <w:snapToGrid w:val="0"/>
        <w:spacing w:beforeLines="0" w:afterLines="0" w:line="520" w:lineRule="exact"/>
        <w:ind w:firstLine="620" w:firstLineChars="200"/>
        <w:rPr>
          <w:rFonts w:hint="default"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（6）法律、法规规章的规定和县委、县政府交办的其他事项。</w:t>
      </w:r>
    </w:p>
    <w:p w14:paraId="2A1269BE">
      <w:pPr>
        <w:keepNext w:val="0"/>
        <w:keepLines w:val="0"/>
        <w:pageBreakBefore w:val="0"/>
        <w:widowControl/>
        <w:kinsoku/>
        <w:wordWrap/>
        <w:overflowPunct/>
        <w:topLinePunct w:val="0"/>
        <w:autoSpaceDE/>
        <w:autoSpaceDN/>
        <w:bidi w:val="0"/>
        <w:adjustRightInd/>
        <w:snapToGrid w:val="0"/>
        <w:spacing w:beforeLines="0" w:afterLines="0" w:line="480" w:lineRule="exact"/>
        <w:ind w:firstLine="620" w:firstLineChars="200"/>
        <w:textAlignment w:val="auto"/>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2．内设机构设置。</w:t>
      </w:r>
    </w:p>
    <w:p w14:paraId="08EB4D9D">
      <w:pPr>
        <w:tabs>
          <w:tab w:val="left" w:pos="7560"/>
        </w:tabs>
        <w:adjustRightInd w:val="0"/>
        <w:snapToGrid w:val="0"/>
        <w:spacing w:line="56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仿宋_GB2312" w:eastAsia="仿宋_GB2312"/>
          <w:bCs/>
          <w:color w:val="000000"/>
          <w:sz w:val="32"/>
          <w:szCs w:val="32"/>
          <w:highlight w:val="none"/>
        </w:rPr>
        <w:t>根据编办核定，我单位行政</w:t>
      </w:r>
      <w:r>
        <w:rPr>
          <w:rFonts w:hint="eastAsia" w:ascii="仿宋_GB2312" w:eastAsia="仿宋_GB2312"/>
          <w:bCs/>
          <w:color w:val="000000"/>
          <w:sz w:val="32"/>
          <w:szCs w:val="32"/>
          <w:highlight w:val="none"/>
          <w:lang w:eastAsia="zh-CN"/>
        </w:rPr>
        <w:t>机构有</w:t>
      </w:r>
      <w:r>
        <w:rPr>
          <w:rFonts w:hint="eastAsia" w:ascii="仿宋_GB2312" w:eastAsia="仿宋_GB2312"/>
          <w:bCs/>
          <w:color w:val="000000"/>
          <w:sz w:val="32"/>
          <w:szCs w:val="32"/>
          <w:highlight w:val="none"/>
        </w:rPr>
        <w:t>两个：镇机关和财政所</w:t>
      </w:r>
      <w:r>
        <w:rPr>
          <w:rFonts w:hint="eastAsia" w:ascii="仿宋_GB2312" w:eastAsia="仿宋_GB2312"/>
          <w:bCs/>
          <w:color w:val="000000"/>
          <w:sz w:val="32"/>
          <w:szCs w:val="32"/>
          <w:highlight w:val="none"/>
          <w:lang w:val="en-US" w:eastAsia="zh-CN"/>
        </w:rPr>
        <w:t>,</w:t>
      </w:r>
      <w:r>
        <w:rPr>
          <w:rFonts w:hint="eastAsia" w:ascii="仿宋_GB2312" w:eastAsia="仿宋_GB2312"/>
          <w:bCs/>
          <w:color w:val="000000"/>
          <w:sz w:val="32"/>
          <w:szCs w:val="32"/>
          <w:highlight w:val="none"/>
        </w:rPr>
        <w:t>镇机关内设科室6个，分别是：党政办公室、党建办公室、经济发展办公室（农业农村工作办公室）、民政办公室（卫生健康办公室）、生态环境办公室、社会治安和应急管理办公室。所属事业单位5个，分别是：炎陵县霞阳镇党群服务中心（综合便民服务中心）、炎陵县霞阳镇综合行政执法大队、炎陵县霞阳镇社会事务综合服务站（文化综合服务站）、炎陵县霞阳镇农业综合服务站（林业工作站）、炎陵县霞阳镇退役军人服务站。</w:t>
      </w:r>
    </w:p>
    <w:p w14:paraId="5556C9CE">
      <w:pPr>
        <w:pStyle w:val="8"/>
        <w:widowControl/>
        <w:numPr>
          <w:ilvl w:val="0"/>
          <w:numId w:val="2"/>
        </w:numPr>
        <w:spacing w:line="520" w:lineRule="exact"/>
        <w:ind w:left="-10" w:leftChars="0" w:firstLine="640" w:firstLineChars="0"/>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部门</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年度整体支出绩效目标，专项资金绩效目标、其他项目支出（除专项资金以外）绩效目标。</w:t>
      </w:r>
    </w:p>
    <w:p w14:paraId="666CCB1C">
      <w:pPr>
        <w:snapToGrid w:val="0"/>
        <w:spacing w:line="520" w:lineRule="exact"/>
        <w:ind w:firstLine="620" w:firstLineChars="200"/>
        <w:rPr>
          <w:rFonts w:hint="default" w:ascii="仿宋_GB2312" w:hAnsi="微软雅黑" w:eastAsia="仿宋_GB2312" w:cs="仿宋_GB2312"/>
          <w:color w:val="333333"/>
          <w:sz w:val="31"/>
          <w:szCs w:val="31"/>
          <w:highlight w:val="none"/>
          <w:shd w:val="clear" w:fill="FFFFFF"/>
          <w:lang w:val="en-US" w:eastAsia="zh-CN"/>
        </w:rPr>
      </w:pPr>
      <w:r>
        <w:rPr>
          <w:rFonts w:hint="eastAsia" w:ascii="仿宋_GB2312" w:hAnsi="微软雅黑" w:eastAsia="仿宋_GB2312" w:cs="仿宋_GB2312"/>
          <w:color w:val="333333"/>
          <w:kern w:val="2"/>
          <w:sz w:val="31"/>
          <w:szCs w:val="31"/>
          <w:highlight w:val="none"/>
          <w:shd w:val="clear" w:fill="FFFFFF"/>
          <w:lang w:val="en-US" w:eastAsia="zh-CN" w:bidi="ar-SA"/>
        </w:rPr>
        <w:t>2023年度霞阳</w:t>
      </w:r>
      <w:r>
        <w:rPr>
          <w:rFonts w:hint="eastAsia" w:ascii="仿宋_GB2312" w:hAnsi="微软雅黑" w:eastAsia="仿宋_GB2312" w:cs="仿宋_GB2312"/>
          <w:color w:val="333333"/>
          <w:sz w:val="31"/>
          <w:szCs w:val="31"/>
          <w:highlight w:val="none"/>
          <w:shd w:val="clear" w:fill="FFFFFF"/>
          <w:lang w:val="en-US" w:eastAsia="zh-CN"/>
        </w:rPr>
        <w:t>镇</w:t>
      </w:r>
      <w:r>
        <w:rPr>
          <w:rFonts w:hint="eastAsia" w:ascii="仿宋_GB2312" w:hAnsi="微软雅黑" w:eastAsia="仿宋_GB2312" w:cs="仿宋_GB2312"/>
          <w:color w:val="333333"/>
          <w:sz w:val="31"/>
          <w:szCs w:val="31"/>
          <w:highlight w:val="none"/>
          <w:shd w:val="clear" w:fill="FFFFFF"/>
          <w:lang w:eastAsia="zh-CN"/>
        </w:rPr>
        <w:t>在县财政局和镇党委、政府的正确领导下，树立</w:t>
      </w:r>
      <w:r>
        <w:rPr>
          <w:rFonts w:hint="eastAsia" w:ascii="仿宋_GB2312" w:hAnsi="微软雅黑" w:eastAsia="仿宋_GB2312" w:cs="仿宋_GB2312"/>
          <w:color w:val="333333"/>
          <w:sz w:val="31"/>
          <w:szCs w:val="31"/>
          <w:highlight w:val="none"/>
          <w:shd w:val="clear" w:fill="FFFFFF"/>
          <w:lang w:val="en-US" w:eastAsia="zh-CN"/>
        </w:rPr>
        <w:t>了</w:t>
      </w:r>
      <w:r>
        <w:rPr>
          <w:rFonts w:hint="eastAsia" w:ascii="仿宋_GB2312" w:hAnsi="微软雅黑" w:eastAsia="仿宋_GB2312" w:cs="仿宋_GB2312"/>
          <w:color w:val="333333"/>
          <w:sz w:val="31"/>
          <w:szCs w:val="31"/>
          <w:highlight w:val="none"/>
          <w:shd w:val="clear" w:fill="FFFFFF"/>
          <w:lang w:eastAsia="zh-CN"/>
        </w:rPr>
        <w:t>全心全意为人民服务的宗旨，强化资金管理，严格资金</w:t>
      </w:r>
      <w:r>
        <w:rPr>
          <w:rFonts w:hint="eastAsia" w:ascii="仿宋_GB2312" w:hAnsi="微软雅黑" w:eastAsia="仿宋_GB2312" w:cs="仿宋_GB2312"/>
          <w:color w:val="333333"/>
          <w:sz w:val="31"/>
          <w:szCs w:val="31"/>
          <w:highlight w:val="none"/>
          <w:shd w:val="clear" w:fill="FFFFFF"/>
          <w:lang w:val="en-US" w:eastAsia="zh-CN"/>
        </w:rPr>
        <w:t>的</w:t>
      </w:r>
      <w:r>
        <w:rPr>
          <w:rFonts w:hint="eastAsia" w:ascii="仿宋_GB2312" w:hAnsi="微软雅黑" w:eastAsia="仿宋_GB2312" w:cs="仿宋_GB2312"/>
          <w:color w:val="333333"/>
          <w:sz w:val="31"/>
          <w:szCs w:val="31"/>
          <w:highlight w:val="none"/>
          <w:shd w:val="clear" w:fill="FFFFFF"/>
          <w:lang w:eastAsia="zh-CN"/>
        </w:rPr>
        <w:t>使用合法、合规，做到专款专用；及时、准确、高效调度资金，用好资金，全面服务于党委、政府的各项工作，确保</w:t>
      </w:r>
      <w:r>
        <w:rPr>
          <w:rFonts w:hint="eastAsia" w:ascii="仿宋_GB2312" w:hAnsi="微软雅黑" w:eastAsia="仿宋_GB2312" w:cs="仿宋_GB2312"/>
          <w:color w:val="333333"/>
          <w:sz w:val="31"/>
          <w:szCs w:val="31"/>
          <w:highlight w:val="none"/>
          <w:shd w:val="clear" w:fill="FFFFFF"/>
          <w:lang w:val="en-US" w:eastAsia="zh-CN"/>
        </w:rPr>
        <w:t>了</w:t>
      </w:r>
      <w:r>
        <w:rPr>
          <w:rFonts w:hint="eastAsia" w:ascii="仿宋_GB2312" w:hAnsi="微软雅黑" w:eastAsia="仿宋_GB2312" w:cs="仿宋_GB2312"/>
          <w:color w:val="333333"/>
          <w:sz w:val="31"/>
          <w:szCs w:val="31"/>
          <w:highlight w:val="none"/>
          <w:shd w:val="clear" w:fill="FFFFFF"/>
          <w:lang w:eastAsia="zh-CN"/>
        </w:rPr>
        <w:t>政府机构正常运行；认真做好各项财政财务基础工作，</w:t>
      </w:r>
      <w:r>
        <w:rPr>
          <w:rFonts w:hint="eastAsia" w:ascii="仿宋_GB2312" w:hAnsi="微软雅黑" w:eastAsia="仿宋_GB2312" w:cs="仿宋_GB2312"/>
          <w:color w:val="333333"/>
          <w:sz w:val="31"/>
          <w:szCs w:val="31"/>
          <w:highlight w:val="none"/>
          <w:shd w:val="clear" w:fill="FFFFFF"/>
          <w:lang w:val="en-US" w:eastAsia="zh-CN"/>
        </w:rPr>
        <w:t>并力求做到以下几点整体支出绩效目标：</w:t>
      </w:r>
    </w:p>
    <w:p w14:paraId="2D1E7C9E">
      <w:pPr>
        <w:snapToGrid w:val="0"/>
        <w:spacing w:line="520" w:lineRule="exact"/>
        <w:ind w:firstLine="620" w:firstLineChars="200"/>
        <w:rPr>
          <w:rFonts w:hint="default" w:ascii="楷体_GB2312" w:hAnsi="楷体_GB2312" w:eastAsia="楷体_GB2312" w:cs="楷体_GB2312"/>
          <w:sz w:val="32"/>
          <w:szCs w:val="32"/>
          <w:highlight w:val="none"/>
          <w:lang w:val="en-US" w:eastAsia="zh-CN"/>
        </w:rPr>
      </w:pPr>
      <w:r>
        <w:rPr>
          <w:rFonts w:hint="eastAsia" w:ascii="仿宋_GB2312" w:hAnsi="微软雅黑" w:eastAsia="仿宋_GB2312" w:cs="仿宋_GB2312"/>
          <w:color w:val="333333"/>
          <w:sz w:val="31"/>
          <w:szCs w:val="31"/>
          <w:highlight w:val="none"/>
          <w:shd w:val="clear" w:fill="FFFFFF"/>
        </w:rPr>
        <w:t>1</w:t>
      </w:r>
      <w:r>
        <w:rPr>
          <w:rFonts w:hint="eastAsia" w:ascii="仿宋_GB2312" w:hAnsi="微软雅黑" w:eastAsia="仿宋_GB2312" w:cs="仿宋_GB2312"/>
          <w:color w:val="333333"/>
          <w:sz w:val="31"/>
          <w:szCs w:val="31"/>
          <w:highlight w:val="none"/>
          <w:shd w:val="clear" w:fill="FFFFFF"/>
          <w:lang w:eastAsia="zh-CN"/>
        </w:rPr>
        <w:t>.</w:t>
      </w:r>
      <w:r>
        <w:rPr>
          <w:rFonts w:hint="eastAsia" w:ascii="仿宋_GB2312" w:hAnsi="微软雅黑" w:eastAsia="仿宋_GB2312" w:cs="仿宋_GB2312"/>
          <w:color w:val="333333"/>
          <w:sz w:val="31"/>
          <w:szCs w:val="31"/>
          <w:highlight w:val="none"/>
          <w:shd w:val="clear" w:fill="FFFFFF"/>
        </w:rPr>
        <w:t>完成县财政交办的各项</w:t>
      </w:r>
      <w:r>
        <w:rPr>
          <w:rFonts w:hint="eastAsia" w:ascii="仿宋_GB2312" w:hAnsi="微软雅黑" w:eastAsia="仿宋_GB2312" w:cs="仿宋_GB2312"/>
          <w:color w:val="333333"/>
          <w:sz w:val="31"/>
          <w:szCs w:val="31"/>
          <w:highlight w:val="none"/>
          <w:shd w:val="clear" w:fill="FFFFFF"/>
          <w:lang w:eastAsia="zh-CN"/>
        </w:rPr>
        <w:t>工作</w:t>
      </w:r>
      <w:r>
        <w:rPr>
          <w:rFonts w:hint="eastAsia" w:ascii="仿宋_GB2312" w:hAnsi="微软雅黑" w:eastAsia="仿宋_GB2312" w:cs="仿宋_GB2312"/>
          <w:color w:val="333333"/>
          <w:sz w:val="31"/>
          <w:szCs w:val="31"/>
          <w:highlight w:val="none"/>
          <w:shd w:val="clear" w:fill="FFFFFF"/>
        </w:rPr>
        <w:t>任务</w:t>
      </w:r>
      <w:r>
        <w:rPr>
          <w:rFonts w:hint="eastAsia" w:ascii="仿宋_GB2312" w:hAnsi="微软雅黑" w:eastAsia="仿宋_GB2312" w:cs="仿宋_GB2312"/>
          <w:color w:val="333333"/>
          <w:sz w:val="31"/>
          <w:szCs w:val="31"/>
          <w:highlight w:val="none"/>
          <w:shd w:val="clear" w:fill="FFFFFF"/>
          <w:lang w:eastAsia="zh-CN"/>
        </w:rPr>
        <w:t>，全心全意为人民服务；</w:t>
      </w:r>
      <w:r>
        <w:rPr>
          <w:rFonts w:hint="eastAsia" w:ascii="仿宋_GB2312" w:hAnsi="微软雅黑" w:eastAsia="仿宋_GB2312" w:cs="仿宋_GB2312"/>
          <w:color w:val="333333"/>
          <w:sz w:val="31"/>
          <w:szCs w:val="31"/>
          <w:highlight w:val="none"/>
          <w:shd w:val="clear" w:fill="FFFFFF"/>
        </w:rPr>
        <w:t>2</w:t>
      </w:r>
      <w:r>
        <w:rPr>
          <w:rFonts w:hint="eastAsia" w:ascii="仿宋_GB2312" w:hAnsi="微软雅黑" w:eastAsia="仿宋_GB2312" w:cs="仿宋_GB2312"/>
          <w:color w:val="333333"/>
          <w:sz w:val="31"/>
          <w:szCs w:val="31"/>
          <w:highlight w:val="none"/>
          <w:shd w:val="clear" w:fill="FFFFFF"/>
          <w:lang w:val="en-US" w:eastAsia="zh-CN"/>
        </w:rPr>
        <w:t>.</w:t>
      </w:r>
      <w:r>
        <w:rPr>
          <w:rFonts w:hint="eastAsia" w:ascii="仿宋_GB2312" w:hAnsi="微软雅黑" w:eastAsia="仿宋_GB2312" w:cs="仿宋_GB2312"/>
          <w:color w:val="333333"/>
          <w:sz w:val="31"/>
          <w:szCs w:val="31"/>
          <w:highlight w:val="none"/>
          <w:shd w:val="clear" w:fill="FFFFFF"/>
        </w:rPr>
        <w:t>强化资金管理，严格</w:t>
      </w:r>
      <w:r>
        <w:rPr>
          <w:rFonts w:hint="eastAsia" w:ascii="仿宋_GB2312" w:hAnsi="微软雅黑" w:eastAsia="仿宋_GB2312" w:cs="仿宋_GB2312"/>
          <w:color w:val="333333"/>
          <w:sz w:val="31"/>
          <w:szCs w:val="31"/>
          <w:highlight w:val="none"/>
          <w:shd w:val="clear" w:fill="FFFFFF"/>
          <w:lang w:eastAsia="zh-CN"/>
        </w:rPr>
        <w:t>资金使用合法、合规，打好脱贫攻坚战；</w:t>
      </w:r>
      <w:r>
        <w:rPr>
          <w:rFonts w:hint="eastAsia" w:ascii="仿宋_GB2312" w:hAnsi="微软雅黑" w:eastAsia="仿宋_GB2312" w:cs="仿宋_GB2312"/>
          <w:color w:val="333333"/>
          <w:sz w:val="31"/>
          <w:szCs w:val="31"/>
          <w:highlight w:val="none"/>
          <w:shd w:val="clear" w:fill="FFFFFF"/>
          <w:lang w:val="en-US" w:eastAsia="zh-CN"/>
        </w:rPr>
        <w:t>3.</w:t>
      </w:r>
      <w:r>
        <w:rPr>
          <w:rFonts w:hint="eastAsia" w:ascii="仿宋_GB2312" w:hAnsi="微软雅黑" w:eastAsia="仿宋_GB2312" w:cs="仿宋_GB2312"/>
          <w:color w:val="333333"/>
          <w:sz w:val="31"/>
          <w:szCs w:val="31"/>
          <w:highlight w:val="none"/>
          <w:shd w:val="clear" w:fill="FFFFFF"/>
        </w:rPr>
        <w:t>认真</w:t>
      </w:r>
      <w:r>
        <w:rPr>
          <w:rFonts w:hint="eastAsia" w:ascii="仿宋_GB2312" w:hAnsi="微软雅黑" w:eastAsia="仿宋_GB2312" w:cs="仿宋_GB2312"/>
          <w:color w:val="333333"/>
          <w:sz w:val="31"/>
          <w:szCs w:val="31"/>
          <w:highlight w:val="none"/>
          <w:shd w:val="clear" w:fill="FFFFFF"/>
          <w:lang w:eastAsia="zh-CN"/>
        </w:rPr>
        <w:t>做好</w:t>
      </w:r>
      <w:r>
        <w:rPr>
          <w:rFonts w:hint="eastAsia" w:ascii="仿宋_GB2312" w:hAnsi="微软雅黑" w:eastAsia="仿宋_GB2312" w:cs="仿宋_GB2312"/>
          <w:color w:val="333333"/>
          <w:sz w:val="31"/>
          <w:szCs w:val="31"/>
          <w:highlight w:val="none"/>
          <w:shd w:val="clear" w:fill="FFFFFF"/>
        </w:rPr>
        <w:t>各项财政财务</w:t>
      </w:r>
      <w:r>
        <w:rPr>
          <w:rFonts w:hint="eastAsia" w:ascii="仿宋_GB2312" w:hAnsi="微软雅黑" w:eastAsia="仿宋_GB2312" w:cs="仿宋_GB2312"/>
          <w:color w:val="333333"/>
          <w:sz w:val="31"/>
          <w:szCs w:val="31"/>
          <w:highlight w:val="none"/>
          <w:shd w:val="clear" w:fill="FFFFFF"/>
          <w:lang w:eastAsia="zh-CN"/>
        </w:rPr>
        <w:t>基础</w:t>
      </w:r>
      <w:r>
        <w:rPr>
          <w:rFonts w:hint="eastAsia" w:ascii="仿宋_GB2312" w:hAnsi="微软雅黑" w:eastAsia="仿宋_GB2312" w:cs="仿宋_GB2312"/>
          <w:color w:val="333333"/>
          <w:sz w:val="31"/>
          <w:szCs w:val="31"/>
          <w:highlight w:val="none"/>
          <w:shd w:val="clear" w:fill="FFFFFF"/>
        </w:rPr>
        <w:t>工作</w:t>
      </w:r>
      <w:r>
        <w:rPr>
          <w:rFonts w:hint="eastAsia" w:ascii="仿宋_GB2312" w:hAnsi="微软雅黑" w:eastAsia="仿宋_GB2312" w:cs="仿宋_GB2312"/>
          <w:color w:val="333333"/>
          <w:sz w:val="31"/>
          <w:szCs w:val="31"/>
          <w:highlight w:val="none"/>
          <w:shd w:val="clear" w:fill="FFFFFF"/>
          <w:lang w:val="en-US" w:eastAsia="zh-CN"/>
        </w:rPr>
        <w:t>；4.</w:t>
      </w:r>
      <w:r>
        <w:rPr>
          <w:rFonts w:hint="eastAsia" w:ascii="仿宋_GB2312" w:hAnsi="微软雅黑" w:eastAsia="仿宋_GB2312" w:cs="仿宋_GB2312"/>
          <w:color w:val="333333"/>
          <w:sz w:val="31"/>
          <w:szCs w:val="31"/>
          <w:highlight w:val="none"/>
          <w:shd w:val="clear" w:fill="FFFFFF"/>
        </w:rPr>
        <w:t>认真贯彻执行《预算法》、《会计法》和相关的财经纪律制度</w:t>
      </w:r>
      <w:r>
        <w:rPr>
          <w:rFonts w:hint="default" w:ascii="仿宋_GB2312" w:hAnsi="微软雅黑" w:eastAsia="仿宋_GB2312" w:cs="仿宋_GB2312"/>
          <w:color w:val="333333"/>
          <w:sz w:val="31"/>
          <w:szCs w:val="31"/>
          <w:highlight w:val="none"/>
          <w:shd w:val="clear" w:fill="FFFFFF"/>
        </w:rPr>
        <w:t>目标</w:t>
      </w:r>
      <w:r>
        <w:rPr>
          <w:rFonts w:hint="eastAsia" w:ascii="仿宋_GB2312" w:hAnsi="微软雅黑" w:eastAsia="仿宋_GB2312" w:cs="仿宋_GB2312"/>
          <w:color w:val="333333"/>
          <w:sz w:val="31"/>
          <w:szCs w:val="31"/>
          <w:highlight w:val="none"/>
          <w:shd w:val="clear" w:fill="FFFFFF"/>
          <w:lang w:eastAsia="zh-CN"/>
        </w:rPr>
        <w:t>。</w:t>
      </w:r>
    </w:p>
    <w:p w14:paraId="7587B28A">
      <w:pPr>
        <w:pStyle w:val="8"/>
        <w:widowControl/>
        <w:spacing w:line="520" w:lineRule="exact"/>
        <w:ind w:left="640" w:firstLine="0" w:firstLineChars="0"/>
        <w:rPr>
          <w:rFonts w:ascii="Times New Roman" w:hAnsi="Times New Roman" w:eastAsia="黑体"/>
          <w:sz w:val="32"/>
          <w:szCs w:val="32"/>
          <w:highlight w:val="none"/>
        </w:rPr>
      </w:pPr>
      <w:r>
        <w:rPr>
          <w:rFonts w:hint="eastAsia" w:ascii="Times New Roman" w:hAnsi="Times New Roman" w:eastAsia="黑体"/>
          <w:sz w:val="32"/>
          <w:szCs w:val="32"/>
          <w:highlight w:val="none"/>
        </w:rPr>
        <w:t>二、</w:t>
      </w:r>
      <w:r>
        <w:rPr>
          <w:rFonts w:ascii="Times New Roman" w:hAnsi="Times New Roman" w:eastAsia="黑体"/>
          <w:sz w:val="32"/>
          <w:szCs w:val="32"/>
          <w:highlight w:val="none"/>
        </w:rPr>
        <w:t>一般公共预算支出情况</w:t>
      </w:r>
    </w:p>
    <w:p w14:paraId="71B86B78">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一般公共预算支出3117.31万元，其中：</w:t>
      </w:r>
    </w:p>
    <w:p w14:paraId="6C623F11">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1.基本支出2218.09万元，占比71.15%。</w:t>
      </w:r>
    </w:p>
    <w:p w14:paraId="18A21949">
      <w:pPr>
        <w:widowControl w:val="0"/>
        <w:snapToGrid w:val="0"/>
        <w:spacing w:beforeLines="0" w:afterLines="0" w:line="520" w:lineRule="exact"/>
        <w:ind w:firstLine="620" w:firstLineChars="200"/>
        <w:rPr>
          <w:rFonts w:ascii="Times New Roman" w:hAnsi="Times New Roman" w:eastAsia="黑体"/>
          <w:sz w:val="32"/>
          <w:szCs w:val="32"/>
          <w:highlight w:val="none"/>
        </w:rPr>
      </w:pPr>
      <w:r>
        <w:rPr>
          <w:rFonts w:hint="eastAsia" w:ascii="仿宋_GB2312" w:hAnsi="微软雅黑" w:eastAsia="仿宋_GB2312" w:cs="仿宋_GB2312"/>
          <w:color w:val="333333"/>
          <w:sz w:val="31"/>
          <w:szCs w:val="31"/>
          <w:highlight w:val="none"/>
          <w:shd w:val="clear" w:color="auto" w:fill="FFFFFF"/>
          <w:lang w:val="en-US" w:eastAsia="zh-CN" w:bidi="ar-SA"/>
        </w:rPr>
        <w:t>2.项目支出899.22万元，占比28.85%。</w:t>
      </w:r>
    </w:p>
    <w:p w14:paraId="55115D6B">
      <w:pPr>
        <w:pStyle w:val="8"/>
        <w:widowControl/>
        <w:spacing w:line="520" w:lineRule="exact"/>
        <w:ind w:left="640" w:firstLine="0" w:firstLineChars="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（一）基本支出情况</w:t>
      </w:r>
    </w:p>
    <w:p w14:paraId="3CB1A2A6">
      <w:pPr>
        <w:widowControl w:val="0"/>
        <w:snapToGrid w:val="0"/>
        <w:spacing w:beforeLines="0" w:afterLines="0" w:line="520" w:lineRule="exact"/>
        <w:ind w:firstLine="620" w:firstLineChars="200"/>
        <w:rPr>
          <w:rFonts w:hint="eastAsia" w:ascii="仿宋_GB2312" w:hAnsi="微软雅黑" w:eastAsia="仿宋_GB2312" w:cs="仿宋_GB2312"/>
          <w:color w:val="333333"/>
          <w:sz w:val="31"/>
          <w:szCs w:val="31"/>
          <w:highlight w:val="none"/>
          <w:shd w:val="clear" w:color="auto" w:fill="FFFFFF"/>
          <w:lang w:val="en-US" w:eastAsia="zh-CN" w:bidi="ar-SA"/>
        </w:rPr>
      </w:pPr>
      <w:r>
        <w:rPr>
          <w:rFonts w:hint="eastAsia" w:ascii="仿宋_GB2312" w:hAnsi="微软雅黑" w:eastAsia="仿宋_GB2312" w:cs="仿宋_GB2312"/>
          <w:color w:val="333333"/>
          <w:sz w:val="31"/>
          <w:szCs w:val="31"/>
          <w:highlight w:val="none"/>
          <w:shd w:val="clear" w:color="auto" w:fill="FFFFFF"/>
          <w:lang w:val="en-US" w:eastAsia="zh-CN" w:bidi="ar-SA"/>
        </w:rPr>
        <w:t>基本支出中人员经费1660.81万元，占比74.88%；公用经费557.28万元，占比25.12%。</w:t>
      </w:r>
    </w:p>
    <w:p w14:paraId="7C11EFB6">
      <w:pPr>
        <w:pStyle w:val="8"/>
        <w:widowControl/>
        <w:spacing w:line="520" w:lineRule="exact"/>
        <w:ind w:left="640" w:firstLine="0" w:firstLineChars="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（二）项目支出情况</w:t>
      </w:r>
    </w:p>
    <w:p w14:paraId="20A317B8">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2023年度专项资金安排和使用管理情况如下所示：</w:t>
      </w:r>
    </w:p>
    <w:p w14:paraId="2D1F152E">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1.正泰新城小区地面塌陷避灾工作资金29.95万元。用于正泰新城小区地面塌陷避灾救助产生的各项支出。</w:t>
      </w:r>
    </w:p>
    <w:p w14:paraId="2517005C">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p>
    <w:p w14:paraId="08F873FB">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2.第三轮疫情防控经费16.02万元。用于疫情防控产生的各项支出。</w:t>
      </w:r>
    </w:p>
    <w:p w14:paraId="1DEDAE93">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3.体制结算补助302.04万元。为落实区域协调发展战略，通过结算方式适当安排补助。</w:t>
      </w:r>
    </w:p>
    <w:p w14:paraId="5DD29F3E">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4.离退休党支部工作经费和工作补贴4.58万元。用于</w:t>
      </w:r>
      <w:r>
        <w:rPr>
          <w:rFonts w:hint="eastAsia" w:ascii="仿宋" w:hAnsi="仿宋" w:eastAsia="仿宋" w:cs="Times New Roman"/>
          <w:sz w:val="30"/>
          <w:szCs w:val="20"/>
          <w:highlight w:val="none"/>
          <w:lang w:val="en-US" w:eastAsia="zh-CN"/>
        </w:rPr>
        <w:t>离退休党支部的活动经费和支部书记以及支部委员的工作补贴，加强</w:t>
      </w:r>
      <w:r>
        <w:rPr>
          <w:rFonts w:hint="eastAsia" w:ascii="仿宋_GB2312" w:hAnsi="微软雅黑" w:eastAsia="仿宋_GB2312" w:cs="仿宋_GB2312"/>
          <w:color w:val="333333"/>
          <w:kern w:val="2"/>
          <w:sz w:val="31"/>
          <w:szCs w:val="31"/>
          <w:highlight w:val="none"/>
          <w:shd w:val="clear" w:color="auto" w:fill="FFFFFF"/>
          <w:lang w:val="en-US" w:eastAsia="zh-CN" w:bidi="ar-SA"/>
        </w:rPr>
        <w:t>基层党组织的建设。</w:t>
      </w:r>
    </w:p>
    <w:p w14:paraId="29F7835F">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snapToGrid w:val="0"/>
          <w:color w:val="333333"/>
          <w:kern w:val="0"/>
          <w:sz w:val="31"/>
          <w:szCs w:val="31"/>
          <w:highlight w:val="none"/>
          <w:shd w:val="clear" w:fill="FFFFFF"/>
          <w:lang w:val="en-US" w:eastAsia="zh-CN" w:bidi="ar-SA"/>
        </w:rPr>
      </w:pPr>
      <w:r>
        <w:rPr>
          <w:rFonts w:hint="eastAsia" w:ascii="仿宋_GB2312" w:hAnsi="微软雅黑" w:eastAsia="仿宋_GB2312" w:cs="仿宋_GB2312"/>
          <w:snapToGrid w:val="0"/>
          <w:color w:val="333333"/>
          <w:kern w:val="0"/>
          <w:sz w:val="31"/>
          <w:szCs w:val="31"/>
          <w:highlight w:val="none"/>
          <w:shd w:val="clear" w:fill="FFFFFF"/>
          <w:lang w:val="en-US" w:eastAsia="zh-CN" w:bidi="ar-SA"/>
        </w:rPr>
        <w:t>5.炎陵县河漠水流域环境治理工程386万元。炎陵县河漠水流域综合治理项目对饮用水源保护区散户农村生活污水进行处理，采用四格式化粪池系统进行处理。对炎陵县霞阳镇石玉村河道两岸进行生态护坡，建设长度15500米，共计77500平方米。其中植草生态护岸9000米，共计54000平方米，石笼网生态护岸6500米，共计23500平方米。在河道滩涂区域进行水生态修复，建设沉水植物、挺水植物、乔灌木等为主的4处滨河带，共计229.4亩。项目效益：1.解决河漠水总氮超标的问题，保障饮用水安全以及水资源和生态环境。2.疏通河道，防止堵塞，有利于河道行洪，保障沿河居民生命财产安全。</w:t>
      </w:r>
    </w:p>
    <w:p w14:paraId="2965A931">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6.耕地恢复工作资金30万元。用于耕地恢复方面的工作经费。</w:t>
      </w:r>
    </w:p>
    <w:p w14:paraId="244B8306">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7.北区社区基础设施建设资金5万元。北区社区居民委员会外墙由于年久失修，外墙脱落严重，影响社区整体的形象。社区会议决定对外墙进行维修。抹灰面油漆335.28平方米、立面抹灰层拆除335.28平方米、综合脚手架91.2平方米、30石墩6个、树池8.6米、树池抹水泥砂浆5.16平方米。项目效益：提升社区整体形象，社区综合服务能力。</w:t>
      </w:r>
    </w:p>
    <w:p w14:paraId="49EBC7AC">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8.易地扶贫搬迁集中安置区后续管理工作经费5.05万元。九龙安置区聘请保洁人员进行保洁的工作经费。</w:t>
      </w:r>
    </w:p>
    <w:p w14:paraId="7A40F173">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9.潘家村以工代赈示范工程资金90万元。炎陵县霞阳镇潘家村以工代赈示范工程位于炎陵县霞阳镇。项目计划建设主要内容:新建道路长2500米、宽4.5米;扩建道路长3370米，原路宽3.5米，其中2000米扩宽至4.5米，1370米扩宽至4米;新建小型桥梁一座。项目建设完成的主要内容:新建道路2200米、宽4.5米;扩建道路长 1950.2米，扩宽至4.5米;新建一座小型桥梁。项目效益：</w:t>
      </w:r>
      <w:r>
        <w:rPr>
          <w:rFonts w:hint="default" w:ascii="仿宋_GB2312" w:hAnsi="微软雅黑" w:eastAsia="仿宋_GB2312" w:cs="仿宋_GB2312"/>
          <w:color w:val="333333"/>
          <w:kern w:val="2"/>
          <w:sz w:val="31"/>
          <w:szCs w:val="31"/>
          <w:highlight w:val="none"/>
          <w:shd w:val="clear" w:color="auto" w:fill="FFFFFF"/>
          <w:lang w:val="en-US" w:eastAsia="zh-CN" w:bidi="ar-SA"/>
        </w:rPr>
        <w:t>改善基础设施，促进经济发展</w:t>
      </w:r>
      <w:r>
        <w:rPr>
          <w:rFonts w:hint="eastAsia" w:ascii="仿宋_GB2312" w:hAnsi="微软雅黑" w:eastAsia="仿宋_GB2312" w:cs="仿宋_GB2312"/>
          <w:color w:val="333333"/>
          <w:kern w:val="2"/>
          <w:sz w:val="31"/>
          <w:szCs w:val="31"/>
          <w:highlight w:val="none"/>
          <w:shd w:val="clear" w:color="auto" w:fill="FFFFFF"/>
          <w:lang w:val="en-US" w:eastAsia="zh-CN" w:bidi="ar-SA"/>
        </w:rPr>
        <w:t>，交通条件显著提升，增强区域连通性。</w:t>
      </w:r>
      <w:r>
        <w:rPr>
          <w:rFonts w:hint="default" w:ascii="仿宋_GB2312" w:hAnsi="微软雅黑" w:eastAsia="仿宋_GB2312" w:cs="仿宋_GB2312"/>
          <w:color w:val="333333"/>
          <w:kern w:val="2"/>
          <w:sz w:val="31"/>
          <w:szCs w:val="31"/>
          <w:highlight w:val="none"/>
          <w:shd w:val="clear" w:color="auto" w:fill="FFFFFF"/>
          <w:lang w:val="en-US" w:eastAsia="zh-CN" w:bidi="ar-SA"/>
        </w:rPr>
        <w:t>促进就业与增收</w:t>
      </w:r>
      <w:r>
        <w:rPr>
          <w:rFonts w:hint="eastAsia" w:ascii="仿宋_GB2312" w:hAnsi="微软雅黑" w:eastAsia="仿宋_GB2312" w:cs="仿宋_GB2312"/>
          <w:color w:val="333333"/>
          <w:kern w:val="2"/>
          <w:sz w:val="31"/>
          <w:szCs w:val="31"/>
          <w:highlight w:val="none"/>
          <w:shd w:val="clear" w:color="auto" w:fill="FFFFFF"/>
          <w:lang w:val="en-US" w:eastAsia="zh-CN" w:bidi="ar-SA"/>
        </w:rPr>
        <w:t>，直接带动就业，间接促进增收。</w:t>
      </w:r>
      <w:r>
        <w:rPr>
          <w:rFonts w:hint="default" w:ascii="仿宋_GB2312" w:hAnsi="微软雅黑" w:eastAsia="仿宋_GB2312" w:cs="仿宋_GB2312"/>
          <w:color w:val="333333"/>
          <w:kern w:val="2"/>
          <w:sz w:val="31"/>
          <w:szCs w:val="31"/>
          <w:highlight w:val="none"/>
          <w:shd w:val="clear" w:color="auto" w:fill="FFFFFF"/>
          <w:lang w:val="en-US" w:eastAsia="zh-CN" w:bidi="ar-SA"/>
        </w:rPr>
        <w:t>提升生活质量，改善人居环境</w:t>
      </w:r>
      <w:r>
        <w:rPr>
          <w:rFonts w:hint="eastAsia" w:ascii="仿宋_GB2312" w:hAnsi="微软雅黑" w:eastAsia="仿宋_GB2312" w:cs="仿宋_GB2312"/>
          <w:color w:val="333333"/>
          <w:kern w:val="2"/>
          <w:sz w:val="31"/>
          <w:szCs w:val="31"/>
          <w:highlight w:val="none"/>
          <w:shd w:val="clear" w:color="auto" w:fill="FFFFFF"/>
          <w:lang w:val="en-US" w:eastAsia="zh-CN" w:bidi="ar-SA"/>
        </w:rPr>
        <w:t>，出行更加便捷安全，促进社会和谐。</w:t>
      </w:r>
    </w:p>
    <w:p w14:paraId="4EA57873">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10.乡村振兴基础设施改造资金5万元。用于支持炎西村社会公益事业建设。</w:t>
      </w:r>
    </w:p>
    <w:p w14:paraId="5EFAFA2A">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11.石子坝村村组道路路面维修资金20万元。石子坝村大垅组组道延伸段的道路未硬化，影响20余亩水果园的水果运输。村委会议决定对该路段进行硬化。路段长610米、宽3米、厚0.2米，新建会车道3个。项目效益：通过道路硬化等项目，使村民出行更加方便安全，提高了村民住宅空气质量，提高了美化村庄的环境质量。</w:t>
      </w:r>
    </w:p>
    <w:p w14:paraId="0377B409">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12.国有企业退休人员社会化管理补助支出5.58万元。用于霞阳镇四个社区对国有企业退休人员进行社会化管理的补助经费。</w:t>
      </w:r>
    </w:p>
    <w:p w14:paraId="03B49AE6">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项目支出合计</w:t>
      </w:r>
      <w:r>
        <w:rPr>
          <w:rFonts w:hint="eastAsia" w:ascii="仿宋_GB2312" w:hAnsi="微软雅黑" w:eastAsia="仿宋_GB2312" w:cs="仿宋_GB2312"/>
          <w:color w:val="333333"/>
          <w:sz w:val="31"/>
          <w:szCs w:val="31"/>
          <w:highlight w:val="none"/>
          <w:shd w:val="clear" w:color="auto" w:fill="FFFFFF"/>
          <w:lang w:val="en-US" w:eastAsia="zh-CN" w:bidi="ar-SA"/>
        </w:rPr>
        <w:t>899.22万</w:t>
      </w:r>
      <w:r>
        <w:rPr>
          <w:rFonts w:hint="eastAsia" w:ascii="仿宋_GB2312" w:hAnsi="微软雅黑" w:eastAsia="仿宋_GB2312" w:cs="仿宋_GB2312"/>
          <w:color w:val="333333"/>
          <w:kern w:val="2"/>
          <w:sz w:val="31"/>
          <w:szCs w:val="31"/>
          <w:highlight w:val="none"/>
          <w:shd w:val="clear" w:color="auto" w:fill="FFFFFF"/>
          <w:lang w:val="en-US" w:eastAsia="zh-CN" w:bidi="ar-SA"/>
        </w:rPr>
        <w:t>元，其中财政拨款</w:t>
      </w:r>
      <w:r>
        <w:rPr>
          <w:rFonts w:hint="eastAsia" w:ascii="仿宋_GB2312" w:hAnsi="微软雅黑" w:eastAsia="仿宋_GB2312" w:cs="仿宋_GB2312"/>
          <w:color w:val="333333"/>
          <w:sz w:val="31"/>
          <w:szCs w:val="31"/>
          <w:highlight w:val="none"/>
          <w:shd w:val="clear" w:color="auto" w:fill="FFFFFF"/>
          <w:lang w:val="en-US" w:eastAsia="zh-CN" w:bidi="ar-SA"/>
        </w:rPr>
        <w:t>899.22万</w:t>
      </w:r>
      <w:r>
        <w:rPr>
          <w:rFonts w:hint="eastAsia" w:ascii="仿宋_GB2312" w:hAnsi="微软雅黑" w:eastAsia="仿宋_GB2312" w:cs="仿宋_GB2312"/>
          <w:color w:val="333333"/>
          <w:kern w:val="2"/>
          <w:sz w:val="31"/>
          <w:szCs w:val="31"/>
          <w:highlight w:val="none"/>
          <w:shd w:val="clear" w:color="auto" w:fill="FFFFFF"/>
          <w:lang w:val="en-US" w:eastAsia="zh-CN" w:bidi="ar-SA"/>
        </w:rPr>
        <w:t>元，其他资金0元。</w:t>
      </w:r>
    </w:p>
    <w:p w14:paraId="751A51C8">
      <w:pPr>
        <w:pStyle w:val="8"/>
        <w:widowControl/>
        <w:numPr>
          <w:ilvl w:val="0"/>
          <w:numId w:val="1"/>
        </w:numPr>
        <w:spacing w:line="520" w:lineRule="exact"/>
        <w:ind w:left="0" w:leftChars="0" w:firstLine="640" w:firstLineChars="200"/>
        <w:jc w:val="left"/>
        <w:rPr>
          <w:rFonts w:ascii="Times New Roman" w:hAnsi="Times New Roman" w:eastAsia="黑体"/>
          <w:sz w:val="32"/>
          <w:szCs w:val="32"/>
          <w:highlight w:val="none"/>
        </w:rPr>
      </w:pPr>
      <w:r>
        <w:rPr>
          <w:rFonts w:ascii="Times New Roman" w:hAnsi="Times New Roman" w:eastAsia="黑体"/>
          <w:sz w:val="32"/>
          <w:szCs w:val="32"/>
          <w:highlight w:val="none"/>
        </w:rPr>
        <w:t>政府性基金预算支出情况</w:t>
      </w:r>
    </w:p>
    <w:p w14:paraId="5EE492B9">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政府性基金预算财政拨款支出243.40万元，其中城乡社区支出236.40万元，其他支出7万元。</w:t>
      </w:r>
    </w:p>
    <w:p w14:paraId="216101D4">
      <w:pPr>
        <w:pStyle w:val="8"/>
        <w:widowControl/>
        <w:numPr>
          <w:ilvl w:val="0"/>
          <w:numId w:val="1"/>
        </w:numPr>
        <w:spacing w:line="520" w:lineRule="exact"/>
        <w:ind w:left="0" w:leftChars="0" w:firstLine="640" w:firstLineChars="200"/>
        <w:jc w:val="left"/>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lang w:val="en-US" w:eastAsia="zh-CN"/>
        </w:rPr>
        <w:t>国有资本经营预算支出情况</w:t>
      </w:r>
    </w:p>
    <w:p w14:paraId="1B08B534">
      <w:pPr>
        <w:pStyle w:val="5"/>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480" w:lineRule="exact"/>
        <w:ind w:firstLine="645"/>
        <w:textAlignment w:val="auto"/>
        <w:rPr>
          <w:rFonts w:hint="eastAsia" w:ascii="仿宋_GB2312" w:hAnsi="微软雅黑" w:eastAsia="仿宋_GB2312" w:cs="仿宋_GB2312"/>
          <w:color w:val="333333"/>
          <w:kern w:val="2"/>
          <w:sz w:val="31"/>
          <w:szCs w:val="31"/>
          <w:highlight w:val="none"/>
          <w:shd w:val="clear" w:color="auto" w:fill="FFFFFF"/>
          <w:lang w:val="en-US" w:eastAsia="zh-CN" w:bidi="ar-SA"/>
        </w:rPr>
      </w:pPr>
      <w:r>
        <w:rPr>
          <w:rFonts w:hint="eastAsia" w:ascii="仿宋_GB2312" w:hAnsi="微软雅黑" w:eastAsia="仿宋_GB2312" w:cs="仿宋_GB2312"/>
          <w:color w:val="333333"/>
          <w:kern w:val="2"/>
          <w:sz w:val="31"/>
          <w:szCs w:val="31"/>
          <w:highlight w:val="none"/>
          <w:shd w:val="clear" w:color="auto" w:fill="FFFFFF"/>
          <w:lang w:val="en-US" w:eastAsia="zh-CN" w:bidi="ar-SA"/>
        </w:rPr>
        <w:t>国有企业退休人员社会化管理补助支出5.58万元。</w:t>
      </w:r>
    </w:p>
    <w:p w14:paraId="3798E291">
      <w:pPr>
        <w:pStyle w:val="8"/>
        <w:widowControl/>
        <w:numPr>
          <w:ilvl w:val="0"/>
          <w:numId w:val="0"/>
        </w:numPr>
        <w:spacing w:line="520" w:lineRule="exact"/>
        <w:ind w:leftChars="200"/>
        <w:jc w:val="left"/>
        <w:rPr>
          <w:rFonts w:hint="default" w:ascii="Times New Roman" w:hAnsi="Times New Roman" w:eastAsia="黑体"/>
          <w:sz w:val="32"/>
          <w:szCs w:val="32"/>
          <w:highlight w:val="none"/>
          <w:lang w:val="en-US" w:eastAsia="zh-CN"/>
        </w:rPr>
      </w:pPr>
    </w:p>
    <w:p w14:paraId="690EE68D">
      <w:pPr>
        <w:pStyle w:val="8"/>
        <w:widowControl/>
        <w:numPr>
          <w:ilvl w:val="0"/>
          <w:numId w:val="1"/>
        </w:numPr>
        <w:spacing w:line="520" w:lineRule="exact"/>
        <w:ind w:left="0" w:leftChars="0" w:firstLine="640" w:firstLineChars="200"/>
        <w:jc w:val="left"/>
        <w:rPr>
          <w:rFonts w:ascii="Times New Roman" w:hAnsi="Times New Roman" w:eastAsia="黑体"/>
          <w:sz w:val="32"/>
          <w:szCs w:val="32"/>
          <w:highlight w:val="none"/>
        </w:rPr>
      </w:pPr>
      <w:r>
        <w:rPr>
          <w:rFonts w:ascii="Times New Roman" w:hAnsi="Times New Roman" w:eastAsia="黑体"/>
          <w:sz w:val="32"/>
          <w:szCs w:val="32"/>
          <w:highlight w:val="none"/>
        </w:rPr>
        <w:t>社会保险基金预算支出情况</w:t>
      </w:r>
    </w:p>
    <w:p w14:paraId="15152601">
      <w:pPr>
        <w:pStyle w:val="8"/>
        <w:keepNext w:val="0"/>
        <w:keepLines w:val="0"/>
        <w:pageBreakBefore w:val="0"/>
        <w:widowControl/>
        <w:numPr>
          <w:ilvl w:val="0"/>
          <w:numId w:val="0"/>
        </w:numPr>
        <w:kinsoku/>
        <w:wordWrap/>
        <w:overflowPunct/>
        <w:topLinePunct w:val="0"/>
        <w:autoSpaceDE/>
        <w:autoSpaceDN/>
        <w:bidi w:val="0"/>
        <w:adjustRightInd/>
        <w:spacing w:beforeLines="0" w:afterLines="0" w:line="480" w:lineRule="exact"/>
        <w:ind w:leftChars="200" w:firstLine="310" w:firstLineChars="100"/>
        <w:jc w:val="left"/>
        <w:textAlignment w:val="auto"/>
        <w:rPr>
          <w:rFonts w:ascii="Times New Roman" w:hAnsi="Times New Roman" w:eastAsia="黑体"/>
          <w:sz w:val="32"/>
          <w:szCs w:val="32"/>
          <w:highlight w:val="none"/>
        </w:rPr>
      </w:pPr>
      <w:r>
        <w:rPr>
          <w:rFonts w:hint="eastAsia" w:ascii="仿宋_GB2312" w:hAnsi="微软雅黑" w:eastAsia="仿宋_GB2312" w:cs="仿宋_GB2312"/>
          <w:color w:val="333333"/>
          <w:kern w:val="2"/>
          <w:sz w:val="31"/>
          <w:szCs w:val="31"/>
          <w:highlight w:val="none"/>
          <w:shd w:val="clear" w:color="auto" w:fill="FFFFFF"/>
          <w:lang w:val="en-US" w:eastAsia="zh-CN" w:bidi="ar-SA"/>
        </w:rPr>
        <w:t>无。</w:t>
      </w:r>
    </w:p>
    <w:p w14:paraId="7074D3E2">
      <w:pPr>
        <w:widowControl/>
        <w:spacing w:line="520" w:lineRule="exact"/>
        <w:ind w:firstLine="645"/>
        <w:jc w:val="left"/>
        <w:rPr>
          <w:rFonts w:eastAsia="黑体"/>
          <w:sz w:val="32"/>
          <w:szCs w:val="32"/>
          <w:highlight w:val="none"/>
        </w:rPr>
      </w:pPr>
      <w:r>
        <w:rPr>
          <w:rFonts w:hint="eastAsia" w:eastAsia="黑体"/>
          <w:sz w:val="32"/>
          <w:szCs w:val="32"/>
          <w:highlight w:val="none"/>
          <w:lang w:val="en-US" w:eastAsia="zh-CN"/>
        </w:rPr>
        <w:t>六</w:t>
      </w:r>
      <w:r>
        <w:rPr>
          <w:rFonts w:eastAsia="黑体"/>
          <w:sz w:val="32"/>
          <w:szCs w:val="32"/>
          <w:highlight w:val="none"/>
        </w:rPr>
        <w:t>、部门整体支出绩效情况</w:t>
      </w:r>
    </w:p>
    <w:p w14:paraId="39FB0A9A">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一般公共预算、政府性基金预算完成年度绩效目标任务，保障了政府各部门资金正常使用，保障了政府各部门的正常运转，实现了一般公共预算、政府性基金预算资金的使用效益。发挥部门职责，严格执行预算资金管理，一般公共预算、政府性基金预算资金年度在履职效能、社会效应等方面，发挥了资金使用的最大效益，为我乡可持续发展、发展经济、公共服务发挥巨大作用。</w:t>
      </w:r>
    </w:p>
    <w:p w14:paraId="40A07C61">
      <w:pPr>
        <w:pStyle w:val="8"/>
        <w:widowControl/>
        <w:spacing w:line="520" w:lineRule="exact"/>
        <w:ind w:left="640" w:firstLine="0" w:firstLineChars="0"/>
        <w:jc w:val="left"/>
        <w:rPr>
          <w:rFonts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七</w:t>
      </w:r>
      <w:r>
        <w:rPr>
          <w:rFonts w:hint="eastAsia" w:ascii="Times New Roman" w:hAnsi="Times New Roman" w:eastAsia="黑体"/>
          <w:sz w:val="32"/>
          <w:szCs w:val="32"/>
          <w:highlight w:val="none"/>
        </w:rPr>
        <w:t>、</w:t>
      </w:r>
      <w:r>
        <w:rPr>
          <w:rFonts w:ascii="Times New Roman" w:hAnsi="Times New Roman" w:eastAsia="黑体"/>
          <w:sz w:val="32"/>
          <w:szCs w:val="32"/>
          <w:highlight w:val="none"/>
        </w:rPr>
        <w:t>存在的问题及原因分析</w:t>
      </w:r>
    </w:p>
    <w:p w14:paraId="3854788C">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1.差额人员多，支出口子大，每年财政赤字大。</w:t>
      </w:r>
    </w:p>
    <w:p w14:paraId="3543B84F">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eastAsia="仿宋_GB2312"/>
          <w:sz w:val="32"/>
          <w:szCs w:val="32"/>
          <w:highlight w:val="none"/>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2.财政收入目标任务压力大，税源不足，目标任务难以完成。</w:t>
      </w:r>
    </w:p>
    <w:p w14:paraId="455796B8">
      <w:pPr>
        <w:widowControl/>
        <w:spacing w:line="520" w:lineRule="exact"/>
        <w:ind w:firstLine="640" w:firstLineChars="200"/>
        <w:jc w:val="left"/>
        <w:rPr>
          <w:rFonts w:eastAsia="黑体"/>
          <w:sz w:val="32"/>
          <w:szCs w:val="32"/>
          <w:highlight w:val="none"/>
        </w:rPr>
      </w:pPr>
      <w:r>
        <w:rPr>
          <w:rFonts w:hint="eastAsia" w:eastAsia="黑体"/>
          <w:sz w:val="32"/>
          <w:szCs w:val="32"/>
          <w:highlight w:val="none"/>
          <w:lang w:val="en-US" w:eastAsia="zh-CN"/>
        </w:rPr>
        <w:t>八</w:t>
      </w:r>
      <w:r>
        <w:rPr>
          <w:rFonts w:eastAsia="黑体"/>
          <w:sz w:val="32"/>
          <w:szCs w:val="32"/>
          <w:highlight w:val="none"/>
        </w:rPr>
        <w:t>、下一步改进措施</w:t>
      </w:r>
    </w:p>
    <w:p w14:paraId="11924CA9">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进一步加大预算执行力度，高效率使用每一笔资金，把每一笔资金都用在刀刃上。</w:t>
      </w:r>
    </w:p>
    <w:p w14:paraId="50FDEA36">
      <w:pPr>
        <w:keepNext w:val="0"/>
        <w:keepLines w:val="0"/>
        <w:pageBreakBefore w:val="0"/>
        <w:widowControl/>
        <w:kinsoku/>
        <w:wordWrap/>
        <w:overflowPunct/>
        <w:topLinePunct w:val="0"/>
        <w:autoSpaceDE/>
        <w:autoSpaceDN/>
        <w:bidi w:val="0"/>
        <w:adjustRightInd/>
        <w:snapToGrid/>
        <w:spacing w:beforeLines="0" w:afterLines="0" w:line="520" w:lineRule="exact"/>
        <w:ind w:firstLine="645"/>
        <w:jc w:val="left"/>
        <w:textAlignment w:val="auto"/>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pPr>
      <w:r>
        <w:rPr>
          <w:rFonts w:hint="eastAsia" w:ascii="仿宋_GB2312" w:hAnsi="微软雅黑" w:eastAsia="仿宋_GB2312" w:cs="仿宋_GB2312"/>
          <w:snapToGrid w:val="0"/>
          <w:color w:val="333333"/>
          <w:kern w:val="2"/>
          <w:sz w:val="31"/>
          <w:szCs w:val="31"/>
          <w:highlight w:val="none"/>
          <w:shd w:val="clear" w:color="auto" w:fill="FFFFFF"/>
          <w:lang w:val="en-US" w:eastAsia="zh-CN" w:bidi="ar-SA"/>
        </w:rPr>
        <w:t>进一步加强资金管理力度，严格把关资金使用情况，减少不必要的开支。</w:t>
      </w:r>
    </w:p>
    <w:p w14:paraId="3B556826">
      <w:pPr>
        <w:widowControl/>
        <w:numPr>
          <w:ilvl w:val="0"/>
          <w:numId w:val="3"/>
        </w:numPr>
        <w:spacing w:line="520" w:lineRule="exact"/>
        <w:ind w:firstLine="645"/>
        <w:jc w:val="left"/>
        <w:rPr>
          <w:rFonts w:hint="eastAsia" w:ascii="Times New Roman" w:hAnsi="Times New Roman" w:eastAsia="仿宋_GB2312" w:cs="Times New Roman"/>
          <w:color w:val="000000"/>
          <w:sz w:val="32"/>
          <w:szCs w:val="32"/>
          <w:highlight w:val="none"/>
          <w:lang w:val="en-US" w:eastAsia="zh-CN"/>
        </w:rPr>
      </w:pPr>
      <w:r>
        <w:rPr>
          <w:rFonts w:hint="eastAsia" w:eastAsia="黑体"/>
          <w:sz w:val="32"/>
          <w:szCs w:val="32"/>
          <w:highlight w:val="none"/>
          <w:lang w:val="en-US" w:eastAsia="zh-CN"/>
        </w:rPr>
        <w:t>绩效自评结果及</w:t>
      </w:r>
      <w:r>
        <w:rPr>
          <w:rFonts w:eastAsia="黑体"/>
          <w:sz w:val="32"/>
          <w:szCs w:val="32"/>
          <w:highlight w:val="none"/>
        </w:rPr>
        <w:t>其他需要说明的情况</w:t>
      </w:r>
    </w:p>
    <w:p w14:paraId="665EDBF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sectPr>
          <w:pgSz w:w="11906" w:h="16838"/>
          <w:pgMar w:top="1440" w:right="1797" w:bottom="1440" w:left="179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r>
        <w:rPr>
          <w:rFonts w:hint="eastAsia" w:ascii="Times New Roman" w:hAnsi="Times New Roman" w:eastAsia="仿宋_GB2312" w:cs="Times New Roman"/>
          <w:color w:val="000000"/>
          <w:sz w:val="32"/>
          <w:szCs w:val="32"/>
          <w:highlight w:val="none"/>
          <w:lang w:val="en-US" w:eastAsia="zh-CN"/>
        </w:rPr>
        <w:t>无。</w:t>
      </w:r>
      <w:bookmarkStart w:id="0" w:name="_GoBack"/>
      <w:bookmarkEnd w:id="0"/>
    </w:p>
    <w:p w14:paraId="71AC136F">
      <w:pPr>
        <w:widowControl/>
        <w:numPr>
          <w:ilvl w:val="0"/>
          <w:numId w:val="0"/>
        </w:numPr>
        <w:spacing w:line="520" w:lineRule="exact"/>
        <w:jc w:val="left"/>
        <w:rPr>
          <w:rFonts w:eastAsia="黑体"/>
          <w:sz w:val="32"/>
          <w:szCs w:val="32"/>
          <w:highlight w:val="none"/>
        </w:rPr>
      </w:pP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485E3F-0D4B-4A24-BD89-489916908B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70DD97-46AB-4AD5-92E0-74403401C313}"/>
  </w:font>
  <w:font w:name="仿宋">
    <w:panose1 w:val="02010609060101010101"/>
    <w:charset w:val="86"/>
    <w:family w:val="auto"/>
    <w:pitch w:val="default"/>
    <w:sig w:usb0="800002BF" w:usb1="38CF7CFA" w:usb2="00000016" w:usb3="00000000" w:csb0="00040001" w:csb1="00000000"/>
    <w:embedRegular r:id="rId3" w:fontKey="{6E2B4E90-E6A4-46CD-BEF4-73CA8912CCA1}"/>
  </w:font>
  <w:font w:name="方正小标宋简体">
    <w:panose1 w:val="02000000000000000000"/>
    <w:charset w:val="86"/>
    <w:family w:val="script"/>
    <w:pitch w:val="default"/>
    <w:sig w:usb0="00000001" w:usb1="08000000" w:usb2="00000000" w:usb3="00000000" w:csb0="00040000" w:csb1="00000000"/>
    <w:embedRegular r:id="rId4" w:fontKey="{1830EEEE-F45B-40AD-BA39-010329D1528C}"/>
  </w:font>
  <w:font w:name="楷体_GB2312">
    <w:altName w:val="楷体"/>
    <w:panose1 w:val="02010609030101010101"/>
    <w:charset w:val="86"/>
    <w:family w:val="modern"/>
    <w:pitch w:val="default"/>
    <w:sig w:usb0="00000000" w:usb1="00000000" w:usb2="00000000" w:usb3="00000000" w:csb0="00040000" w:csb1="00000000"/>
    <w:embedRegular r:id="rId5" w:fontKey="{B7860F73-DE30-4B39-851B-CA6B3BE167F1}"/>
  </w:font>
  <w:font w:name="仿宋_GB2312">
    <w:altName w:val="仿宋"/>
    <w:panose1 w:val="02010609030101010101"/>
    <w:charset w:val="86"/>
    <w:family w:val="modern"/>
    <w:pitch w:val="default"/>
    <w:sig w:usb0="00000000" w:usb1="00000000" w:usb2="00000000" w:usb3="00000000" w:csb0="00040000" w:csb1="00000000"/>
    <w:embedRegular r:id="rId6" w:fontKey="{E19AECF6-A8C0-41C7-A876-BBFF9BE40ABA}"/>
  </w:font>
  <w:font w:name="微软雅黑">
    <w:panose1 w:val="020B0503020204020204"/>
    <w:charset w:val="86"/>
    <w:family w:val="auto"/>
    <w:pitch w:val="default"/>
    <w:sig w:usb0="80000287" w:usb1="280F3C52" w:usb2="00000016" w:usb3="00000000" w:csb0="0004001F" w:csb1="00000000"/>
    <w:embedRegular r:id="rId7" w:fontKey="{06A13882-ED70-47BC-9ADB-8F8A77D2049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3DBF4F8E"/>
    <w:multiLevelType w:val="singleLevel"/>
    <w:tmpl w:val="3DBF4F8E"/>
    <w:lvl w:ilvl="0" w:tentative="0">
      <w:start w:val="9"/>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TYyZTk2NTdmMDViZWVjZDFhOGYxYTYwMjJjMjcifQ=="/>
  </w:docVars>
  <w:rsids>
    <w:rsidRoot w:val="00000000"/>
    <w:rsid w:val="00BE32F3"/>
    <w:rsid w:val="00D5063D"/>
    <w:rsid w:val="01121891"/>
    <w:rsid w:val="01C62F2B"/>
    <w:rsid w:val="01EC5C3E"/>
    <w:rsid w:val="02497534"/>
    <w:rsid w:val="025D115D"/>
    <w:rsid w:val="02785724"/>
    <w:rsid w:val="02E96621"/>
    <w:rsid w:val="031501B1"/>
    <w:rsid w:val="04003C23"/>
    <w:rsid w:val="04D87E49"/>
    <w:rsid w:val="06180320"/>
    <w:rsid w:val="069C40D7"/>
    <w:rsid w:val="08517143"/>
    <w:rsid w:val="08A7404B"/>
    <w:rsid w:val="09E0252C"/>
    <w:rsid w:val="0AC84860"/>
    <w:rsid w:val="0B4F5C9B"/>
    <w:rsid w:val="0B8B11A9"/>
    <w:rsid w:val="0B9A0505"/>
    <w:rsid w:val="0C197F77"/>
    <w:rsid w:val="0D927F4F"/>
    <w:rsid w:val="0DB55732"/>
    <w:rsid w:val="0FAE4E7B"/>
    <w:rsid w:val="0FD22917"/>
    <w:rsid w:val="0FE708DB"/>
    <w:rsid w:val="11D72467"/>
    <w:rsid w:val="12D76496"/>
    <w:rsid w:val="13B474CB"/>
    <w:rsid w:val="14AE3227"/>
    <w:rsid w:val="15187863"/>
    <w:rsid w:val="154A1C7B"/>
    <w:rsid w:val="15973CBB"/>
    <w:rsid w:val="15BF56EC"/>
    <w:rsid w:val="16FF7D6A"/>
    <w:rsid w:val="17E01B36"/>
    <w:rsid w:val="17EC02EE"/>
    <w:rsid w:val="183323C1"/>
    <w:rsid w:val="18C96881"/>
    <w:rsid w:val="18F76ABE"/>
    <w:rsid w:val="1AFC1190"/>
    <w:rsid w:val="1B32070E"/>
    <w:rsid w:val="1C4D7DB5"/>
    <w:rsid w:val="1C774776"/>
    <w:rsid w:val="1CC161ED"/>
    <w:rsid w:val="1D04257E"/>
    <w:rsid w:val="1D7C2592"/>
    <w:rsid w:val="1E5A29B0"/>
    <w:rsid w:val="1F8064FB"/>
    <w:rsid w:val="1F9B509B"/>
    <w:rsid w:val="20AE6A88"/>
    <w:rsid w:val="21134B3E"/>
    <w:rsid w:val="23264FFC"/>
    <w:rsid w:val="23390004"/>
    <w:rsid w:val="23555A8B"/>
    <w:rsid w:val="24575DED"/>
    <w:rsid w:val="247578BD"/>
    <w:rsid w:val="24A537F4"/>
    <w:rsid w:val="26D22DA5"/>
    <w:rsid w:val="288D78CB"/>
    <w:rsid w:val="289B3D96"/>
    <w:rsid w:val="28CB3F50"/>
    <w:rsid w:val="28F416F8"/>
    <w:rsid w:val="28F96D0F"/>
    <w:rsid w:val="290D2324"/>
    <w:rsid w:val="29901F0B"/>
    <w:rsid w:val="2B4C75CA"/>
    <w:rsid w:val="2E220AB6"/>
    <w:rsid w:val="2E8150F8"/>
    <w:rsid w:val="30875D4C"/>
    <w:rsid w:val="32290665"/>
    <w:rsid w:val="3324596F"/>
    <w:rsid w:val="34AB35B3"/>
    <w:rsid w:val="35B77D36"/>
    <w:rsid w:val="35CB6416"/>
    <w:rsid w:val="36857E34"/>
    <w:rsid w:val="36E55BDB"/>
    <w:rsid w:val="3721576A"/>
    <w:rsid w:val="37D050DF"/>
    <w:rsid w:val="380F5C07"/>
    <w:rsid w:val="381C20D2"/>
    <w:rsid w:val="3836588A"/>
    <w:rsid w:val="38CC1D4A"/>
    <w:rsid w:val="38D67AE9"/>
    <w:rsid w:val="39CF2F25"/>
    <w:rsid w:val="39D32C64"/>
    <w:rsid w:val="3A6A7A6C"/>
    <w:rsid w:val="3B182ADC"/>
    <w:rsid w:val="3C8A1A8D"/>
    <w:rsid w:val="3CE5162C"/>
    <w:rsid w:val="3D017000"/>
    <w:rsid w:val="3E6D4B50"/>
    <w:rsid w:val="40132F91"/>
    <w:rsid w:val="4047615A"/>
    <w:rsid w:val="42C436AE"/>
    <w:rsid w:val="42D35834"/>
    <w:rsid w:val="43A55671"/>
    <w:rsid w:val="440C3942"/>
    <w:rsid w:val="44611DB2"/>
    <w:rsid w:val="455B1E72"/>
    <w:rsid w:val="47482EE3"/>
    <w:rsid w:val="47794E4B"/>
    <w:rsid w:val="47D72099"/>
    <w:rsid w:val="48B6797B"/>
    <w:rsid w:val="495F2766"/>
    <w:rsid w:val="497C6E74"/>
    <w:rsid w:val="49ED7D72"/>
    <w:rsid w:val="4A297978"/>
    <w:rsid w:val="4A9326C8"/>
    <w:rsid w:val="4AE50A49"/>
    <w:rsid w:val="4B2E419E"/>
    <w:rsid w:val="4B4334AB"/>
    <w:rsid w:val="4B4603EA"/>
    <w:rsid w:val="4C0373D9"/>
    <w:rsid w:val="4CD3647F"/>
    <w:rsid w:val="50137E07"/>
    <w:rsid w:val="50B15470"/>
    <w:rsid w:val="50BB4726"/>
    <w:rsid w:val="51360251"/>
    <w:rsid w:val="51DC7BFC"/>
    <w:rsid w:val="520E0886"/>
    <w:rsid w:val="521265C8"/>
    <w:rsid w:val="52306A4E"/>
    <w:rsid w:val="52650DED"/>
    <w:rsid w:val="528F1AE6"/>
    <w:rsid w:val="52946FDD"/>
    <w:rsid w:val="52EB0BC7"/>
    <w:rsid w:val="53C20DFC"/>
    <w:rsid w:val="53EE716F"/>
    <w:rsid w:val="5403276E"/>
    <w:rsid w:val="54C57A37"/>
    <w:rsid w:val="55387778"/>
    <w:rsid w:val="556709D9"/>
    <w:rsid w:val="564367C8"/>
    <w:rsid w:val="569E48CE"/>
    <w:rsid w:val="57032983"/>
    <w:rsid w:val="58005F43"/>
    <w:rsid w:val="5829466B"/>
    <w:rsid w:val="583A0626"/>
    <w:rsid w:val="58685464"/>
    <w:rsid w:val="5A1F5D26"/>
    <w:rsid w:val="5A4A2677"/>
    <w:rsid w:val="5A520670"/>
    <w:rsid w:val="5B351579"/>
    <w:rsid w:val="5BA27B6D"/>
    <w:rsid w:val="5BAF6C35"/>
    <w:rsid w:val="5C0C796C"/>
    <w:rsid w:val="5D126743"/>
    <w:rsid w:val="5D2C7BC3"/>
    <w:rsid w:val="5D681792"/>
    <w:rsid w:val="5DC32E6C"/>
    <w:rsid w:val="5DF72B16"/>
    <w:rsid w:val="5E54073A"/>
    <w:rsid w:val="5E5F6487"/>
    <w:rsid w:val="60AE1BB1"/>
    <w:rsid w:val="60B60A66"/>
    <w:rsid w:val="636D0F35"/>
    <w:rsid w:val="64276F94"/>
    <w:rsid w:val="64487C27"/>
    <w:rsid w:val="64F87C89"/>
    <w:rsid w:val="663D7E90"/>
    <w:rsid w:val="67A755AC"/>
    <w:rsid w:val="692E7D33"/>
    <w:rsid w:val="697D0373"/>
    <w:rsid w:val="69840930"/>
    <w:rsid w:val="69D1246D"/>
    <w:rsid w:val="6A445335"/>
    <w:rsid w:val="6A4F3C09"/>
    <w:rsid w:val="6BF012D0"/>
    <w:rsid w:val="6D2154B9"/>
    <w:rsid w:val="6D8A7447"/>
    <w:rsid w:val="6F1C062E"/>
    <w:rsid w:val="6FFA2E4B"/>
    <w:rsid w:val="70041B6B"/>
    <w:rsid w:val="705A140E"/>
    <w:rsid w:val="709A03B2"/>
    <w:rsid w:val="709F3E68"/>
    <w:rsid w:val="720F2993"/>
    <w:rsid w:val="722103D4"/>
    <w:rsid w:val="723C2892"/>
    <w:rsid w:val="72C963D7"/>
    <w:rsid w:val="735956FC"/>
    <w:rsid w:val="736E5FF6"/>
    <w:rsid w:val="746960C4"/>
    <w:rsid w:val="751B470E"/>
    <w:rsid w:val="757A1C0A"/>
    <w:rsid w:val="75977ACC"/>
    <w:rsid w:val="76A96C4B"/>
    <w:rsid w:val="77493A46"/>
    <w:rsid w:val="79587431"/>
    <w:rsid w:val="79CE69C9"/>
    <w:rsid w:val="79F44681"/>
    <w:rsid w:val="7B566C76"/>
    <w:rsid w:val="7BC71395"/>
    <w:rsid w:val="7C151AC3"/>
    <w:rsid w:val="7C926B72"/>
    <w:rsid w:val="7EE60311"/>
    <w:rsid w:val="7EFB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Lines="0" w:beforeAutospacing="1" w:after="100" w:afterLines="0" w:afterAutospacing="1"/>
      <w:jc w:val="left"/>
    </w:pPr>
    <w:rPr>
      <w:rFonts w:hint="default"/>
      <w:kern w:val="0"/>
      <w:sz w:val="24"/>
      <w:szCs w:val="24"/>
      <w:lang w:val="en-US" w:eastAsia="zh-CN" w:bidi="ar"/>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3303</Words>
  <Characters>3515</Characters>
  <Lines>0</Lines>
  <Paragraphs>0</Paragraphs>
  <TotalTime>12</TotalTime>
  <ScaleCrop>false</ScaleCrop>
  <LinksUpToDate>false</LinksUpToDate>
  <CharactersWithSpaces>3517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小葫芦</cp:lastModifiedBy>
  <dcterms:modified xsi:type="dcterms:W3CDTF">2024-09-02T10:53:32Z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DEC29D6FF1984251977FAFE43F2C91AB_12</vt:lpwstr>
  </property>
</Properties>
</file>