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ordWrap/>
        <w:topLinePunct w:val="0"/>
        <w:bidi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2023年度炎陵县炎帝陵管理局</w:t>
      </w: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keepNext w:val="0"/>
        <w:keepLines w:val="0"/>
        <w:pageBreakBefore w:val="0"/>
        <w:wordWrap/>
        <w:topLinePunct w:val="0"/>
        <w:bidi w:val="0"/>
        <w:spacing w:line="560" w:lineRule="exact"/>
        <w:jc w:val="center"/>
        <w:rPr>
          <w:rFonts w:eastAsia="楷体_GB2312"/>
          <w:sz w:val="32"/>
          <w:szCs w:val="32"/>
        </w:rPr>
      </w:pPr>
    </w:p>
    <w:p>
      <w:pPr>
        <w:pStyle w:val="2"/>
        <w:keepNext w:val="0"/>
        <w:keepLines w:val="0"/>
        <w:pageBreakBefore w:val="0"/>
        <w:wordWrap/>
        <w:topLinePunct w:val="0"/>
        <w:bidi w:val="0"/>
        <w:spacing w:line="560" w:lineRule="exact"/>
        <w:rPr>
          <w:rFonts w:eastAsia="楷体_GB2312"/>
          <w:sz w:val="32"/>
          <w:szCs w:val="32"/>
        </w:rPr>
      </w:pPr>
    </w:p>
    <w:p>
      <w:pPr>
        <w:keepNext w:val="0"/>
        <w:keepLines w:val="0"/>
        <w:pageBreakBefore w:val="0"/>
        <w:wordWrap/>
        <w:topLinePunct w:val="0"/>
        <w:bidi w:val="0"/>
        <w:spacing w:line="560" w:lineRule="exact"/>
      </w:pPr>
    </w:p>
    <w:p>
      <w:pPr>
        <w:keepNext w:val="0"/>
        <w:keepLines w:val="0"/>
        <w:pageBreakBefore w:val="0"/>
        <w:wordWrap/>
        <w:topLinePunct w:val="0"/>
        <w:bidi w:val="0"/>
        <w:spacing w:line="560" w:lineRule="exact"/>
        <w:jc w:val="center"/>
        <w:rPr>
          <w:rFonts w:eastAsia="楷体_GB2312"/>
          <w:sz w:val="32"/>
          <w:szCs w:val="32"/>
        </w:rPr>
      </w:pPr>
    </w:p>
    <w:p>
      <w:pPr>
        <w:keepNext w:val="0"/>
        <w:keepLines w:val="0"/>
        <w:pageBreakBefore w:val="0"/>
        <w:wordWrap/>
        <w:topLinePunct w:val="0"/>
        <w:bidi w:val="0"/>
        <w:spacing w:line="560" w:lineRule="exact"/>
        <w:jc w:val="center"/>
        <w:rPr>
          <w:rFonts w:eastAsia="楷体_GB2312"/>
          <w:sz w:val="32"/>
          <w:szCs w:val="32"/>
        </w:rPr>
      </w:pPr>
    </w:p>
    <w:p>
      <w:pPr>
        <w:keepNext w:val="0"/>
        <w:keepLines w:val="0"/>
        <w:pageBreakBefore w:val="0"/>
        <w:wordWrap/>
        <w:topLinePunct w:val="0"/>
        <w:bidi w:val="0"/>
        <w:spacing w:line="560" w:lineRule="exact"/>
        <w:jc w:val="center"/>
        <w:rPr>
          <w:rFonts w:eastAsia="楷体_GB2312"/>
          <w:sz w:val="32"/>
          <w:szCs w:val="32"/>
        </w:rPr>
      </w:pPr>
    </w:p>
    <w:p>
      <w:pPr>
        <w:keepNext w:val="0"/>
        <w:keepLines w:val="0"/>
        <w:pageBreakBefore w:val="0"/>
        <w:wordWrap/>
        <w:topLinePunct w:val="0"/>
        <w:bidi w:val="0"/>
        <w:spacing w:line="560" w:lineRule="exact"/>
        <w:jc w:val="center"/>
        <w:rPr>
          <w:rFonts w:eastAsia="楷体_GB2312"/>
          <w:sz w:val="32"/>
          <w:szCs w:val="32"/>
        </w:rPr>
      </w:pPr>
    </w:p>
    <w:p>
      <w:pPr>
        <w:keepNext w:val="0"/>
        <w:keepLines w:val="0"/>
        <w:pageBreakBefore w:val="0"/>
        <w:wordWrap/>
        <w:topLinePunct w:val="0"/>
        <w:bidi w:val="0"/>
        <w:spacing w:line="560" w:lineRule="exact"/>
        <w:jc w:val="center"/>
        <w:rPr>
          <w:rFonts w:eastAsia="楷体_GB2312"/>
          <w:sz w:val="32"/>
          <w:szCs w:val="32"/>
        </w:rPr>
      </w:pPr>
    </w:p>
    <w:p>
      <w:pPr>
        <w:keepNext w:val="0"/>
        <w:keepLines w:val="0"/>
        <w:pageBreakBefore w:val="0"/>
        <w:wordWrap/>
        <w:topLinePunct w:val="0"/>
        <w:bidi w:val="0"/>
        <w:spacing w:line="560" w:lineRule="exact"/>
        <w:jc w:val="center"/>
        <w:rPr>
          <w:rFonts w:eastAsia="楷体_GB2312"/>
          <w:sz w:val="32"/>
          <w:szCs w:val="32"/>
        </w:rPr>
      </w:pPr>
    </w:p>
    <w:p>
      <w:pPr>
        <w:pStyle w:val="2"/>
        <w:keepNext w:val="0"/>
        <w:keepLines w:val="0"/>
        <w:pageBreakBefore w:val="0"/>
        <w:wordWrap/>
        <w:topLinePunct w:val="0"/>
        <w:bidi w:val="0"/>
        <w:spacing w:line="560" w:lineRule="exact"/>
        <w:rPr>
          <w:rFonts w:eastAsia="楷体_GB2312"/>
          <w:sz w:val="32"/>
          <w:szCs w:val="32"/>
        </w:rPr>
      </w:pPr>
    </w:p>
    <w:p>
      <w:pPr>
        <w:keepNext w:val="0"/>
        <w:keepLines w:val="0"/>
        <w:pageBreakBefore w:val="0"/>
        <w:wordWrap/>
        <w:topLinePunct w:val="0"/>
        <w:bidi w:val="0"/>
        <w:spacing w:line="560" w:lineRule="exact"/>
      </w:pPr>
    </w:p>
    <w:p>
      <w:pPr>
        <w:keepNext w:val="0"/>
        <w:keepLines w:val="0"/>
        <w:pageBreakBefore w:val="0"/>
        <w:wordWrap/>
        <w:topLinePunct w:val="0"/>
        <w:bidi w:val="0"/>
        <w:spacing w:line="56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pPr>
        <w:keepNext w:val="0"/>
        <w:keepLines w:val="0"/>
        <w:pageBreakBefore w:val="0"/>
        <w:wordWrap/>
        <w:topLinePunct w:val="0"/>
        <w:bidi w:val="0"/>
        <w:spacing w:line="560" w:lineRule="exact"/>
        <w:jc w:val="center"/>
        <w:rPr>
          <w:rFonts w:hint="eastAsia" w:ascii="黑体" w:hAnsi="黑体" w:eastAsia="黑体" w:cs="黑体"/>
          <w:sz w:val="36"/>
          <w:szCs w:val="36"/>
          <w:lang w:val="en-US" w:eastAsia="zh-CN"/>
        </w:rPr>
      </w:pPr>
    </w:p>
    <w:p>
      <w:pPr>
        <w:keepNext w:val="0"/>
        <w:keepLines w:val="0"/>
        <w:pageBreakBefore w:val="0"/>
        <w:wordWrap/>
        <w:topLinePunct w:val="0"/>
        <w:bidi w:val="0"/>
        <w:spacing w:line="560" w:lineRule="exact"/>
        <w:jc w:val="center"/>
        <w:rPr>
          <w:rFonts w:hint="eastAsia" w:ascii="黑体" w:hAnsi="黑体" w:eastAsia="黑体" w:cs="黑体"/>
          <w:sz w:val="36"/>
          <w:szCs w:val="36"/>
          <w:lang w:val="en-US" w:eastAsia="zh-CN"/>
        </w:rPr>
      </w:pPr>
    </w:p>
    <w:p>
      <w:pPr>
        <w:keepNext w:val="0"/>
        <w:keepLines w:val="0"/>
        <w:pageBreakBefore w:val="0"/>
        <w:wordWrap/>
        <w:topLinePunct w:val="0"/>
        <w:bidi w:val="0"/>
        <w:spacing w:line="560" w:lineRule="exact"/>
        <w:jc w:val="center"/>
        <w:rPr>
          <w:rFonts w:hint="eastAsia" w:ascii="黑体" w:hAnsi="黑体" w:eastAsia="黑体" w:cs="黑体"/>
          <w:sz w:val="36"/>
          <w:szCs w:val="36"/>
          <w:lang w:val="en-US" w:eastAsia="zh-CN"/>
        </w:rPr>
      </w:pPr>
    </w:p>
    <w:p>
      <w:pPr>
        <w:keepNext w:val="0"/>
        <w:keepLines w:val="0"/>
        <w:pageBreakBefore w:val="0"/>
        <w:wordWrap/>
        <w:topLinePunct w:val="0"/>
        <w:bidi w:val="0"/>
        <w:spacing w:line="560" w:lineRule="exact"/>
        <w:jc w:val="center"/>
        <w:rPr>
          <w:rFonts w:hint="eastAsia" w:ascii="黑体" w:hAnsi="黑体" w:eastAsia="黑体" w:cs="黑体"/>
          <w:sz w:val="36"/>
          <w:szCs w:val="36"/>
          <w:lang w:val="en-US" w:eastAsia="zh-CN"/>
        </w:rPr>
      </w:pPr>
    </w:p>
    <w:p>
      <w:pPr>
        <w:pStyle w:val="12"/>
        <w:keepNext w:val="0"/>
        <w:keepLines w:val="0"/>
        <w:pageBreakBefore w:val="0"/>
        <w:widowControl/>
        <w:numPr>
          <w:numId w:val="0"/>
        </w:numPr>
        <w:wordWrap/>
        <w:topLinePunct w:val="0"/>
        <w:bidi w:val="0"/>
        <w:spacing w:line="560" w:lineRule="exact"/>
        <w:rPr>
          <w:rFonts w:ascii="Times New Roman" w:hAnsi="Times New Roman" w:eastAsia="黑体"/>
          <w:sz w:val="32"/>
          <w:szCs w:val="32"/>
        </w:rPr>
        <w:sectPr>
          <w:headerReference r:id="rId5" w:type="default"/>
          <w:footerReference r:id="rId6" w:type="default"/>
          <w:pgSz w:w="11906" w:h="16838"/>
          <w:pgMar w:top="2098" w:right="1474" w:bottom="1984" w:left="1587" w:header="851" w:footer="992" w:gutter="0"/>
          <w:pgNumType w:fmt="decimal" w:start="0"/>
          <w:cols w:space="425" w:num="1"/>
          <w:docGrid w:type="lines" w:linePitch="312" w:charSpace="0"/>
        </w:sectPr>
      </w:pPr>
    </w:p>
    <w:p>
      <w:pPr>
        <w:pStyle w:val="12"/>
        <w:keepNext w:val="0"/>
        <w:keepLines w:val="0"/>
        <w:pageBreakBefore w:val="0"/>
        <w:widowControl/>
        <w:numPr>
          <w:ilvl w:val="0"/>
          <w:numId w:val="1"/>
        </w:numPr>
        <w:wordWrap/>
        <w:topLinePunct w:val="0"/>
        <w:bidi w:val="0"/>
        <w:spacing w:line="560" w:lineRule="exact"/>
        <w:ind w:firstLine="640"/>
        <w:rPr>
          <w:rFonts w:ascii="Times New Roman" w:hAnsi="Times New Roman" w:eastAsia="黑体"/>
          <w:sz w:val="32"/>
          <w:szCs w:val="32"/>
        </w:rPr>
      </w:pPr>
      <w:r>
        <w:rPr>
          <w:rFonts w:ascii="Times New Roman" w:hAnsi="Times New Roman" w:eastAsia="黑体"/>
          <w:sz w:val="32"/>
          <w:szCs w:val="32"/>
        </w:rPr>
        <w:t>基本情况</w:t>
      </w:r>
    </w:p>
    <w:p>
      <w:pPr>
        <w:pStyle w:val="12"/>
        <w:keepNext w:val="0"/>
        <w:keepLines w:val="0"/>
        <w:pageBreakBefore w:val="0"/>
        <w:widowControl/>
        <w:numPr>
          <w:ilvl w:val="0"/>
          <w:numId w:val="2"/>
        </w:numPr>
        <w:wordWrap/>
        <w:topLinePunct w:val="0"/>
        <w:bidi w:val="0"/>
        <w:spacing w:line="56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pPr>
        <w:keepNext w:val="0"/>
        <w:keepLines w:val="0"/>
        <w:pageBreakBefore w:val="0"/>
        <w:widowControl/>
        <w:wordWrap/>
        <w:topLinePunct w:val="0"/>
        <w:bidi w:val="0"/>
        <w:snapToGrid/>
        <w:spacing w:line="56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sz w:val="32"/>
          <w:szCs w:val="32"/>
        </w:rPr>
        <w:t>1</w:t>
      </w:r>
      <w:r>
        <w:rPr>
          <w:rFonts w:hint="eastAsia" w:ascii="仿宋_GB2312" w:hAnsi="仿宋" w:eastAsia="仿宋_GB2312" w:cs="Times New Roman"/>
          <w:sz w:val="32"/>
          <w:szCs w:val="32"/>
          <w:lang w:val="en-US" w:eastAsia="zh-CN"/>
        </w:rPr>
        <w:t>．主要职能。</w:t>
      </w:r>
    </w:p>
    <w:p>
      <w:pPr>
        <w:keepNext w:val="0"/>
        <w:keepLines w:val="0"/>
        <w:pageBreakBefore w:val="0"/>
        <w:widowControl/>
        <w:wordWrap/>
        <w:topLinePunct w:val="0"/>
        <w:bidi w:val="0"/>
        <w:snapToGrid/>
        <w:spacing w:line="56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炎陵县炎帝陵管理局（副处级，公益一类事业单位），属县人民政府直管工作部门，本部门无下属预算单位，炎帝陵管理局内设办公室、资源管理科、旅游开发科、文物保护科、风景名胜科、安全保卫科六个副科级职能科室。截止2023年12月底炎帝陵管理局编制数为26名，在编在职人员26人，退休人员7人，遗属2人。</w:t>
      </w:r>
    </w:p>
    <w:p>
      <w:pPr>
        <w:keepNext w:val="0"/>
        <w:keepLines w:val="0"/>
        <w:pageBreakBefore w:val="0"/>
        <w:widowControl/>
        <w:wordWrap/>
        <w:topLinePunct w:val="0"/>
        <w:bidi w:val="0"/>
        <w:snapToGrid/>
        <w:spacing w:line="56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负责炎帝陵文物保护；负责炎帝陵风景名胜区管理、保护、利用；负责炎帝陵风景名胜区的资源保护、利用和统一管理；负责实施景区景点建设、景区旅游管理、祭祖活动现场组织接待、负责景区全国爱国主义教育基地、海峡两岸文化交流基地、中华全国归国华侨爱国主义教育基地、井冈山干部学院社会实践教学基地、省党风廉政教育基地的宣传推介工作。</w:t>
      </w:r>
    </w:p>
    <w:p>
      <w:pPr>
        <w:pStyle w:val="12"/>
        <w:keepNext w:val="0"/>
        <w:keepLines w:val="0"/>
        <w:pageBreakBefore w:val="0"/>
        <w:widowControl/>
        <w:numPr>
          <w:ilvl w:val="0"/>
          <w:numId w:val="2"/>
        </w:numPr>
        <w:wordWrap/>
        <w:topLinePunct w:val="0"/>
        <w:bidi w:val="0"/>
        <w:spacing w:line="56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贯彻执行中央、省、市有关风景名胜区管理、保护、利用及国家级文物保护的法律法规和方针政策；负责贯彻落实《旅游法》关于景区服务质量等级规定；负责拟订炎帝陵风景名胜区管理有关规定，经批准后发布并组织实施。负责炎帝陵风景名胜区的资源保护、利用和统一管理工</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2.负责组织编制、修订、论证、报批《炎帝陵风景名胜区总体规划》和《炎帝陵风景名胜区详细规划》并组织实施；负责风景名胜区规划建设管理工作。</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立健全风景名胜区资源保护的各项管理制度；负责对风景名胜区的重要景观资源进行调查、登记、监测、鉴定，并采取有效措施进行保护；负责对风景名胜区内从事经营活动、广告设置张贴、举办大型游乐和节庆活动、改变水资源和水环境活动、以及其他影响生态和景观活动的审核。</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4.负责巩固提升景区质量标准等级创建成果，建立质量标准等级成果巩固提升工作体系，定期对景区组织检查，发现问题，提出整改意见，指导、协调、督促、落实巩固提升工作。</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强文物保护的宣传教育，普及炎帝文化和炎帝文化相关知识；负责组织、策划、筹备景区各类祭祀、接待及文化研究活动。负责炎帝陵文物的保护和利用工作，收集与炎帝陵相关的物件、资料、书籍，并整理“准文物”背后的故事。开展寻找和抢救炎帝文化相关文物的工作，开展相关文物故事整理记录工作。挖掘整理文物故事，定期举办文物展览。</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会同有关行政主管部门实施炎帝陵风景名胜区资源保护和开发利用的行政许可和行政执法等具体行政行为；负责炎帝陵风景名胜区社会管理综合治理工作；配合依法查处违反风景名胜资源保护管理规定的各种违法、违规、违章行为；负责配合依法处理景区内乱建、乱占、乱挖、乱采事件。</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7.负责景区全国爱国主义教育基地、海峡两岸文化交流基地、中华全国归国华侨爱国主义教育基地、井冈山干部学院社会实践教学基地、省党风廉政教育基地的宣传推介工作。</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8.负责单位日常行政、人事、财务和国有资产管理工作。</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9.承担县委、县人民政府和上级主管部门交办的其他事项。 </w:t>
      </w:r>
    </w:p>
    <w:p>
      <w:pPr>
        <w:pStyle w:val="12"/>
        <w:keepNext w:val="0"/>
        <w:keepLines w:val="0"/>
        <w:pageBreakBefore w:val="0"/>
        <w:widowControl/>
        <w:wordWrap/>
        <w:topLinePunct w:val="0"/>
        <w:bidi w:val="0"/>
        <w:spacing w:line="56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炎陵县炎帝陵管理局2023年财政拨款支出共计742.71万元，其中基本支出555.31万元（人员经费372.39万元，日常公用经费182.92万元），项目支出187.4万元。</w:t>
      </w:r>
    </w:p>
    <w:p>
      <w:pPr>
        <w:pStyle w:val="12"/>
        <w:keepNext w:val="0"/>
        <w:keepLines w:val="0"/>
        <w:pageBreakBefore w:val="0"/>
        <w:widowControl/>
        <w:wordWrap/>
        <w:topLinePunct w:val="0"/>
        <w:bidi w:val="0"/>
        <w:spacing w:line="560" w:lineRule="exact"/>
        <w:ind w:left="640" w:firstLine="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（一）基本支出情况</w:t>
      </w:r>
      <w:r>
        <w:rPr>
          <w:rFonts w:hint="eastAsia" w:ascii="楷体_GB2312" w:hAnsi="楷体_GB2312" w:eastAsia="楷体_GB2312" w:cs="楷体_GB2312"/>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炎陵县炎帝陵管理局基本支出555.31万元，其中：人员经费372.39万元，日常公用经费182.92万元。</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中基本工资支出123.72万元占33.22%，津贴补贴支出65.33万元占17.54%，奖金支出89.76万元占24.1%，机关事业养老保险缴费支出39.91万元占10.72%，职工基本医疗保障缴费支出16.64万元占4.47%，其他社会保障缴费支出3.48万元占0.93%，住房公积金支出32.65万元占8.77%，遗属生活补助支出0.09万元占0.25%。</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常公用经费支出中办公费支出10.41万元占5.69%，印刷费支出12.55万元占6.86%，咨询费支出10万元占5.47%，电费支出2.23万元占1.22%，邮电费支出0.0026万元占0.0014%，差旅费支出3万元占1.64%，维修（护）费支出5.28万元占2.89%，公务接待费支出4万元占2.19%，劳务费支出59.6万元占32.58%，工会经费支出14.69万元占8.03%，公务用车运行维护费3万元占1.64%，其他交通费支出8.3万元占4.54%，其他商品服务支出49.86万元占27.26%。</w:t>
      </w:r>
    </w:p>
    <w:p>
      <w:pPr>
        <w:pStyle w:val="12"/>
        <w:keepNext w:val="0"/>
        <w:keepLines w:val="0"/>
        <w:pageBreakBefore w:val="0"/>
        <w:widowControl/>
        <w:wordWrap/>
        <w:topLinePunct w:val="0"/>
        <w:bidi w:val="0"/>
        <w:spacing w:line="56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1、2023年县本级安排炎陵县炎帝陵管理局-炎帝陵防火经费专项资金5万元包括在基本支出日常公用经费支出中，支付防火带农药、除草剂等费用0.3万元，支付防火带清理劳务费4.7万元。</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2、炎帝陵防雷工程项目：湘财预[2022]200号文件和湘财预指[2020]214号文件下达资金180万元，本项目按进度付款，支付炎帝陵防雷工程款156.51万元，监理费6.81万元，设计费16.68万元。</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炎帝陵景区病虫害防治经费</w:t>
      </w:r>
      <w:r>
        <w:rPr>
          <w:rFonts w:hint="eastAsia" w:ascii="仿宋_GB2312" w:hAnsi="仿宋_GB2312" w:eastAsia="仿宋_GB2312" w:cs="仿宋_GB2312"/>
          <w:sz w:val="32"/>
          <w:szCs w:val="32"/>
          <w:lang w:val="en-US" w:eastAsia="zh-CN"/>
        </w:rPr>
        <w:t>：株财预{2022}72号文件下达资金7.41万元，支付炎帝陵景区2022年3月-2023年2月病虫害防治项目工程尾款7.41万元。</w:t>
      </w:r>
    </w:p>
    <w:p>
      <w:pPr>
        <w:pStyle w:val="12"/>
        <w:keepNext w:val="0"/>
        <w:keepLines w:val="0"/>
        <w:pageBreakBefore w:val="0"/>
        <w:widowControl/>
        <w:wordWrap/>
        <w:topLinePunct w:val="0"/>
        <w:bidi w:val="0"/>
        <w:spacing w:line="560" w:lineRule="exact"/>
        <w:ind w:left="0" w:leftChars="0"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三、政府性基金预算支</w:t>
      </w:r>
      <w:r>
        <w:rPr>
          <w:rFonts w:hint="eastAsia" w:ascii="Times New Roman" w:hAnsi="Times New Roman" w:eastAsia="黑体" w:cs="Times New Roman"/>
          <w:sz w:val="32"/>
          <w:szCs w:val="32"/>
        </w:rPr>
        <w:t>出情况</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Times New Roman" w:hAnsi="Times New Roman" w:eastAsia="黑体"/>
          <w:sz w:val="32"/>
          <w:szCs w:val="32"/>
          <w:lang w:eastAsia="zh-CN"/>
        </w:rPr>
      </w:pPr>
      <w:r>
        <w:rPr>
          <w:rFonts w:hint="eastAsia" w:ascii="仿宋_GB2312" w:hAnsi="仿宋_GB2312" w:eastAsia="仿宋_GB2312" w:cs="仿宋_GB2312"/>
          <w:sz w:val="32"/>
          <w:szCs w:val="32"/>
          <w:lang w:val="en-US" w:eastAsia="zh-CN"/>
        </w:rPr>
        <w:t>本单位2023年度无政府性基金预算支出。</w:t>
      </w:r>
    </w:p>
    <w:p>
      <w:pPr>
        <w:pStyle w:val="12"/>
        <w:keepNext w:val="0"/>
        <w:keepLines w:val="0"/>
        <w:pageBreakBefore w:val="0"/>
        <w:widowControl/>
        <w:wordWrap/>
        <w:topLinePunct w:val="0"/>
        <w:bidi w:val="0"/>
        <w:spacing w:line="560" w:lineRule="exact"/>
        <w:ind w:left="640" w:firstLine="0" w:firstLineChars="0"/>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四、国有资本经营预算支出情况</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本单位2023年度无国有资本经营预算支出。</w:t>
      </w:r>
    </w:p>
    <w:p>
      <w:pPr>
        <w:pStyle w:val="12"/>
        <w:keepNext w:val="0"/>
        <w:keepLines w:val="0"/>
        <w:pageBreakBefore w:val="0"/>
        <w:widowControl/>
        <w:wordWrap/>
        <w:topLinePunct w:val="0"/>
        <w:bidi w:val="0"/>
        <w:spacing w:line="560" w:lineRule="exact"/>
        <w:ind w:left="640" w:firstLine="0" w:firstLineChars="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五、社会保险基金预算支出情况</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本单位2023年度无社会保险基金预算支出。</w:t>
      </w:r>
    </w:p>
    <w:p>
      <w:pPr>
        <w:pStyle w:val="12"/>
        <w:keepNext w:val="0"/>
        <w:keepLines w:val="0"/>
        <w:pageBreakBefore w:val="0"/>
        <w:widowControl/>
        <w:wordWrap/>
        <w:topLinePunct w:val="0"/>
        <w:bidi w:val="0"/>
        <w:spacing w:line="560" w:lineRule="exact"/>
        <w:ind w:left="640" w:firstLine="0" w:firstLineChars="0"/>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六</w:t>
      </w:r>
      <w:r>
        <w:rPr>
          <w:rFonts w:hint="eastAsia" w:ascii="Times New Roman" w:hAnsi="Times New Roman" w:eastAsia="黑体"/>
          <w:sz w:val="32"/>
          <w:szCs w:val="32"/>
          <w:lang w:eastAsia="zh-CN"/>
        </w:rPr>
        <w:t>、部门整体支出绩效情况</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举办2023（癸卯）年海峡两岸炎帝神农文化研讨会和炎陵、安仁、茶陵“三县”炎帝文化研讨会，邀请专家开展炎帝文化知识讲座；出版发行《炎帝文化与中华文明》《话说炎帝神农氏》，编印《炎帝文化知识100问》，召开《炎帝</w:t>
      </w:r>
      <w:r>
        <w:rPr>
          <w:rFonts w:hint="eastAsia" w:ascii="仿宋_GB2312" w:hAnsi="仿宋_GB2312" w:eastAsia="仿宋_GB2312" w:cs="仿宋_GB2312"/>
          <w:b w:val="0"/>
          <w:bCs w:val="0"/>
          <w:color w:val="auto"/>
          <w:sz w:val="32"/>
          <w:szCs w:val="32"/>
          <w:lang w:val="en-US" w:eastAsia="zh-CN"/>
        </w:rPr>
        <w:t>文化与中华文明》新书发布会；在省侨联文化交流会上，炎帝陵中国华侨国际文化交流基地华侨文化交流工作获全省推介并作典型发言。二是加强炎帝品牌宣推。持续擦亮“中华始祖炎帝”品牌，成功举办规格高、规模大、内容最丰富的2023（癸卯）年海峡两岸炎帝神农文化交流大会，全国政协副主席何报翔出席，台湾岛内530多名信众参加，内容含炎帝陵拜谒仪式、文化论坛、文化演出。举办“癸卯年海峡两岸同胞新春炎帝陵祈福典礼”“寻中华始祖 品炎陵黄桃2023年第一届炎陵黄桃文化节祭祀典礼”“第二届株洲旅游发展大会炎帝陵祭祖典礼”等重大祭典活动26场次，以及游客体验式、研学祭典活动50场次，研学游客数量达近</w:t>
      </w:r>
      <w:r>
        <w:rPr>
          <w:rFonts w:hint="default" w:ascii="仿宋_GB2312" w:hAnsi="仿宋_GB2312" w:eastAsia="仿宋_GB2312" w:cs="仿宋_GB2312"/>
          <w:b w:val="0"/>
          <w:bCs w:val="0"/>
          <w:color w:val="auto"/>
          <w:sz w:val="32"/>
          <w:szCs w:val="32"/>
          <w:lang w:val="en-US" w:eastAsia="zh-CN"/>
        </w:rPr>
        <w:t>2万人次</w:t>
      </w:r>
      <w:r>
        <w:rPr>
          <w:rFonts w:hint="eastAsia" w:ascii="仿宋_GB2312" w:hAnsi="仿宋_GB2312" w:eastAsia="仿宋_GB2312" w:cs="仿宋_GB2312"/>
          <w:b w:val="0"/>
          <w:bCs w:val="0"/>
          <w:color w:val="auto"/>
          <w:sz w:val="32"/>
          <w:szCs w:val="32"/>
          <w:lang w:val="en-US" w:eastAsia="zh-CN"/>
        </w:rPr>
        <w:t>。今年来，央视一套《新闻联播》《晚间新闻》，央视四套、十三套《海峡两岸》先后八次宣传报道炎帝陵，国台办新闻发言人在国台办新闻发布会上为炎帝陵海峡两岸交流工作进行“点赞”。炎帝陵被授予湖南省统一战线教育基地、市廉洁文化示范基地，炎帝陵海峡两岸交流基地以第一等次获评省涉台交流优秀基地，一、三季度荣获县“品牌推广工作”第一等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加强文物安全保护。积极推进景区保护和可持续发展，定期检查文物安消防系统及消防设施、设备，加大文物安全隐患排查力度，全年开展文物安全检查83场次，进行文物安全宣传培训、开展消防应急演练4场次；实施文物保护白蚁防治项目，完成炎帝陵防雷项目验收，《炎帝陵山体防护工程勘查设计方案（一期）》已通过国家文物局审核，申报保护资金593.1万元。二是加强风景资源保护。完善风景名胜区总规的相关申报资料，依法依规严格审批，加强管护巡查，强化条例宣传。对上半年生态自然环保23个“图斑”核查问题开展“回头看”，对下半年19个自然保护地图斑进行实地核查，深入排查风景名胜区总体规划范围疑似违法违规问题和历史遗留问题，对发现的问题进行拍照取证，并建立台账。开展风景名胜区条例法律法规和文物安全宣传进乡镇、村组、景区、集市活动，发放宣传资料2000份。审核建设项目3个，审核村民建房30栋。对风景名胜区范围内不符合规划要求的房屋建设项目，在工作人员实地核查之后，下达停工通知书并督促整改到位。高质量完成省自然保护地质量管理省级现场评估，获“优秀”等次。三是压实资源管理举措。严格落实景区森林防护及林长制工作，对景区周边炎陵村、塘旺村6个组56户村民进行动态宣传，清理森林防火带近7万平方米，入口处增设了防火提示。国家林草局专家和省林业局专家到景区皇山进行实地检查了松线球防止成效。核实周边相邻田土权属，对旧老坟主建立跟踪管理台账。严控扫森林防火码进入景区，利用电子监控、重点地段值守和巡护进行火情监测。对基础设施进行了提质改造，确保景区设施正常使用和绿化卫生干净美观。四是严格安全生产管理。提高安全防范意识，有序开展加强安全知识培训和消防实践演练，成立组织机构，制定《年度安全生产工作计划》《炎帝陵景区旅游安全应急预案》，签订了《综治维稳工作目标责任书》及《安全生产工作目标责任书》。开展安全生产法律、法规等知识宣传4场次，定期对景区内的导览标识、消防设施、安全警示牌、游览步道、休息亭台、旅游厕所和安全防护栏等设施，进行检查维护160多场次，添置防火设施、消防器材等安全设施30余万元，加强了</w:t>
      </w:r>
      <w:r>
        <w:rPr>
          <w:rFonts w:hint="eastAsia" w:ascii="仿宋_GB2312" w:hAnsi="仿宋_GB2312" w:eastAsia="仿宋_GB2312" w:cs="仿宋_GB2312"/>
          <w:b w:val="0"/>
          <w:bCs w:val="0"/>
          <w:color w:val="auto"/>
          <w:sz w:val="32"/>
          <w:szCs w:val="32"/>
          <w:lang w:val="zh-CN" w:eastAsia="zh-CN"/>
        </w:rPr>
        <w:t>节假日、大型活动前的安全大检查，由主要领导、</w:t>
      </w:r>
      <w:r>
        <w:rPr>
          <w:rFonts w:hint="eastAsia" w:ascii="仿宋_GB2312" w:hAnsi="仿宋_GB2312" w:eastAsia="仿宋_GB2312" w:cs="仿宋_GB2312"/>
          <w:b w:val="0"/>
          <w:bCs w:val="0"/>
          <w:color w:val="auto"/>
          <w:sz w:val="32"/>
          <w:szCs w:val="32"/>
          <w:lang w:val="en-US" w:eastAsia="zh-CN"/>
        </w:rPr>
        <w:t>分管安全生产领导</w:t>
      </w:r>
      <w:r>
        <w:rPr>
          <w:rFonts w:hint="eastAsia" w:ascii="仿宋_GB2312" w:hAnsi="仿宋_GB2312" w:eastAsia="仿宋_GB2312" w:cs="仿宋_GB2312"/>
          <w:b w:val="0"/>
          <w:bCs w:val="0"/>
          <w:color w:val="auto"/>
          <w:sz w:val="32"/>
          <w:szCs w:val="32"/>
          <w:lang w:val="zh-CN" w:eastAsia="zh-CN"/>
        </w:rPr>
        <w:t>带队，组织</w:t>
      </w:r>
      <w:r>
        <w:rPr>
          <w:rFonts w:hint="eastAsia" w:ascii="仿宋_GB2312" w:hAnsi="仿宋_GB2312" w:eastAsia="仿宋_GB2312" w:cs="仿宋_GB2312"/>
          <w:b w:val="0"/>
          <w:bCs w:val="0"/>
          <w:color w:val="auto"/>
          <w:sz w:val="32"/>
          <w:szCs w:val="32"/>
          <w:lang w:val="en-US" w:eastAsia="zh-CN"/>
        </w:rPr>
        <w:t>各科室负责人、公司相关部门负责人对景区各区域、各领域进行全面安全大检查，实现了景区“六无”现象。五是推进旅游项目开发。策划包装文物保护、森林防火、古树名木保护、皇山山林改造等项目，持续推进炎帝陵农耕文化（体验）园项目、景区旅游基础设施项目、旅游业态开发项目；申报文化传承发展“专精特新”工程储备项目“炎帝陵文化遗产保护传承项目”，申请中央预算内投资3亿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围绕发展大局，落实重点任务。认真落实县委、县政府安排部署的重大政策、重大项目、重点工作和重点任务指标等，持续抓好项目谋划储备，着力提高文旅产业招商引资，向上争取资金515万元，储备项目1个，申请获批项目1个。统筹做好文旅融合发展、乡村振兴、优化营商（服务企业）、文明城市创建、污染防治攻坚、平安炎陵建设等工作。积极扶持村级发展，安排3名工作队员脱产驻湖田村，28名干部结对联系51户村民，召开“屋场会”，解决老百姓急难愁盼问题7项。安排驻企联络员开展优化营商环境工作，主要领导联系三家企业、联系一个重点项目，帮助解决企业和项目发展等问题；完成县委县政府交办和领导批示的市县人大代表、政协委员提案建议答复</w:t>
      </w:r>
      <w:r>
        <w:rPr>
          <w:rFonts w:hint="default"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件。</w:t>
      </w:r>
    </w:p>
    <w:p>
      <w:pPr>
        <w:pStyle w:val="12"/>
        <w:keepNext w:val="0"/>
        <w:keepLines w:val="0"/>
        <w:pageBreakBefore w:val="0"/>
        <w:widowControl/>
        <w:wordWrap/>
        <w:topLinePunct w:val="0"/>
        <w:bidi w:val="0"/>
        <w:spacing w:line="56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pStyle w:val="5"/>
        <w:keepNext w:val="0"/>
        <w:keepLines w:val="0"/>
        <w:pageBreakBefore w:val="0"/>
        <w:widowControl w:val="0"/>
        <w:kinsoku/>
        <w:wordWrap/>
        <w:topLinePunct w:val="0"/>
        <w:autoSpaceDE/>
        <w:autoSpaceDN/>
        <w:bidi w:val="0"/>
        <w:spacing w:after="0" w:line="560" w:lineRule="exact"/>
        <w:ind w:left="0" w:leftChars="0" w:right="0" w:rightChars="0" w:firstLine="640" w:firstLineChars="200"/>
        <w:jc w:val="both"/>
        <w:textAlignment w:val="auto"/>
        <w:rPr>
          <w:rFonts w:ascii="Times New Roman" w:hAnsi="Times New Roman" w:eastAsia="黑体"/>
          <w:sz w:val="32"/>
          <w:szCs w:val="32"/>
        </w:rPr>
      </w:pPr>
      <w:r>
        <w:rPr>
          <w:rFonts w:hint="default" w:ascii="Times New Roman" w:hAnsi="Times New Roman" w:eastAsia="仿宋_GB2312" w:cs="Times New Roman"/>
          <w:color w:val="000000"/>
          <w:kern w:val="2"/>
          <w:sz w:val="32"/>
          <w:szCs w:val="32"/>
          <w:lang w:val="en-US" w:eastAsia="zh-CN" w:bidi="ar-SA"/>
        </w:rPr>
        <w:t>年中预算追加比例较大，</w:t>
      </w:r>
      <w:r>
        <w:rPr>
          <w:rFonts w:hint="eastAsia" w:ascii="Times New Roman" w:hAnsi="Times New Roman" w:eastAsia="仿宋_GB2312" w:cs="Times New Roman"/>
          <w:color w:val="000000"/>
          <w:kern w:val="2"/>
          <w:sz w:val="32"/>
          <w:szCs w:val="32"/>
          <w:lang w:val="en-US" w:eastAsia="zh-CN" w:bidi="ar-SA"/>
        </w:rPr>
        <w:t>向上争取的</w:t>
      </w:r>
      <w:r>
        <w:rPr>
          <w:rFonts w:hint="default" w:ascii="Times New Roman" w:hAnsi="Times New Roman" w:eastAsia="仿宋_GB2312" w:cs="Times New Roman"/>
          <w:color w:val="000000"/>
          <w:kern w:val="2"/>
          <w:sz w:val="32"/>
          <w:szCs w:val="32"/>
          <w:lang w:val="en-US" w:eastAsia="zh-CN" w:bidi="ar-SA"/>
        </w:rPr>
        <w:t>项目</w:t>
      </w:r>
      <w:r>
        <w:rPr>
          <w:rFonts w:hint="eastAsia" w:ascii="Times New Roman" w:hAnsi="Times New Roman" w:eastAsia="仿宋_GB2312" w:cs="Times New Roman"/>
          <w:color w:val="000000"/>
          <w:kern w:val="2"/>
          <w:sz w:val="32"/>
          <w:szCs w:val="32"/>
          <w:lang w:val="en-US" w:eastAsia="zh-CN" w:bidi="ar-SA"/>
        </w:rPr>
        <w:t>当年</w:t>
      </w:r>
      <w:r>
        <w:rPr>
          <w:rFonts w:hint="default" w:ascii="Times New Roman" w:hAnsi="Times New Roman" w:eastAsia="仿宋_GB2312" w:cs="Times New Roman"/>
          <w:color w:val="000000"/>
          <w:kern w:val="2"/>
          <w:sz w:val="32"/>
          <w:szCs w:val="32"/>
          <w:lang w:val="en-US" w:eastAsia="zh-CN" w:bidi="ar-SA"/>
        </w:rPr>
        <w:t>执行率较低。</w:t>
      </w:r>
      <w:r>
        <w:rPr>
          <w:rFonts w:hint="eastAsia" w:ascii="Times New Roman" w:hAnsi="Times New Roman" w:eastAsia="仿宋_GB2312" w:cs="Times New Roman"/>
          <w:color w:val="000000"/>
          <w:kern w:val="2"/>
          <w:sz w:val="32"/>
          <w:szCs w:val="32"/>
          <w:lang w:val="en-US" w:eastAsia="zh-CN" w:bidi="ar-SA"/>
        </w:rPr>
        <w:t>向上争取资金</w:t>
      </w:r>
      <w:r>
        <w:rPr>
          <w:rFonts w:hint="default" w:ascii="Times New Roman" w:hAnsi="Times New Roman" w:eastAsia="仿宋_GB2312" w:cs="Times New Roman"/>
          <w:color w:val="000000"/>
          <w:kern w:val="2"/>
          <w:sz w:val="32"/>
          <w:szCs w:val="32"/>
          <w:lang w:val="en-US" w:eastAsia="zh-CN" w:bidi="ar-SA"/>
        </w:rPr>
        <w:t>存在金额上的不确定</w:t>
      </w:r>
      <w:r>
        <w:rPr>
          <w:rFonts w:hint="eastAsia" w:ascii="Times New Roman" w:hAnsi="Times New Roman" w:eastAsia="仿宋_GB2312" w:cs="Times New Roman"/>
          <w:color w:val="000000"/>
          <w:kern w:val="2"/>
          <w:sz w:val="32"/>
          <w:szCs w:val="32"/>
          <w:lang w:val="en-US" w:eastAsia="zh-CN" w:bidi="ar-SA"/>
        </w:rPr>
        <w:t>和</w:t>
      </w:r>
      <w:r>
        <w:rPr>
          <w:rFonts w:hint="default" w:ascii="Times New Roman" w:hAnsi="Times New Roman" w:eastAsia="仿宋_GB2312" w:cs="Times New Roman"/>
          <w:color w:val="000000"/>
          <w:kern w:val="2"/>
          <w:sz w:val="32"/>
          <w:szCs w:val="32"/>
          <w:lang w:val="en-US" w:eastAsia="zh-CN" w:bidi="ar-SA"/>
        </w:rPr>
        <w:t>时间上及时性的不确定，导致一定程度的影响项目工作的计划和开展，也一定程度的影响了项目支出的预算执行进度。</w:t>
      </w:r>
    </w:p>
    <w:p>
      <w:pPr>
        <w:keepNext w:val="0"/>
        <w:keepLines w:val="0"/>
        <w:pageBreakBefore w:val="0"/>
        <w:widowControl/>
        <w:wordWrap/>
        <w:topLinePunct w:val="0"/>
        <w:bidi w:val="0"/>
        <w:spacing w:line="560" w:lineRule="exact"/>
        <w:ind w:firstLine="640" w:firstLineChars="200"/>
        <w:jc w:val="left"/>
        <w:rPr>
          <w:rFonts w:eastAsia="黑体"/>
          <w:sz w:val="32"/>
          <w:szCs w:val="32"/>
        </w:rPr>
      </w:pPr>
      <w:r>
        <w:rPr>
          <w:rFonts w:hint="eastAsia" w:eastAsia="黑体"/>
          <w:sz w:val="32"/>
          <w:szCs w:val="32"/>
          <w:lang w:val="en-US" w:eastAsia="zh-CN"/>
        </w:rPr>
        <w:t>八</w:t>
      </w:r>
      <w:r>
        <w:rPr>
          <w:rFonts w:eastAsia="黑体"/>
          <w:sz w:val="32"/>
          <w:szCs w:val="32"/>
        </w:rPr>
        <w:t>、下一步改进措施</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rPr>
          <w:rFonts w:eastAsia="黑体"/>
          <w:sz w:val="32"/>
          <w:szCs w:val="32"/>
        </w:rPr>
      </w:pPr>
      <w:r>
        <w:rPr>
          <w:rFonts w:hint="default" w:ascii="Times New Roman" w:hAnsi="Times New Roman" w:eastAsia="仿宋_GB2312" w:cs="Times New Roman"/>
          <w:color w:val="000000"/>
          <w:kern w:val="2"/>
          <w:sz w:val="32"/>
          <w:szCs w:val="32"/>
          <w:lang w:val="en-US" w:eastAsia="zh-CN" w:bidi="ar-SA"/>
        </w:rPr>
        <w:t>提前谋划，加强沟通，</w:t>
      </w:r>
      <w:r>
        <w:rPr>
          <w:rFonts w:hint="eastAsia" w:ascii="Times New Roman" w:hAnsi="Times New Roman" w:eastAsia="仿宋_GB2312" w:cs="Times New Roman"/>
          <w:color w:val="000000"/>
          <w:kern w:val="2"/>
          <w:sz w:val="32"/>
          <w:szCs w:val="32"/>
          <w:lang w:val="en-US" w:eastAsia="zh-CN" w:bidi="ar-SA"/>
        </w:rPr>
        <w:t>一</w:t>
      </w:r>
      <w:r>
        <w:rPr>
          <w:rFonts w:hint="default" w:ascii="Times New Roman" w:hAnsi="Times New Roman" w:eastAsia="仿宋_GB2312" w:cs="Times New Roman"/>
          <w:color w:val="000000"/>
          <w:kern w:val="2"/>
          <w:sz w:val="32"/>
          <w:szCs w:val="32"/>
          <w:lang w:val="en-US" w:eastAsia="zh-CN" w:bidi="ar-SA"/>
        </w:rPr>
        <w:t>是加快项目工作的实施，按设定的时限完成项目工作。</w:t>
      </w:r>
      <w:r>
        <w:rPr>
          <w:rFonts w:hint="eastAsia" w:ascii="Times New Roman" w:hAnsi="Times New Roman" w:eastAsia="仿宋_GB2312" w:cs="Times New Roman"/>
          <w:color w:val="000000"/>
          <w:kern w:val="2"/>
          <w:sz w:val="32"/>
          <w:szCs w:val="32"/>
          <w:lang w:val="en-US" w:eastAsia="zh-CN" w:bidi="ar-SA"/>
        </w:rPr>
        <w:t>二</w:t>
      </w:r>
      <w:r>
        <w:rPr>
          <w:rFonts w:hint="default" w:ascii="Times New Roman" w:hAnsi="Times New Roman" w:eastAsia="仿宋_GB2312" w:cs="Times New Roman"/>
          <w:color w:val="000000"/>
          <w:kern w:val="2"/>
          <w:sz w:val="32"/>
          <w:szCs w:val="32"/>
          <w:lang w:val="en-US" w:eastAsia="zh-CN" w:bidi="ar-SA"/>
        </w:rPr>
        <w:t>是按季度进行预算执行进度分析和通报，督促加快项目实施进度。</w:t>
      </w:r>
      <w:r>
        <w:rPr>
          <w:rFonts w:hint="eastAsia" w:ascii="Times New Roman" w:hAnsi="Times New Roman" w:eastAsia="仿宋_GB2312" w:cs="Times New Roman"/>
          <w:color w:val="000000"/>
          <w:kern w:val="2"/>
          <w:sz w:val="32"/>
          <w:szCs w:val="32"/>
          <w:lang w:val="en-US" w:eastAsia="zh-CN" w:bidi="ar-SA"/>
        </w:rPr>
        <w:t>三</w:t>
      </w:r>
      <w:r>
        <w:rPr>
          <w:rFonts w:hint="default" w:ascii="Times New Roman" w:hAnsi="Times New Roman" w:eastAsia="仿宋_GB2312" w:cs="Times New Roman"/>
          <w:color w:val="000000"/>
          <w:kern w:val="2"/>
          <w:sz w:val="32"/>
          <w:szCs w:val="32"/>
          <w:lang w:val="en-US" w:eastAsia="zh-CN" w:bidi="ar-SA"/>
        </w:rPr>
        <w:t>是合理设定合同支付条款，分段支付，加快预算执行，提高预算执行率。</w:t>
      </w:r>
    </w:p>
    <w:p>
      <w:pPr>
        <w:keepNext w:val="0"/>
        <w:keepLines w:val="0"/>
        <w:pageBreakBefore w:val="0"/>
        <w:widowControl/>
        <w:numPr>
          <w:ilvl w:val="0"/>
          <w:numId w:val="3"/>
        </w:numPr>
        <w:wordWrap/>
        <w:topLinePunct w:val="0"/>
        <w:bidi w:val="0"/>
        <w:spacing w:line="560" w:lineRule="exact"/>
        <w:ind w:firstLine="645"/>
        <w:jc w:val="left"/>
        <w:rPr>
          <w:rFonts w:eastAsia="黑体"/>
          <w:sz w:val="32"/>
          <w:szCs w:val="32"/>
        </w:rPr>
      </w:pPr>
      <w:r>
        <w:rPr>
          <w:rFonts w:hint="eastAsia" w:eastAsia="黑体"/>
          <w:sz w:val="32"/>
          <w:szCs w:val="32"/>
          <w:lang w:val="en-US" w:eastAsia="zh-CN"/>
        </w:rPr>
        <w:t>绩效自评结果及</w:t>
      </w:r>
      <w:r>
        <w:rPr>
          <w:rFonts w:eastAsia="黑体"/>
          <w:sz w:val="32"/>
          <w:szCs w:val="32"/>
        </w:rPr>
        <w:t>其他需要说明的情况</w:t>
      </w:r>
    </w:p>
    <w:p>
      <w:pPr>
        <w:pStyle w:val="4"/>
        <w:keepNext w:val="0"/>
        <w:keepLines w:val="0"/>
        <w:pageBreakBefore w:val="0"/>
        <w:wordWrap/>
        <w:topLinePunct w:val="0"/>
        <w:bidi w:val="0"/>
        <w:spacing w:line="560" w:lineRule="exact"/>
      </w:pPr>
      <w:r>
        <w:rPr>
          <w:rFonts w:hint="default" w:ascii="Times New Roman" w:hAnsi="Times New Roman" w:eastAsia="仿宋_GB2312" w:cs="Times New Roman"/>
          <w:color w:val="000000"/>
          <w:kern w:val="2"/>
          <w:sz w:val="32"/>
          <w:szCs w:val="32"/>
          <w:lang w:val="en-US" w:eastAsia="zh-CN" w:bidi="ar-SA"/>
        </w:rPr>
        <w:t>经自评，</w:t>
      </w:r>
      <w:r>
        <w:rPr>
          <w:rFonts w:hint="eastAsia" w:ascii="Times New Roman" w:hAnsi="Times New Roman" w:cs="Times New Roman"/>
          <w:color w:val="000000"/>
          <w:kern w:val="2"/>
          <w:sz w:val="32"/>
          <w:szCs w:val="32"/>
          <w:lang w:val="en-US" w:eastAsia="zh-CN" w:bidi="ar-SA"/>
        </w:rPr>
        <w:t>炎陵县</w:t>
      </w:r>
      <w:r>
        <w:rPr>
          <w:rFonts w:hint="eastAsia" w:cs="Times New Roman"/>
          <w:color w:val="000000"/>
          <w:kern w:val="2"/>
          <w:sz w:val="32"/>
          <w:szCs w:val="32"/>
          <w:lang w:val="en-US" w:eastAsia="zh-CN" w:bidi="ar-SA"/>
        </w:rPr>
        <w:t>炎帝陵管理局</w:t>
      </w:r>
      <w:r>
        <w:rPr>
          <w:rFonts w:hint="eastAsia" w:ascii="Times New Roman" w:hAnsi="Times New Roman" w:cs="Times New Roman"/>
          <w:color w:val="000000"/>
          <w:kern w:val="2"/>
          <w:sz w:val="32"/>
          <w:szCs w:val="32"/>
          <w:lang w:val="en-US" w:eastAsia="zh-CN" w:bidi="ar-SA"/>
        </w:rPr>
        <w:t>202</w:t>
      </w:r>
      <w:r>
        <w:rPr>
          <w:rFonts w:hint="eastAsia" w:cs="Times New Roman"/>
          <w:color w:val="000000"/>
          <w:kern w:val="2"/>
          <w:sz w:val="32"/>
          <w:szCs w:val="32"/>
          <w:lang w:val="en-US" w:eastAsia="zh-CN" w:bidi="ar-SA"/>
        </w:rPr>
        <w:t>3</w:t>
      </w:r>
      <w:r>
        <w:rPr>
          <w:rFonts w:hint="eastAsia" w:ascii="Times New Roman" w:hAnsi="Times New Roman" w:cs="Times New Roman"/>
          <w:color w:val="000000"/>
          <w:kern w:val="2"/>
          <w:sz w:val="32"/>
          <w:szCs w:val="32"/>
          <w:lang w:val="en-US" w:eastAsia="zh-CN" w:bidi="ar-SA"/>
        </w:rPr>
        <w:t>年部门整体支出绩效</w:t>
      </w:r>
      <w:r>
        <w:rPr>
          <w:rFonts w:hint="default" w:ascii="Times New Roman" w:hAnsi="Times New Roman" w:eastAsia="仿宋_GB2312" w:cs="Times New Roman"/>
          <w:color w:val="000000"/>
          <w:kern w:val="2"/>
          <w:sz w:val="32"/>
          <w:szCs w:val="32"/>
          <w:lang w:val="en-US" w:eastAsia="zh-CN" w:bidi="ar-SA"/>
        </w:rPr>
        <w:t>自评得分为</w:t>
      </w:r>
      <w:r>
        <w:rPr>
          <w:rFonts w:hint="eastAsia" w:cs="Times New Roman"/>
          <w:color w:val="000000"/>
          <w:kern w:val="2"/>
          <w:sz w:val="32"/>
          <w:szCs w:val="32"/>
          <w:lang w:val="en-US" w:eastAsia="zh-CN" w:bidi="ar-SA"/>
        </w:rPr>
        <w:t>97</w:t>
      </w:r>
      <w:r>
        <w:rPr>
          <w:rFonts w:hint="default" w:ascii="Times New Roman" w:hAnsi="Times New Roman" w:eastAsia="仿宋_GB2312" w:cs="Times New Roman"/>
          <w:color w:val="000000"/>
          <w:kern w:val="2"/>
          <w:sz w:val="32"/>
          <w:szCs w:val="32"/>
          <w:lang w:val="en-US" w:eastAsia="zh-CN" w:bidi="ar-SA"/>
        </w:rPr>
        <w:t>分，自评结果为“</w:t>
      </w:r>
      <w:r>
        <w:rPr>
          <w:rFonts w:hint="eastAsia" w:cs="Times New Roman"/>
          <w:color w:val="000000"/>
          <w:kern w:val="2"/>
          <w:sz w:val="32"/>
          <w:szCs w:val="32"/>
          <w:lang w:val="en-US" w:eastAsia="zh-CN" w:bidi="ar-SA"/>
        </w:rPr>
        <w:t>优</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cs="Times New Roman"/>
          <w:color w:val="000000"/>
          <w:kern w:val="2"/>
          <w:sz w:val="32"/>
          <w:szCs w:val="32"/>
          <w:lang w:val="en-US" w:eastAsia="zh-CN" w:bidi="ar-SA"/>
        </w:rPr>
        <w:t>。</w:t>
      </w: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encil">
    <w:panose1 w:val="040409050D08020204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Black">
    <w:panose1 w:val="020B0A02040204020203"/>
    <w:charset w:val="00"/>
    <w:family w:val="auto"/>
    <w:pitch w:val="default"/>
    <w:sig w:usb0="E10002FF" w:usb1="4000E47F" w:usb2="00000021" w:usb3="00000000" w:csb0="2000019F" w:csb1="00000000"/>
  </w:font>
  <w:font w:name="Rockwell">
    <w:panose1 w:val="02060603020205020403"/>
    <w:charset w:val="00"/>
    <w:family w:val="auto"/>
    <w:pitch w:val="default"/>
    <w:sig w:usb0="00000003" w:usb1="00000000" w:usb2="00000000" w:usb3="00000000" w:csb0="20000001" w:csb1="00000000"/>
  </w:font>
  <w:font w:name="Poor Richard">
    <w:panose1 w:val="02080502050505020702"/>
    <w:charset w:val="00"/>
    <w:family w:val="auto"/>
    <w:pitch w:val="default"/>
    <w:sig w:usb0="00000003" w:usb1="00000000" w:usb2="00000000" w:usb3="00000000" w:csb0="20000001" w:csb1="00000000"/>
  </w:font>
  <w:font w:name="Palace Script MT">
    <w:panose1 w:val="030303020206070C0B05"/>
    <w:charset w:val="00"/>
    <w:family w:val="auto"/>
    <w:pitch w:val="default"/>
    <w:sig w:usb0="00000003" w:usb1="00000000" w:usb2="00000000" w:usb3="00000000" w:csb0="20000001" w:csb1="00000000"/>
  </w:font>
  <w:font w:name="OCR A Extended">
    <w:panose1 w:val="02010509020102010303"/>
    <w:charset w:val="00"/>
    <w:family w:val="auto"/>
    <w:pitch w:val="default"/>
    <w:sig w:usb0="00000003" w:usb1="00000000" w:usb2="00000000" w:usb3="00000000" w:csb0="20000001" w:csb1="00000000"/>
  </w:font>
  <w:font w:name="Noto Serif Myanmar">
    <w:panose1 w:val="02020502060505020204"/>
    <w:charset w:val="00"/>
    <w:family w:val="auto"/>
    <w:pitch w:val="default"/>
    <w:sig w:usb0="80000003" w:usb1="00002000" w:usb2="08000400" w:usb3="00100000" w:csb0="00000001" w:csb1="00000000"/>
  </w:font>
  <w:font w:name="Noto Sans Shavian">
    <w:panose1 w:val="020B0502040504020204"/>
    <w:charset w:val="00"/>
    <w:family w:val="auto"/>
    <w:pitch w:val="default"/>
    <w:sig w:usb0="00000003" w:usb1="02000000" w:usb2="00000000" w:usb3="00000200" w:csb0="00000001" w:csb1="00000000"/>
  </w:font>
  <w:font w:name="Noto Sans Ol Chiki">
    <w:panose1 w:val="020B0502040504020204"/>
    <w:charset w:val="00"/>
    <w:family w:val="auto"/>
    <w:pitch w:val="default"/>
    <w:sig w:usb0="00000003" w:usb1="00000000" w:usb2="00000000" w:usb3="00040000" w:csb0="00000001" w:csb1="00000000"/>
  </w:font>
  <w:font w:name="Noto Sans Myanmar">
    <w:panose1 w:val="020B0502040504020204"/>
    <w:charset w:val="00"/>
    <w:family w:val="auto"/>
    <w:pitch w:val="default"/>
    <w:sig w:usb0="80000003" w:usb1="00002000" w:usb2="08000400" w:usb3="00100000" w:csb0="00000001" w:csb1="00000000"/>
  </w:font>
  <w:font w:name="SimSun">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hint="eastAsia" w:ascii="Times New Roman" w:hAnsi="Times New Roman" w:eastAsia="SimSun" w:cs="Times New Roman"/>
        <w:sz w:val="32"/>
        <w:szCs w:val="32"/>
        <w:lang w:val="en-US" w:eastAsia="zh-CN"/>
      </w:rPr>
    </w:pPr>
    <w:bookmarkStart w:id="0" w:name="_GoBack"/>
    <w:r>
      <w:rPr>
        <w:sz w:val="32"/>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D0YRyTdAgAAJAYAAA4AAAAAAAAAAQAgAAAA&#10;NQEAAGRycy9lMm9Eb2MueG1sUEsFBgAAAAAGAAYAWQEAAIQG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bookmarkEnd w:i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E18568A1"/>
    <w:multiLevelType w:val="singleLevel"/>
    <w:tmpl w:val="E18568A1"/>
    <w:lvl w:ilvl="0" w:tentative="0">
      <w:start w:val="9"/>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NDE5MDk0ODQ3N2U1ZmRhYmVkYzk0NTljNWI2ZWMifQ=="/>
  </w:docVars>
  <w:rsids>
    <w:rsidRoot w:val="00000000"/>
    <w:rsid w:val="017A4AF1"/>
    <w:rsid w:val="0B124721"/>
    <w:rsid w:val="15BF56EC"/>
    <w:rsid w:val="20271187"/>
    <w:rsid w:val="2084070A"/>
    <w:rsid w:val="2BD86D6F"/>
    <w:rsid w:val="2FFB0FCB"/>
    <w:rsid w:val="35CB6416"/>
    <w:rsid w:val="3AAE39D0"/>
    <w:rsid w:val="3B57023C"/>
    <w:rsid w:val="4B4334AB"/>
    <w:rsid w:val="534A7106"/>
    <w:rsid w:val="5403276E"/>
    <w:rsid w:val="54C57A37"/>
    <w:rsid w:val="56BC3D84"/>
    <w:rsid w:val="5D8C1530"/>
    <w:rsid w:val="5FFF579C"/>
    <w:rsid w:val="65324970"/>
    <w:rsid w:val="765B6044"/>
    <w:rsid w:val="77FB9B50"/>
    <w:rsid w:val="7F5D66E1"/>
    <w:rsid w:val="BFFD3301"/>
    <w:rsid w:val="D5AF0FFD"/>
    <w:rsid w:val="E6FEEF3F"/>
    <w:rsid w:val="FBFAE629"/>
    <w:rsid w:val="FFFE9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 w:type="paragraph" w:styleId="4">
    <w:name w:val="Normal Indent"/>
    <w:basedOn w:val="1"/>
    <w:qFormat/>
    <w:uiPriority w:val="0"/>
    <w:pPr>
      <w:widowControl w:val="0"/>
      <w:ind w:firstLine="880" w:firstLineChars="200"/>
      <w:jc w:val="both"/>
    </w:pPr>
    <w:rPr>
      <w:rFonts w:ascii="Times New Roman" w:hAnsi="Times New Roman" w:eastAsia="仿宋_GB2312" w:cs="Times New Roman"/>
      <w:kern w:val="2"/>
      <w:sz w:val="32"/>
      <w:szCs w:val="24"/>
      <w:lang w:val="en-US" w:eastAsia="zh-CN" w:bidi="ar-SA"/>
    </w:rPr>
  </w:style>
  <w:style w:type="paragraph" w:styleId="5">
    <w:name w:val="Body Text"/>
    <w:basedOn w:val="1"/>
    <w:semiHidden/>
    <w:qFormat/>
    <w:uiPriority w:val="0"/>
    <w:rPr>
      <w:rFonts w:ascii="仿宋" w:hAnsi="仿宋" w:eastAsia="仿宋" w:cs="仿宋"/>
      <w:sz w:val="32"/>
      <w:szCs w:val="32"/>
      <w:lang w:val="en-US" w:eastAsia="en-US" w:bidi="ar-SA"/>
    </w:rPr>
  </w:style>
  <w:style w:type="paragraph" w:styleId="6">
    <w:name w:val="Body Text Indent"/>
    <w:basedOn w:val="1"/>
    <w:qFormat/>
    <w:uiPriority w:val="0"/>
    <w:pPr>
      <w:tabs>
        <w:tab w:val="left" w:pos="630"/>
      </w:tabs>
      <w:adjustRightInd w:val="0"/>
      <w:spacing w:line="240" w:lineRule="auto"/>
      <w:ind w:firstLine="630" w:firstLineChars="0"/>
      <w:textAlignment w:val="baseline"/>
    </w:pPr>
    <w:rPr>
      <w:rFonts w:eastAsia="宋体" w:cs="Times New Roman"/>
      <w:sz w:val="21"/>
      <w:szCs w:val="21"/>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next w:val="1"/>
    <w:unhideWhenUsed/>
    <w:qFormat/>
    <w:uiPriority w:val="99"/>
    <w:pPr>
      <w:ind w:firstLine="420" w:firstLineChars="200"/>
    </w:pPr>
  </w:style>
  <w:style w:type="paragraph" w:styleId="12">
    <w:name w:val="List Paragraph"/>
    <w:basedOn w:val="1"/>
    <w:qFormat/>
    <w:uiPriority w:val="99"/>
    <w:pPr>
      <w:ind w:firstLine="420" w:firstLineChars="200"/>
    </w:pPr>
    <w:rPr>
      <w:rFonts w:ascii="Calibri" w:hAnsi="Calibri" w:eastAsia="宋体" w:cs="Times New Roman"/>
      <w:szCs w:val="22"/>
    </w:rPr>
  </w:style>
  <w:style w:type="character" w:customStyle="1" w:styleId="13">
    <w:name w:val="NormalCharacter"/>
    <w:link w:val="1"/>
    <w:qFormat/>
    <w:uiPriority w:val="0"/>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453</Words>
  <Characters>458</Characters>
  <Lines>0</Lines>
  <Paragraphs>0</Paragraphs>
  <TotalTime>22</TotalTime>
  <ScaleCrop>false</ScaleCrop>
  <LinksUpToDate>false</LinksUpToDate>
  <CharactersWithSpaces>458</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2024-08-14T18:40:00Z</dcterms:created>
  <dc:creator>mini4use</dc:creator>
  <cp:lastModifiedBy>kylin</cp:lastModifiedBy>
  <cp:lastPrinted>2024-09-03T15:42:11Z</cp:lastPrinted>
  <dcterms:modified xsi:type="dcterms:W3CDTF">2024-09-03T15:49:54Z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DEC29D6FF1984251977FAFE43F2C91AB_12</vt:lpwstr>
  </property>
</Properties>
</file>