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2023年度炎陵县策源乡人民政府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17F58897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pStyle w:val="8"/>
        <w:bidi w:val="0"/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2F0730C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wordWrap/>
        <w:overflowPunct/>
        <w:topLinePunct w:val="0"/>
        <w:bidi w:val="0"/>
        <w:spacing w:line="5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wordWrap/>
        <w:overflowPunct/>
        <w:topLinePunct w:val="0"/>
        <w:bidi w:val="0"/>
        <w:spacing w:line="56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054D5081">
      <w:pPr>
        <w:keepNext w:val="0"/>
        <w:keepLines w:val="0"/>
        <w:pageBreakBefore w:val="0"/>
        <w:tabs>
          <w:tab w:val="left" w:pos="7560"/>
        </w:tabs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根据炎办发〔2019〕70号文件，我单位主要职能是：</w:t>
      </w:r>
    </w:p>
    <w:p w14:paraId="73992EC2">
      <w:pPr>
        <w:keepNext w:val="0"/>
        <w:keepLines w:val="0"/>
        <w:pageBreakBefore w:val="0"/>
        <w:tabs>
          <w:tab w:val="left" w:pos="7560"/>
        </w:tabs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加强党的建设。落实基层党建工作责任制，严格抓好基层党组织建设各项制度，统筹抓好基层党建、意识形态和统一战线工作；推进全面从严治党，增强“四个意识”、坚定“四个自信”、做到“两个维护”，全面加强农村基层宣传思想文化工作，健全完善党建引领基层体系，进一步增强党在农村的政治领导力、思想引领力、群众组织力、社会号召力；贯彻落实党和国家在农村的各项方针政策和法律法规，对村民进行思想政治教育和社会主义法制教育，依法保障村民合法权益。</w:t>
      </w:r>
    </w:p>
    <w:p w14:paraId="63818AFA">
      <w:pPr>
        <w:keepNext w:val="0"/>
        <w:keepLines w:val="0"/>
        <w:pageBreakBefore w:val="0"/>
        <w:tabs>
          <w:tab w:val="left" w:pos="7560"/>
        </w:tabs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 促进经济发展。推进区域发展，全面实施乡村振兴战略，统筹落实辖区发展的重大决策和建设规划；组织制定乡村经济发展规划并组织实施；负责推动产业结构调整，指导、管理第一、二、三产业的发展；负责产业发展、民营经济、招商引资和推进科技普及工作；负责农村经济管理、指导村级财务管理、农村土地承包和农民权益维护工作；负责社会经济调查统计工作；负责农业经营主体和适度规模经营的指导和管理，示范引导农村合作经济组织，形成地域产业特色。</w:t>
      </w:r>
    </w:p>
    <w:p w14:paraId="21ED24F2">
      <w:pPr>
        <w:keepNext w:val="0"/>
        <w:keepLines w:val="0"/>
        <w:pageBreakBefore w:val="0"/>
        <w:tabs>
          <w:tab w:val="left" w:pos="7560"/>
        </w:tabs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 加强公共管理。负责落实辖区内集镇管理、人口管理、社会管理、综合执法、市场监管、农业农机畜牧管理、林业管理、水利管理等工作；负责生态环境保护、农村人居环境整治等工作；负责城镇规划发展、道路交通建设管理相关工作；负责移民开发和精准扶贫的相关工作；负责领导基层自治工作，指导村务公开、村民议事委员会和“一约四会”建设</w:t>
      </w:r>
    </w:p>
    <w:p w14:paraId="27DB1076">
      <w:pPr>
        <w:keepNext w:val="0"/>
        <w:keepLines w:val="0"/>
        <w:pageBreakBefore w:val="0"/>
        <w:tabs>
          <w:tab w:val="left" w:pos="7560"/>
        </w:tabs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 加强公共安全。负责辖区公共安全及安全生产监管，构建公共安全防控体系，建立应对突发公共事件的处理预案，做好安全生产、防汛抗旱、防火、防疫、气象灾害防御、抗震、地质灾害、食品药品安全等应急管理工作；负责辖区社会治安、信访维稳等工作；协调平安创建和政法综治、群防群治等工作；负责辖区网格化建设和管理工作，落实社会矛盾纠纷排查调处机制，综合发挥人民调解、行政调解和司法调解的作用，及时化解辖区社会矛盾，维护安全稳定。</w:t>
      </w:r>
    </w:p>
    <w:p w14:paraId="25F22183">
      <w:pPr>
        <w:keepNext w:val="0"/>
        <w:keepLines w:val="0"/>
        <w:pageBreakBefore w:val="0"/>
        <w:tabs>
          <w:tab w:val="left" w:pos="7560"/>
        </w:tabs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 加强公共服务。组织实施与群众生活密切相关的各项公共服务，负责辖区就业、社会保障、民政优抚、医疗保障、儿童福利、科技教育、社会救助、文化体育旅游、卫生健康、退役军人事务等方面相关工作；推进审批服务便民化改革，落实基层“最多跑一次”改革工作，拓宽服务渠道，改进服务方式，建立健全群众办事一次办结机制，推进乡便民服务平台标准化建设，提升群众获得感和幸福感。</w:t>
      </w:r>
    </w:p>
    <w:p w14:paraId="4FA26DE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（六） 法律、法规、规章的规定和县委、县政府交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  <w:t>的其他事项</w:t>
      </w:r>
    </w:p>
    <w:p w14:paraId="5556C9CE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wordWrap/>
        <w:overflowPunct/>
        <w:topLinePunct w:val="0"/>
        <w:bidi w:val="0"/>
        <w:spacing w:line="56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部单位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7D9E429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29" w:leftChars="0" w:firstLine="64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紧扣项目建设，增强发展后劲；统筹产业发展，加快提档升级；突出民生改善，聚力乡村振兴；强化基层党建，提升行政效能。</w:t>
      </w:r>
    </w:p>
    <w:p w14:paraId="7587B28A">
      <w:pPr>
        <w:pStyle w:val="8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8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5DA13CD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29" w:leftChars="0"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年度财政拨款基本支出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895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62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元，其中：人员经费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662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元，占基本支出的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73.95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%；公用经费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233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34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元，占基本支出的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26.05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%。</w:t>
      </w:r>
    </w:p>
    <w:p w14:paraId="7C11EFB6">
      <w:pPr>
        <w:pStyle w:val="8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7AC344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38" w:leftChars="304" w:firstLine="640" w:firstLineChars="200"/>
        <w:jc w:val="left"/>
        <w:textAlignment w:val="baseline"/>
        <w:rPr>
          <w:rFonts w:hint="default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项目支出29.72万元，用于策源乡集镇区惠民工程。</w:t>
      </w:r>
    </w:p>
    <w:p w14:paraId="751A51C8">
      <w:pPr>
        <w:pStyle w:val="8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5E50483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29" w:leftChars="0" w:firstLine="640" w:firstLineChars="200"/>
        <w:textAlignment w:val="baseline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本单位本年度政府性基金预算支出为支出2.00万元，其中基本支出2.00万元，项目支出0万元。</w:t>
      </w:r>
    </w:p>
    <w:p w14:paraId="216101D4"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wordWrap/>
        <w:overflowPunct/>
        <w:topLinePunct w:val="0"/>
        <w:bidi w:val="0"/>
        <w:spacing w:line="560" w:lineRule="exact"/>
        <w:ind w:left="640" w:firstLine="0" w:firstLineChars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</w:t>
      </w:r>
    </w:p>
    <w:p w14:paraId="2731E89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1" w:leftChars="0"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本单位本年度无国有资本经营预算支出。</w:t>
      </w:r>
    </w:p>
    <w:p w14:paraId="690EE68D">
      <w:pPr>
        <w:pStyle w:val="8"/>
        <w:keepNext w:val="0"/>
        <w:keepLines w:val="0"/>
        <w:pageBreakBefore w:val="0"/>
        <w:widowControl/>
        <w:numPr>
          <w:ilvl w:val="0"/>
          <w:numId w:val="3"/>
        </w:numPr>
        <w:wordWrap/>
        <w:overflowPunct/>
        <w:topLinePunct w:val="0"/>
        <w:bidi w:val="0"/>
        <w:spacing w:line="560" w:lineRule="exact"/>
        <w:ind w:left="640" w:leftChars="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6EFD862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41" w:leftChars="0" w:firstLine="640" w:firstLineChars="200"/>
        <w:jc w:val="left"/>
        <w:textAlignment w:val="baseline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本单位本年度无社会保险基金预算支出。</w:t>
      </w:r>
    </w:p>
    <w:p w14:paraId="7074D3E2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1F4733E4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24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24"/>
        </w:rPr>
        <w:t>2023年是全面贯彻党的二十大精神的开局之年，是改革开放45周年，策源乡坚持以习近平新时代中国特色社会主义思想为指导，全面贯彻中央及省、市、县全面深化改革会议精神和工作要求，全面落实“三高四新”战略定位与使命任务，紧紧围绕培育制造名城、建设幸福株洲，以坚如磐石的定力、滚石上山的韧劲，谋奋进之局、破发展之羁、纾民生之困，为加快打造“三基地”、建成“三区”积极贡献策源力量。整体支出绩效目标完成情况如下：</w:t>
      </w:r>
    </w:p>
    <w:p w14:paraId="568068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napToGrid/>
          <w:kern w:val="2"/>
          <w:sz w:val="32"/>
          <w:szCs w:val="24"/>
          <w:highlight w:val="none"/>
          <w:lang w:val="en-US" w:eastAsia="zh-CN"/>
        </w:rPr>
        <w:t>（一）夯实党建基础，管党治党全面从严。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落实新时代党的建设总体要求，坚持把抓好党建作为最大政绩，弘扬“支部建在连上”优良传统。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抓政治建设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深入学习宣传贯彻党的二十大精神，忠诚拥护“两个确立”、坚决做到“两个维护”，始终同以习近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平同志为核心的党中央保持步调一致，今年累计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完成“第一议题”学习38次、理论学习中心组学习12次，组织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推动习近平总书记重要讲话指示批示精神落地落细。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抓支部建设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严肃“三会一课”、主题党日、“一月一课一片一实践”等组织生活，确保组织生活规范化、常态化，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开展主题教育组织学习研讨3次，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全乡七个党支部分片区集中开展农村党员冬春训，参训达243人次，农村党支部理论技能水平进一步提高。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抓作风建设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压紧压实党风廉政建设“两个责任”，高质量完成县委第一巡察组巡察反馈问题整改，并对相关人员进行组织处理，其中批评教育7人、诫勉谈话1人。围绕“作风建设年”活动要求，组织开展“镜鉴”民主生活会、“解放思想、转变作风”演讲比赛、“讲廉洁知敬畏 强作风促发展”主题党日。</w:t>
      </w:r>
    </w:p>
    <w:p w14:paraId="4FF079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snapToGrid/>
          <w:color w:val="000000"/>
          <w:kern w:val="2"/>
          <w:sz w:val="32"/>
          <w:szCs w:val="24"/>
          <w:highlight w:val="none"/>
          <w:lang w:val="en-US" w:eastAsia="zh-CN" w:bidi="ar-SA"/>
        </w:rPr>
        <w:t>（二）激活发展动能，乡域经济加速壮大。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以“三基地”建设为抓手，突出主导产业带动作用，实现乡域经济加速增长。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加速文旅康养建设。</w:t>
      </w:r>
      <w:r>
        <w:rPr>
          <w:rFonts w:hint="eastAsia" w:ascii="方正仿宋_GB2312" w:hAnsi="方正仿宋_GB2312" w:eastAsia="方正仿宋_GB2312" w:cs="方正仿宋_GB2312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力开展“项目攻坚年”活动，远山蓝旅游项目取得阶段性重大进展，一期项目征地拆迁任务全面完成，69亩土地于10月20日顺利实现挂牌交易。梨树洲特色农产品交易市场于7月底正式投入使用。全力推进龙溪风电项目，目前已修建道路4.8公里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营商环境持续优化。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不断深化“一门式”服务，积极推广“湘易办”APP；深入推进“经营主体提升”行动，加快壮大经营主体规模。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今年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1-10月，完成传统税收254万元，完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成全年任务的163.9%，在全县三季度竞赛评比中获评第二名；完成固定资产投29384万元，完成率97.98%，居全县前列；目前有结余在库项目4个，在库项目余额29097万元。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净增经营主体127个，完成率132.3%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，在全县三季度竞赛评比中获评第三名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；完成个转企6家，完成率100%；完成“四上”企业1家。村级经济多元发展。全乡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highlight w:val="none"/>
          <w:lang w:val="en-US" w:eastAsia="zh-CN"/>
        </w:rPr>
        <w:t>笋竹林面积扩大到6.15万亩，发展笋竹加工企业7家，全年总产值达6800万元，带动从业者年均增收1.1万元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；黄桃种植面积约1900亩，总产量2230吨，同比增长12%；7个村均已完成高标准农田建设，总投资500万元；梨树洲、远山蓝、石禾坪、荣塘等精品民宿群接待游客量再创新高。大力实施村级“集体经济倍增年”计划，严格村级“三资”管理，全面完成各村清产核资和村社分账工作。</w:t>
      </w:r>
    </w:p>
    <w:p w14:paraId="4A1038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snapToGrid/>
          <w:color w:val="000000"/>
          <w:kern w:val="2"/>
          <w:sz w:val="32"/>
          <w:szCs w:val="24"/>
          <w:highlight w:val="none"/>
          <w:lang w:val="en-US" w:eastAsia="zh-CN" w:bidi="ar-SA"/>
        </w:rPr>
        <w:t>（三）推进乡村振兴，脱贫成效持续巩固。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始终把巩固拓展脱贫攻坚成果、防止规模性返贫作为头等大事，把全面推进乡村振兴作为最紧迫任务抓好落实。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抓实防返贫机制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对辖区内“九类”人员、“两类”对象逐户排查并进行“一户一画像”，完成本年度第一、第二轮防返贫监测排查农户1755户598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3人，入户核实160人次，累计销号防返贫监测平台发出的预警信息84条，为9户监测户申请返贫监测帮扶资金2.7万余元，守好不发生规模性返贫底线。截至11月底，脱贫户人均收入较上年同期增长13.8%，增速位居全县前列。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深入推进乡村治理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加强村容村貌管理，严格规范农村宅基地审批18户。超任务数完成农村改厕52户，完成问题厕所整改108户。积极推动梨树洲“幸福屋场”建设，不断扮靓乡村面貌。顺利通过国家卫生乡镇创建市级评估，生态环境治理能力持续提升。持续开展耕地复垦工作，累计完成耕地恢复面积241.43亩，落实新增耕地“春苗行动”，完成耕种面积55.19亩。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壮大集体经济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大力实施村集体经济“削薄增强”计划，盘活用好集体资源、资产，抢抓天然商品林落界工作契机，各村集体平均年增收超5万元以上，从根本上解决了村集体经济薄弱的难题。</w:t>
      </w:r>
    </w:p>
    <w:p w14:paraId="294A7F47">
      <w:pPr>
        <w:keepNext w:val="0"/>
        <w:keepLines w:val="0"/>
        <w:pageBreakBefore w:val="0"/>
        <w:widowControl/>
        <w:suppressLineNumbers w:val="0"/>
        <w:tabs>
          <w:tab w:val="left" w:pos="69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snapToGrid/>
          <w:color w:val="000000"/>
          <w:kern w:val="2"/>
          <w:sz w:val="32"/>
          <w:szCs w:val="24"/>
          <w:highlight w:val="none"/>
          <w:lang w:val="en-US" w:eastAsia="zh-CN" w:bidi="ar-SA"/>
        </w:rPr>
        <w:t>（四）强化社会治理，民生安全持续进步。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建立健全安全工作责任机制，抓好各领域安全稳定工作。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社会保障持续加强。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加大弱势群体帮扶关爱力度，临时救助44户4.86万元，完成4户困难残疾人家庭无障碍改造，严格推进低保扩围增效，目前新增农村低保5户7人。截至10月，累计发放低保金28.75万元、特困供养金19.44万元、高龄补贴9.52万元、残疾人补贴12.22万元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社会事业稳步发展。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深入推进“利剑护蕾”行动，巩固提升学生安全“乡村校”三级联动成效。乡卫生院中医药服务能力显著提升，3个村卫生室具备中医药服务能力。开展补贴性职业技能培训70人次，不断提高就业质量和收入水平。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安全风险有效防范。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统筹发展和安全，突出做好隐患排查和应急队伍建设，今年以来，累计开展安全生产检查60次，组织村组干部集中进行“敲门行动”10次，及时开展防灾减灾、防汛防火警示教育和宣传引导；累计开展应急演练10次，应急处突能力有效提升，今年9月我乡消防专职队伍在2023年株洲市首届乡镇应急能力比武中荣获优胜奖。不断深化平安策源建设，扎实推进市域社会治理现代化创建工作，着力排查化解不稳定因素，大力开展反诈打跨、防毒禁毒等专项宣传和排查治理，社会大局和谐稳定。</w:t>
      </w:r>
    </w:p>
    <w:p w14:paraId="40A07C61">
      <w:pPr>
        <w:pStyle w:val="8"/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3D2D901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snapToGrid w:val="0"/>
          <w:color w:val="000000" w:themeColor="text1"/>
          <w:spacing w:val="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通过对本部门整体支出情况的分析，仍然存在部分预算执行偏离绩效目标的情况，存在的主要问题及原因有：</w:t>
      </w:r>
    </w:p>
    <w:p w14:paraId="5E623B9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2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napToGrid w:val="0"/>
          <w:color w:val="000000" w:themeColor="text1"/>
          <w:spacing w:val="0"/>
          <w:kern w:val="0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预算绩效指标体系制度建设还需完善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预算绩效评价指标体系制度需进一步完善，目前预算绩效指标设定较为符合实际，但是可测算性不强，多为定性指标，而且各项目开展进程及方式不同，很难进行量化分析及同质化比较。</w:t>
      </w:r>
    </w:p>
    <w:p w14:paraId="5B19456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2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napToGrid w:val="0"/>
          <w:color w:val="000000" w:themeColor="text1"/>
          <w:spacing w:val="0"/>
          <w:kern w:val="0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预算绩效完成情况与预算执行进度不匹配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由于项目完成一定阶段成果后才会进入经费支出流程，导致预算执行进度普遍落后于预算绩效目标完成进度。如政府采购项目在已完成采购流程但尚未通过验收之前，几乎无经费支出，使得预算执行进度与绩效完成情况不一致。</w:t>
      </w:r>
    </w:p>
    <w:p w14:paraId="04A1101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2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napToGrid w:val="0"/>
          <w:color w:val="000000" w:themeColor="text1"/>
          <w:spacing w:val="0"/>
          <w:kern w:val="0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预算绩效管理人员专业素质能力还需提高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由于预算绩效管理工作需要多部门配合，相关部门人员对于预算绩效工作认识较浅显，加上缺乏系统的培训，导致对预算绩效管理认识不到位，对预算绩效管理业务不了解，对工作重点不熟悉的情况仍然存在。</w:t>
      </w:r>
    </w:p>
    <w:p w14:paraId="455796B8">
      <w:pPr>
        <w:keepNext w:val="0"/>
        <w:keepLines w:val="0"/>
        <w:pageBreakBefore w:val="0"/>
        <w:widowControl/>
        <w:numPr>
          <w:ilvl w:val="0"/>
          <w:numId w:val="4"/>
        </w:numPr>
        <w:wordWrap/>
        <w:overflowPunct/>
        <w:topLinePunct w:val="0"/>
        <w:bidi w:val="0"/>
        <w:spacing w:line="5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590FBB4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20" w:firstLineChars="200"/>
        <w:rPr>
          <w:rFonts w:hint="eastAsia" w:ascii="方正仿宋_GB2312" w:hAnsi="方正仿宋_GB2312" w:eastAsia="方正仿宋_GB2312" w:cs="方正仿宋_GB2312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napToGrid w:val="0"/>
          <w:color w:val="000000" w:themeColor="text1"/>
          <w:spacing w:val="0"/>
          <w:kern w:val="0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方正仿宋_GB2312" w:hAnsi="方正仿宋_GB2312" w:eastAsia="方正仿宋_GB2312" w:cs="方正仿宋_GB2312"/>
          <w:snapToGrid/>
          <w:color w:val="000000"/>
          <w:kern w:val="0"/>
          <w:sz w:val="32"/>
          <w:szCs w:val="32"/>
          <w:lang w:val="en-US" w:eastAsia="zh-CN" w:bidi="ar-SA"/>
        </w:rPr>
        <w:t>建立健全财务管理制度及内部控制制度，积极探索在新形势下财政支出改革的特点，不断更新管理思路，在规范财政收支和控制经费增长上，创新管理手段，用新思路、新方法，改进完善财务管理方法。严格财务审核，在费用报账支付时，按照预算规定的费用项目和用途进行资金审核、列报支付、财务核算，杜绝超支现象的发生。</w:t>
      </w:r>
    </w:p>
    <w:p w14:paraId="4B90858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20" w:firstLineChars="200"/>
        <w:rPr>
          <w:rFonts w:hint="eastAsia" w:ascii="方正仿宋_GB2312" w:hAnsi="方正仿宋_GB2312" w:eastAsia="方正仿宋_GB2312" w:cs="方正仿宋_GB2312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napToGrid w:val="0"/>
          <w:color w:val="000000" w:themeColor="text1"/>
          <w:spacing w:val="0"/>
          <w:kern w:val="0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方正仿宋_GB2312" w:hAnsi="方正仿宋_GB2312" w:eastAsia="方正仿宋_GB2312" w:cs="方正仿宋_GB2312"/>
          <w:snapToGrid/>
          <w:color w:val="000000"/>
          <w:kern w:val="0"/>
          <w:sz w:val="32"/>
          <w:szCs w:val="32"/>
          <w:lang w:val="en-US" w:eastAsia="zh-CN" w:bidi="ar-SA"/>
        </w:rPr>
        <w:t>按照财政支出绩效管理的要求，建立科学的财政资金效益考评体系，牢固树立行政成本意识，不断提高财政资金使用管理的水平和效率。</w:t>
      </w:r>
    </w:p>
    <w:p w14:paraId="7490A9B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20" w:firstLineChars="200"/>
        <w:rPr>
          <w:rFonts w:hint="eastAsia" w:ascii="方正仿宋_GB2312" w:hAnsi="方正仿宋_GB2312" w:eastAsia="方正仿宋_GB2312" w:cs="方正仿宋_GB2312"/>
          <w:snapToGrid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napToGrid w:val="0"/>
          <w:color w:val="000000" w:themeColor="text1"/>
          <w:spacing w:val="0"/>
          <w:kern w:val="0"/>
          <w:sz w:val="31"/>
          <w:szCs w:val="31"/>
          <w:lang w:val="en-US" w:eastAsia="zh-CN" w:bidi="ar-SA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方正仿宋_GB2312" w:hAnsi="方正仿宋_GB2312" w:eastAsia="方正仿宋_GB2312" w:cs="方正仿宋_GB2312"/>
          <w:snapToGrid/>
          <w:color w:val="000000"/>
          <w:kern w:val="0"/>
          <w:sz w:val="32"/>
          <w:szCs w:val="32"/>
          <w:lang w:val="en-US" w:eastAsia="zh-CN" w:bidi="ar-SA"/>
        </w:rPr>
        <w:t>加强项目开展进度的跟踪，开展项目绩效评价，确保项目绩效目标的完成。</w:t>
      </w:r>
    </w:p>
    <w:p w14:paraId="47BCC704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九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48C27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无。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148189-690F-45C5-B040-3AC26B5F9A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4A123B1-43E9-42AB-9436-19E4CCCD12A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8FE3138-9BC2-4D1A-9A05-3561F5A99D9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C0DC327-50DC-43E1-907F-0C5D3AEB7E9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24AE523-ECC2-4697-98AA-654C30DCE76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20735742-721B-4BD0-A2FD-1145D9D53B3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ED3508B4"/>
    <w:multiLevelType w:val="singleLevel"/>
    <w:tmpl w:val="ED3508B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22574B0"/>
    <w:multiLevelType w:val="singleLevel"/>
    <w:tmpl w:val="222574B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MmI4OWZlMjE2MjlmODhhOTNkYmNmOGQwMjJlNTQifQ=="/>
  </w:docVars>
  <w:rsids>
    <w:rsidRoot w:val="00000000"/>
    <w:rsid w:val="0C6E30D4"/>
    <w:rsid w:val="142B4A66"/>
    <w:rsid w:val="15BF56EC"/>
    <w:rsid w:val="1E34229D"/>
    <w:rsid w:val="25D81B18"/>
    <w:rsid w:val="2BF37F7B"/>
    <w:rsid w:val="35CB6416"/>
    <w:rsid w:val="3D353C72"/>
    <w:rsid w:val="489920CD"/>
    <w:rsid w:val="4B4334AB"/>
    <w:rsid w:val="5403276E"/>
    <w:rsid w:val="54C57A37"/>
    <w:rsid w:val="6C3E45F5"/>
    <w:rsid w:val="7294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2"/>
    </w:pPr>
    <w:rPr>
      <w:rFonts w:ascii="Times New Roman" w:hAnsi="Times New Roman" w:eastAsia="方正楷体_GBK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文字"/>
    <w:basedOn w:val="1"/>
    <w:next w:val="1"/>
    <w:autoRedefine/>
    <w:qFormat/>
    <w:uiPriority w:val="0"/>
    <w:pPr>
      <w:spacing w:after="120"/>
    </w:pPr>
    <w:rPr>
      <w:rFonts w:ascii="等线" w:hAnsi="等线" w:eastAsia="等线" w:cs="宋体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3483</Words>
  <Characters>3579</Characters>
  <Lines>0</Lines>
  <Paragraphs>0</Paragraphs>
  <TotalTime>1</TotalTime>
  <ScaleCrop>false</ScaleCrop>
  <LinksUpToDate>false</LinksUpToDate>
  <CharactersWithSpaces>3584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WPS_1717177396</cp:lastModifiedBy>
  <dcterms:modified xsi:type="dcterms:W3CDTF">2024-09-03T02:22:53Z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C5EEA67B28824454B0F179AB782C9E88_13</vt:lpwstr>
  </property>
</Properties>
</file>