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2023年度文化馆</w:t>
      </w:r>
      <w:r>
        <w:rPr>
          <w:rFonts w:hint="eastAsia" w:ascii="方正小标宋简体" w:hAnsi="方正小标宋简体" w:eastAsia="方正小标宋简体" w:cs="方正小标宋简体"/>
          <w:sz w:val="44"/>
          <w:szCs w:val="44"/>
        </w:rPr>
        <w:t>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keepNext w:val="0"/>
        <w:keepLines w:val="0"/>
        <w:pageBreakBefore w:val="0"/>
        <w:widowControl/>
        <w:numPr>
          <w:ilvl w:val="0"/>
          <w:numId w:val="1"/>
        </w:numPr>
        <w:wordWrap/>
        <w:overflowPunct/>
        <w:topLinePunct w:val="0"/>
        <w:bidi w:val="0"/>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6"/>
        <w:keepNext w:val="0"/>
        <w:keepLines w:val="0"/>
        <w:pageBreakBefore w:val="0"/>
        <w:widowControl/>
        <w:numPr>
          <w:ilvl w:val="0"/>
          <w:numId w:val="2"/>
        </w:numPr>
        <w:wordWrap/>
        <w:overflowPunct/>
        <w:topLinePunct w:val="0"/>
        <w:bidi w:val="0"/>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3BE379A6">
      <w:pPr>
        <w:keepNext w:val="0"/>
        <w:keepLines w:val="0"/>
        <w:pageBreakBefore w:val="0"/>
        <w:kinsoku/>
        <w:wordWrap/>
        <w:overflowPunct/>
        <w:topLinePunct w:val="0"/>
        <w:autoSpaceDE/>
        <w:autoSpaceDN/>
        <w:bidi w:val="0"/>
        <w:adjustRightInd/>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炎陵县文化馆属县财政全额拨款的事业单位，在预算级次上系隶属于炎陵县文化旅游广电体育局下的二级预算单位。文化馆职责是</w:t>
      </w:r>
      <w:bookmarkStart w:id="0" w:name="OLE_LINK3"/>
      <w:r>
        <w:rPr>
          <w:rFonts w:hint="default" w:ascii="Times New Roman" w:hAnsi="Times New Roman" w:eastAsia="仿宋_GB2312" w:cs="Times New Roman"/>
          <w:sz w:val="32"/>
          <w:szCs w:val="32"/>
        </w:rPr>
        <w:t>继承和发扬发民间民俗文化</w:t>
      </w:r>
      <w:bookmarkEnd w:id="0"/>
      <w:r>
        <w:rPr>
          <w:rFonts w:hint="default" w:ascii="Times New Roman" w:hAnsi="Times New Roman" w:eastAsia="仿宋_GB2312" w:cs="Times New Roman"/>
          <w:sz w:val="32"/>
          <w:szCs w:val="32"/>
        </w:rPr>
        <w:t>，</w:t>
      </w:r>
      <w:bookmarkStart w:id="1" w:name="OLE_LINK4"/>
      <w:r>
        <w:rPr>
          <w:rFonts w:hint="default" w:ascii="Times New Roman" w:hAnsi="Times New Roman" w:eastAsia="仿宋_GB2312" w:cs="Times New Roman"/>
          <w:sz w:val="32"/>
          <w:szCs w:val="32"/>
        </w:rPr>
        <w:t>丰富群众文化生活，</w:t>
      </w:r>
      <w:bookmarkEnd w:id="1"/>
      <w:r>
        <w:rPr>
          <w:rFonts w:hint="default" w:ascii="Times New Roman" w:hAnsi="Times New Roman" w:eastAsia="仿宋_GB2312" w:cs="Times New Roman"/>
          <w:sz w:val="32"/>
          <w:szCs w:val="32"/>
        </w:rPr>
        <w:t>促进文化事业发展，服务于社会，为构建和谐社会，繁荣炎陵经济提升活动精品创造条件。文化馆执行行政事业单位财务会计制度，隶属于炎陵县旅游和文体广电新闻出版局下的二级预算单位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人员编制9人，</w:t>
      </w:r>
      <w:r>
        <w:rPr>
          <w:rFonts w:hint="eastAsia" w:ascii="Times New Roman" w:hAnsi="Times New Roman" w:eastAsia="仿宋_GB2312" w:cs="Times New Roman"/>
          <w:sz w:val="32"/>
          <w:szCs w:val="32"/>
          <w:lang w:eastAsia="zh-CN"/>
        </w:rPr>
        <w:t>在编在岗</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 xml:space="preserve"> 人</w:t>
      </w:r>
      <w:r>
        <w:rPr>
          <w:rFonts w:hint="eastAsia" w:ascii="Times New Roman" w:hAnsi="Times New Roman" w:eastAsia="仿宋_GB2312" w:cs="Times New Roman"/>
          <w:sz w:val="32"/>
          <w:szCs w:val="32"/>
          <w:lang w:val="en-US" w:eastAsia="zh-CN"/>
        </w:rPr>
        <w:t>。</w:t>
      </w:r>
    </w:p>
    <w:p w14:paraId="5556C9CE">
      <w:pPr>
        <w:pStyle w:val="6"/>
        <w:keepNext w:val="0"/>
        <w:keepLines w:val="0"/>
        <w:pageBreakBefore w:val="0"/>
        <w:widowControl/>
        <w:numPr>
          <w:ilvl w:val="0"/>
          <w:numId w:val="2"/>
        </w:numPr>
        <w:wordWrap/>
        <w:overflowPunct/>
        <w:topLinePunct w:val="0"/>
        <w:bidi w:val="0"/>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3EE4064A">
      <w:pPr>
        <w:keepNext w:val="0"/>
        <w:keepLines w:val="0"/>
        <w:pageBreakBefore w:val="0"/>
        <w:wordWrap/>
        <w:overflowPunct/>
        <w:topLinePunct w:val="0"/>
        <w:bidi w:val="0"/>
        <w:spacing w:line="520" w:lineRule="exact"/>
        <w:ind w:firstLine="640" w:firstLineChars="200"/>
        <w:rPr>
          <w:rFonts w:hint="eastAsia" w:ascii="楷体_GB2312" w:hAnsi="楷体_GB2312" w:eastAsia="仿宋_GB2312" w:cs="楷体_GB2312"/>
          <w:b/>
          <w:bCs/>
          <w:sz w:val="32"/>
          <w:szCs w:val="32"/>
          <w:lang w:val="en-US" w:eastAsia="zh-CN"/>
        </w:rPr>
      </w:pPr>
      <w:r>
        <w:rPr>
          <w:rFonts w:hint="eastAsia" w:eastAsia="仿宋_GB2312"/>
          <w:color w:val="auto"/>
          <w:sz w:val="32"/>
          <w:szCs w:val="32"/>
          <w:lang w:val="en-US" w:eastAsia="zh-CN"/>
        </w:rPr>
        <w:t>通过履行单位基本职能，即</w:t>
      </w:r>
      <w:r>
        <w:rPr>
          <w:rFonts w:hint="eastAsia" w:eastAsia="仿宋_GB2312"/>
          <w:color w:val="auto"/>
          <w:sz w:val="32"/>
          <w:szCs w:val="32"/>
        </w:rPr>
        <w:t>举办各类展览、讲座、培训等文化活动，普及科学文化知识，开展社会教育，提高群众文化素质，促进当地精神文明建设；组织开展群众文化活动；指导群众业余文艺团队建设；辅导和培训群众文艺骨干、群众文化团队；组织并指导群众文艺创作，开展群众文化工作理论研究；指导乡镇、村（社区）文化服务机构开展工作，培训群文工作人员，并配送文化资源和文化服务；积极开展传习活动，培养艺术创作表演人才；收集、整理、研究非物质文化遗产，开展非物质文化遗产普查、展示、宣传和保护活动，指导传承人开展传习和传承活动</w:t>
      </w:r>
      <w:r>
        <w:rPr>
          <w:rFonts w:hint="eastAsia" w:eastAsia="仿宋_GB2312"/>
          <w:color w:val="auto"/>
          <w:sz w:val="32"/>
          <w:szCs w:val="32"/>
          <w:lang w:eastAsia="zh-CN"/>
        </w:rPr>
        <w:t>，</w:t>
      </w:r>
      <w:r>
        <w:rPr>
          <w:rFonts w:eastAsia="仿宋_GB2312"/>
          <w:sz w:val="32"/>
          <w:szCs w:val="32"/>
        </w:rPr>
        <w:t>继承和发扬发民间民俗文化，丰富群众文化生活，促进文化事业发展，服务于社会，为构建和谐社会，繁荣炎陵经济提升活动精品创造条件。</w:t>
      </w:r>
    </w:p>
    <w:p w14:paraId="7587B28A">
      <w:pPr>
        <w:pStyle w:val="6"/>
        <w:keepNext w:val="0"/>
        <w:keepLines w:val="0"/>
        <w:pageBreakBefore w:val="0"/>
        <w:widowControl/>
        <w:wordWrap/>
        <w:overflowPunct/>
        <w:topLinePunct w:val="0"/>
        <w:bidi w:val="0"/>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keepNext w:val="0"/>
        <w:keepLines w:val="0"/>
        <w:pageBreakBefore w:val="0"/>
        <w:widowControl/>
        <w:wordWrap/>
        <w:overflowPunct/>
        <w:topLinePunct w:val="0"/>
        <w:bidi w:val="0"/>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36516479">
      <w:pPr>
        <w:keepNext w:val="0"/>
        <w:keepLines w:val="0"/>
        <w:pageBreakBefore w:val="0"/>
        <w:wordWrap/>
        <w:overflowPunct/>
        <w:topLinePunct w:val="0"/>
        <w:bidi w:val="0"/>
        <w:spacing w:line="520" w:lineRule="exact"/>
        <w:ind w:firstLine="640" w:firstLineChars="200"/>
        <w:rPr>
          <w:rFonts w:eastAsia="仿宋_GB2312"/>
          <w:color w:val="auto"/>
          <w:sz w:val="32"/>
          <w:szCs w:val="32"/>
        </w:rPr>
      </w:pPr>
      <w:r>
        <w:rPr>
          <w:rFonts w:eastAsia="仿宋_GB2312"/>
          <w:sz w:val="32"/>
          <w:szCs w:val="32"/>
        </w:rPr>
        <w:t>202</w:t>
      </w:r>
      <w:r>
        <w:rPr>
          <w:rFonts w:hint="eastAsia" w:eastAsia="仿宋_GB2312"/>
          <w:sz w:val="32"/>
          <w:szCs w:val="32"/>
          <w:lang w:val="en-US" w:eastAsia="zh-CN"/>
        </w:rPr>
        <w:t>3</w:t>
      </w:r>
      <w:r>
        <w:rPr>
          <w:rFonts w:eastAsia="仿宋_GB2312"/>
          <w:sz w:val="32"/>
          <w:szCs w:val="32"/>
        </w:rPr>
        <w:t>年我馆</w:t>
      </w:r>
      <w:r>
        <w:rPr>
          <w:rFonts w:hint="eastAsia" w:eastAsia="仿宋_GB2312"/>
          <w:sz w:val="32"/>
          <w:szCs w:val="32"/>
          <w:lang w:val="en-US" w:eastAsia="zh-CN"/>
        </w:rPr>
        <w:t>全年基本支出金额1414552.49元</w:t>
      </w:r>
      <w:r>
        <w:rPr>
          <w:rFonts w:eastAsia="仿宋_GB2312"/>
          <w:sz w:val="32"/>
          <w:szCs w:val="32"/>
        </w:rPr>
        <w:t>，</w:t>
      </w:r>
      <w:r>
        <w:rPr>
          <w:rFonts w:hint="eastAsia" w:eastAsia="仿宋_GB2312"/>
          <w:sz w:val="32"/>
          <w:szCs w:val="32"/>
          <w:lang w:val="en-US" w:eastAsia="zh-CN"/>
        </w:rPr>
        <w:t>其中：</w:t>
      </w:r>
      <w:r>
        <w:rPr>
          <w:rFonts w:eastAsia="仿宋_GB2312"/>
          <w:sz w:val="32"/>
          <w:szCs w:val="32"/>
        </w:rPr>
        <w:t>文化旅游体育与传媒支出</w:t>
      </w:r>
      <w:r>
        <w:rPr>
          <w:rFonts w:hint="eastAsia" w:eastAsia="仿宋_GB2312"/>
          <w:sz w:val="32"/>
          <w:szCs w:val="32"/>
          <w:lang w:val="en-US" w:eastAsia="zh-CN"/>
        </w:rPr>
        <w:t>1125963.36</w:t>
      </w:r>
      <w:r>
        <w:rPr>
          <w:rFonts w:eastAsia="仿宋_GB2312"/>
          <w:sz w:val="32"/>
          <w:szCs w:val="32"/>
        </w:rPr>
        <w:t>元，社会保障和就业支出</w:t>
      </w:r>
      <w:r>
        <w:rPr>
          <w:rFonts w:hint="eastAsia" w:eastAsia="仿宋_GB2312"/>
          <w:sz w:val="32"/>
          <w:szCs w:val="32"/>
        </w:rPr>
        <w:t>133908.18</w:t>
      </w:r>
      <w:r>
        <w:rPr>
          <w:rFonts w:eastAsia="仿宋_GB2312"/>
          <w:sz w:val="32"/>
          <w:szCs w:val="32"/>
        </w:rPr>
        <w:t>元，卫生健康支出</w:t>
      </w:r>
      <w:r>
        <w:rPr>
          <w:rFonts w:hint="eastAsia" w:eastAsia="仿宋_GB2312"/>
          <w:sz w:val="32"/>
          <w:szCs w:val="32"/>
        </w:rPr>
        <w:t>52890.95</w:t>
      </w:r>
      <w:r>
        <w:rPr>
          <w:rFonts w:eastAsia="仿宋_GB2312"/>
          <w:sz w:val="32"/>
          <w:szCs w:val="32"/>
        </w:rPr>
        <w:t>元，住房保障支出</w:t>
      </w:r>
      <w:r>
        <w:rPr>
          <w:rFonts w:hint="eastAsia" w:eastAsia="仿宋_GB2312"/>
          <w:sz w:val="32"/>
          <w:szCs w:val="32"/>
        </w:rPr>
        <w:t>101790</w:t>
      </w:r>
      <w:r>
        <w:rPr>
          <w:rFonts w:eastAsia="仿宋_GB2312"/>
          <w:sz w:val="32"/>
          <w:szCs w:val="32"/>
        </w:rPr>
        <w:t>元</w:t>
      </w:r>
      <w:r>
        <w:rPr>
          <w:rFonts w:eastAsia="仿宋_GB2312"/>
          <w:color w:val="auto"/>
          <w:sz w:val="32"/>
          <w:szCs w:val="32"/>
        </w:rPr>
        <w:t>。</w:t>
      </w:r>
    </w:p>
    <w:p w14:paraId="7C11EFB6">
      <w:pPr>
        <w:keepNext w:val="0"/>
        <w:keepLines w:val="0"/>
        <w:pageBreakBefore w:val="0"/>
        <w:wordWrap/>
        <w:overflowPunct/>
        <w:topLinePunct w:val="0"/>
        <w:bidi w:val="0"/>
        <w:spacing w:line="52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27273B96">
      <w:pPr>
        <w:keepNext w:val="0"/>
        <w:keepLines w:val="0"/>
        <w:pageBreakBefore w:val="0"/>
        <w:numPr>
          <w:ilvl w:val="0"/>
          <w:numId w:val="0"/>
        </w:numPr>
        <w:wordWrap/>
        <w:overflowPunct/>
        <w:topLinePunct w:val="0"/>
        <w:bidi w:val="0"/>
        <w:snapToGrid w:val="0"/>
        <w:spacing w:line="520" w:lineRule="exact"/>
        <w:ind w:firstLine="640" w:firstLineChars="200"/>
        <w:rPr>
          <w:rFonts w:eastAsia="仿宋_GB2312"/>
          <w:color w:val="auto"/>
          <w:sz w:val="32"/>
          <w:szCs w:val="32"/>
        </w:rPr>
      </w:pPr>
      <w:r>
        <w:rPr>
          <w:rFonts w:eastAsia="仿宋_GB2312"/>
          <w:color w:val="auto"/>
          <w:kern w:val="2"/>
          <w:sz w:val="32"/>
          <w:szCs w:val="32"/>
          <w:lang w:val="en-US" w:eastAsia="zh-CN" w:bidi="ar-SA"/>
        </w:rPr>
        <w:t>（</w:t>
      </w:r>
      <w:r>
        <w:rPr>
          <w:rFonts w:hint="eastAsia" w:eastAsia="仿宋_GB2312"/>
          <w:color w:val="auto"/>
          <w:kern w:val="2"/>
          <w:sz w:val="32"/>
          <w:szCs w:val="32"/>
          <w:lang w:val="en-US" w:eastAsia="zh-CN" w:bidi="ar-SA"/>
        </w:rPr>
        <w:t>1</w:t>
      </w:r>
      <w:r>
        <w:rPr>
          <w:rFonts w:eastAsia="仿宋_GB2312"/>
          <w:color w:val="auto"/>
          <w:kern w:val="2"/>
          <w:sz w:val="32"/>
          <w:szCs w:val="32"/>
          <w:lang w:val="en-US" w:eastAsia="zh-CN" w:bidi="ar-SA"/>
        </w:rPr>
        <w:t>）</w:t>
      </w:r>
      <w:r>
        <w:rPr>
          <w:rFonts w:eastAsia="仿宋_GB2312"/>
          <w:color w:val="auto"/>
          <w:sz w:val="32"/>
          <w:szCs w:val="32"/>
        </w:rPr>
        <w:t>炎帝陵祭典项目</w:t>
      </w:r>
    </w:p>
    <w:p w14:paraId="05FA8F6F">
      <w:pPr>
        <w:keepNext w:val="0"/>
        <w:keepLines w:val="0"/>
        <w:pageBreakBefore w:val="0"/>
        <w:wordWrap/>
        <w:overflowPunct/>
        <w:topLinePunct w:val="0"/>
        <w:bidi w:val="0"/>
        <w:snapToGrid w:val="0"/>
        <w:spacing w:line="520" w:lineRule="exact"/>
        <w:ind w:firstLine="640" w:firstLineChars="200"/>
        <w:rPr>
          <w:rFonts w:eastAsia="仿宋_GB2312"/>
          <w:color w:val="auto"/>
          <w:sz w:val="32"/>
          <w:szCs w:val="32"/>
        </w:rPr>
      </w:pPr>
      <w:r>
        <w:rPr>
          <w:rFonts w:eastAsia="仿宋_GB2312"/>
          <w:color w:val="auto"/>
          <w:sz w:val="32"/>
          <w:szCs w:val="32"/>
        </w:rPr>
        <w:t>本年度炎帝陵祭典项目收入</w:t>
      </w:r>
      <w:r>
        <w:rPr>
          <w:rFonts w:hint="eastAsia" w:eastAsia="仿宋_GB2312"/>
          <w:color w:val="auto"/>
          <w:sz w:val="32"/>
          <w:szCs w:val="32"/>
          <w:lang w:val="en-US" w:eastAsia="zh-CN"/>
        </w:rPr>
        <w:t>189936</w:t>
      </w:r>
      <w:r>
        <w:rPr>
          <w:rFonts w:eastAsia="仿宋_GB2312"/>
          <w:color w:val="auto"/>
          <w:sz w:val="32"/>
          <w:szCs w:val="32"/>
        </w:rPr>
        <w:t>元，支出</w:t>
      </w:r>
      <w:r>
        <w:rPr>
          <w:rFonts w:hint="eastAsia" w:eastAsia="仿宋_GB2312"/>
          <w:color w:val="auto"/>
          <w:sz w:val="32"/>
          <w:szCs w:val="32"/>
          <w:lang w:val="en-US" w:eastAsia="zh-CN"/>
        </w:rPr>
        <w:t>189936</w:t>
      </w:r>
      <w:r>
        <w:rPr>
          <w:rFonts w:eastAsia="仿宋_GB2312"/>
          <w:color w:val="auto"/>
          <w:sz w:val="32"/>
          <w:szCs w:val="32"/>
        </w:rPr>
        <w:t>元，用于炎帝陵祭典项目的相关支出（含非遗培训班、非遗办公、非遗保护工作总结表彰、非遗活动群文先进个人表彰</w:t>
      </w:r>
      <w:r>
        <w:rPr>
          <w:rFonts w:hint="eastAsia" w:eastAsia="仿宋_GB2312"/>
          <w:color w:val="auto"/>
          <w:sz w:val="32"/>
          <w:szCs w:val="32"/>
        </w:rPr>
        <w:t>及</w:t>
      </w:r>
      <w:r>
        <w:rPr>
          <w:rFonts w:eastAsia="仿宋_GB2312"/>
          <w:color w:val="auto"/>
          <w:sz w:val="32"/>
          <w:szCs w:val="32"/>
        </w:rPr>
        <w:t>画册宣传资料等方面），</w:t>
      </w:r>
      <w:r>
        <w:rPr>
          <w:rFonts w:hint="eastAsia" w:eastAsia="仿宋_GB2312"/>
          <w:color w:val="auto"/>
          <w:sz w:val="32"/>
          <w:szCs w:val="32"/>
        </w:rPr>
        <w:t>通过</w:t>
      </w:r>
      <w:r>
        <w:rPr>
          <w:rFonts w:hint="eastAsia" w:eastAsia="仿宋_GB2312"/>
          <w:color w:val="auto"/>
          <w:sz w:val="32"/>
          <w:szCs w:val="32"/>
          <w:lang w:eastAsia="zh-CN"/>
        </w:rPr>
        <w:t>四</w:t>
      </w:r>
      <w:r>
        <w:rPr>
          <w:rFonts w:hint="eastAsia" w:eastAsia="仿宋_GB2312"/>
          <w:color w:val="auto"/>
          <w:sz w:val="32"/>
          <w:szCs w:val="32"/>
        </w:rPr>
        <w:t>期培训班的成功举办，让更多人了解了炎帝陵祭典这一项目的外在表现和内在含义，通过非遗办公及非遗宣传资料等其他方面的活动和支出，一是进一步完善了项目资料，二是通过其他方面的活动使炎帝陵祭典与我县的整体非遗发展合二为一，促使非遗传承人更加努力传承，同时也促进了炎帝陵祭典项目的发展的</w:t>
      </w:r>
      <w:r>
        <w:rPr>
          <w:rFonts w:eastAsia="仿宋_GB2312"/>
          <w:color w:val="auto"/>
          <w:sz w:val="32"/>
          <w:szCs w:val="32"/>
        </w:rPr>
        <w:t>。</w:t>
      </w:r>
    </w:p>
    <w:p w14:paraId="32741A9B">
      <w:pPr>
        <w:keepNext w:val="0"/>
        <w:keepLines w:val="0"/>
        <w:pageBreakBefore w:val="0"/>
        <w:wordWrap/>
        <w:overflowPunct/>
        <w:topLinePunct w:val="0"/>
        <w:bidi w:val="0"/>
        <w:snapToGrid w:val="0"/>
        <w:spacing w:line="520" w:lineRule="exact"/>
        <w:ind w:firstLine="640" w:firstLineChars="200"/>
        <w:rPr>
          <w:rFonts w:hint="eastAsia"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val="en-US" w:eastAsia="zh-CN"/>
        </w:rPr>
        <w:t>2</w:t>
      </w:r>
      <w:r>
        <w:rPr>
          <w:rFonts w:hint="eastAsia" w:eastAsia="仿宋_GB2312"/>
          <w:color w:val="auto"/>
          <w:sz w:val="32"/>
          <w:szCs w:val="32"/>
        </w:rPr>
        <w:t>）</w:t>
      </w:r>
      <w:r>
        <w:rPr>
          <w:rFonts w:hint="eastAsia" w:eastAsia="仿宋_GB2312"/>
          <w:color w:val="auto"/>
          <w:sz w:val="32"/>
          <w:szCs w:val="32"/>
          <w:lang w:eastAsia="zh-CN"/>
        </w:rPr>
        <w:t>非遗传承人保护项目</w:t>
      </w:r>
    </w:p>
    <w:p w14:paraId="376090C7">
      <w:pPr>
        <w:keepNext w:val="0"/>
        <w:keepLines w:val="0"/>
        <w:pageBreakBefore w:val="0"/>
        <w:wordWrap/>
        <w:overflowPunct/>
        <w:topLinePunct w:val="0"/>
        <w:bidi w:val="0"/>
        <w:snapToGrid w:val="0"/>
        <w:spacing w:line="520" w:lineRule="exact"/>
        <w:ind w:firstLine="640" w:firstLineChars="200"/>
        <w:rPr>
          <w:rFonts w:eastAsia="仿宋_GB2312"/>
          <w:color w:val="auto"/>
          <w:sz w:val="32"/>
          <w:szCs w:val="32"/>
        </w:rPr>
      </w:pPr>
      <w:r>
        <w:rPr>
          <w:rFonts w:hint="eastAsia" w:eastAsia="仿宋_GB2312"/>
          <w:color w:val="auto"/>
          <w:sz w:val="32"/>
          <w:szCs w:val="32"/>
        </w:rPr>
        <w:t>本年度</w:t>
      </w:r>
      <w:r>
        <w:rPr>
          <w:rFonts w:hint="eastAsia" w:eastAsia="仿宋_GB2312"/>
          <w:color w:val="auto"/>
          <w:sz w:val="32"/>
          <w:szCs w:val="32"/>
          <w:lang w:eastAsia="zh-CN"/>
        </w:rPr>
        <w:t>非遗传承人保护（含非遗进景区及客家山歌）项目</w:t>
      </w:r>
      <w:r>
        <w:rPr>
          <w:rFonts w:hint="eastAsia" w:eastAsia="仿宋_GB2312"/>
          <w:color w:val="auto"/>
          <w:sz w:val="32"/>
          <w:szCs w:val="32"/>
        </w:rPr>
        <w:t>收入</w:t>
      </w:r>
      <w:r>
        <w:rPr>
          <w:rFonts w:hint="eastAsia" w:eastAsia="仿宋_GB2312"/>
          <w:color w:val="auto"/>
          <w:sz w:val="32"/>
          <w:szCs w:val="32"/>
          <w:lang w:val="en-US" w:eastAsia="zh-CN"/>
        </w:rPr>
        <w:t>167725</w:t>
      </w:r>
      <w:r>
        <w:rPr>
          <w:rFonts w:hint="eastAsia" w:eastAsia="仿宋_GB2312"/>
          <w:color w:val="auto"/>
          <w:sz w:val="32"/>
          <w:szCs w:val="32"/>
        </w:rPr>
        <w:t>元，支出</w:t>
      </w:r>
      <w:r>
        <w:rPr>
          <w:rFonts w:hint="eastAsia" w:eastAsia="仿宋_GB2312"/>
          <w:color w:val="auto"/>
          <w:sz w:val="32"/>
          <w:szCs w:val="32"/>
          <w:lang w:val="en-US" w:eastAsia="zh-CN"/>
        </w:rPr>
        <w:t>167725</w:t>
      </w:r>
      <w:r>
        <w:rPr>
          <w:rFonts w:hint="eastAsia" w:eastAsia="仿宋_GB2312"/>
          <w:color w:val="auto"/>
          <w:sz w:val="32"/>
          <w:szCs w:val="32"/>
        </w:rPr>
        <w:t>元，用于</w:t>
      </w:r>
      <w:r>
        <w:rPr>
          <w:rFonts w:hint="eastAsia" w:eastAsia="仿宋_GB2312"/>
          <w:color w:val="auto"/>
          <w:sz w:val="32"/>
          <w:szCs w:val="32"/>
          <w:lang w:eastAsia="zh-CN"/>
        </w:rPr>
        <w:t>非遗保护项目相关支出（含非遗进景区服装及道具购置、非遗进景区演员劳务、非遗资料印刷及音乐制作等），</w:t>
      </w:r>
      <w:r>
        <w:rPr>
          <w:rFonts w:hint="eastAsia" w:eastAsia="仿宋_GB2312"/>
          <w:color w:val="auto"/>
          <w:sz w:val="32"/>
          <w:szCs w:val="32"/>
        </w:rPr>
        <w:t>通过非遗办公及非遗宣传资料等其他方面的活动和支出，一是进一步完善了项目资料，二是通过演出的形式让游客对炎帝的主要功绩更加明晰，项目的发展的</w:t>
      </w:r>
      <w:r>
        <w:rPr>
          <w:rFonts w:eastAsia="仿宋_GB2312"/>
          <w:color w:val="auto"/>
          <w:sz w:val="32"/>
          <w:szCs w:val="32"/>
        </w:rPr>
        <w:t>。</w:t>
      </w:r>
    </w:p>
    <w:p w14:paraId="2828FBA0">
      <w:pPr>
        <w:pStyle w:val="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eastAsia="仿宋_GB2312"/>
          <w:color w:val="auto"/>
          <w:sz w:val="32"/>
          <w:szCs w:val="32"/>
          <w:lang w:val="en-US"/>
        </w:rPr>
      </w:pPr>
      <w:r>
        <w:rPr>
          <w:rFonts w:hint="eastAsia" w:eastAsia="仿宋_GB2312"/>
          <w:color w:val="auto"/>
          <w:sz w:val="32"/>
          <w:szCs w:val="32"/>
        </w:rPr>
        <w:t>（</w:t>
      </w:r>
      <w:r>
        <w:rPr>
          <w:rFonts w:hint="eastAsia" w:eastAsia="仿宋_GB2312"/>
          <w:color w:val="auto"/>
          <w:sz w:val="32"/>
          <w:szCs w:val="32"/>
          <w:lang w:val="en-US" w:eastAsia="zh-CN"/>
        </w:rPr>
        <w:t>3</w:t>
      </w:r>
      <w:r>
        <w:rPr>
          <w:rFonts w:hint="eastAsia" w:eastAsia="仿宋_GB2312"/>
          <w:color w:val="auto"/>
          <w:sz w:val="32"/>
          <w:szCs w:val="32"/>
        </w:rPr>
        <w:t>）</w:t>
      </w:r>
      <w:r>
        <w:rPr>
          <w:rFonts w:hint="eastAsia" w:eastAsia="仿宋_GB2312"/>
          <w:color w:val="auto"/>
          <w:sz w:val="32"/>
          <w:szCs w:val="32"/>
          <w:lang w:eastAsia="zh-CN"/>
        </w:rPr>
        <w:t>公共文化体系建设（一般项目）</w:t>
      </w:r>
      <w:r>
        <w:rPr>
          <w:rFonts w:hint="eastAsia" w:eastAsia="仿宋_GB2312"/>
          <w:color w:val="auto"/>
          <w:sz w:val="32"/>
          <w:szCs w:val="32"/>
          <w:lang w:val="en-US" w:eastAsia="zh-CN"/>
        </w:rPr>
        <w:t>-送戏下乡项目收入21万元，支出21万元，主要用于送戏下乡车辆租赁、演员劳务、设备租赁及广告制作等。通过</w:t>
      </w:r>
      <w:r>
        <w:rPr>
          <w:rFonts w:hint="eastAsia" w:ascii="Times New Roman" w:hAnsi="Times New Roman" w:eastAsia="仿宋_GB2312" w:cs="Times New Roman"/>
          <w:sz w:val="32"/>
          <w:szCs w:val="32"/>
        </w:rPr>
        <w:t>送戏曲进乡村</w:t>
      </w:r>
      <w:r>
        <w:rPr>
          <w:rFonts w:hint="eastAsia" w:ascii="Times New Roman" w:hAnsi="Times New Roman" w:eastAsia="仿宋_GB2312" w:cs="Times New Roman"/>
          <w:sz w:val="32"/>
          <w:szCs w:val="32"/>
          <w:lang w:eastAsia="zh-CN"/>
        </w:rPr>
        <w:t>活动使</w:t>
      </w:r>
      <w:r>
        <w:rPr>
          <w:rFonts w:hint="eastAsia" w:ascii="Times New Roman" w:hAnsi="Times New Roman" w:eastAsia="仿宋_GB2312" w:cs="Times New Roman"/>
          <w:sz w:val="32"/>
          <w:szCs w:val="32"/>
        </w:rPr>
        <w:t>基本公</w:t>
      </w:r>
      <w:bookmarkStart w:id="5" w:name="_GoBack"/>
      <w:bookmarkEnd w:id="5"/>
      <w:r>
        <w:rPr>
          <w:rFonts w:hint="eastAsia" w:ascii="Times New Roman" w:hAnsi="Times New Roman" w:eastAsia="仿宋_GB2312" w:cs="Times New Roman"/>
          <w:sz w:val="32"/>
          <w:szCs w:val="32"/>
        </w:rPr>
        <w:t>共文化服务水平平稳提升，群众精神文化生活日益丰富，居民安定和谐</w:t>
      </w:r>
      <w:r>
        <w:rPr>
          <w:rFonts w:hint="eastAsia" w:ascii="Times New Roman" w:hAnsi="Times New Roman" w:eastAsia="仿宋_GB2312" w:cs="Times New Roman"/>
          <w:sz w:val="32"/>
          <w:szCs w:val="32"/>
          <w:lang w:eastAsia="zh-CN"/>
        </w:rPr>
        <w:t>。</w:t>
      </w:r>
    </w:p>
    <w:p w14:paraId="751A51C8">
      <w:pPr>
        <w:pStyle w:val="6"/>
        <w:keepNext w:val="0"/>
        <w:keepLines w:val="0"/>
        <w:pageBreakBefore w:val="0"/>
        <w:widowControl/>
        <w:numPr>
          <w:ilvl w:val="0"/>
          <w:numId w:val="1"/>
        </w:numPr>
        <w:wordWrap/>
        <w:overflowPunct/>
        <w:topLinePunct w:val="0"/>
        <w:bidi w:val="0"/>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政府性基金预算支出情况</w:t>
      </w:r>
    </w:p>
    <w:p w14:paraId="47EA22ED">
      <w:pPr>
        <w:keepNext w:val="0"/>
        <w:keepLines w:val="0"/>
        <w:pageBreakBefore w:val="0"/>
        <w:widowControl/>
        <w:wordWrap/>
        <w:overflowPunct/>
        <w:topLinePunct w:val="0"/>
        <w:bidi w:val="0"/>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 xml:space="preserve"> 无</w:t>
      </w:r>
    </w:p>
    <w:p w14:paraId="216101D4">
      <w:pPr>
        <w:pStyle w:val="6"/>
        <w:keepNext w:val="0"/>
        <w:keepLines w:val="0"/>
        <w:pageBreakBefore w:val="0"/>
        <w:widowControl/>
        <w:numPr>
          <w:ilvl w:val="0"/>
          <w:numId w:val="1"/>
        </w:numPr>
        <w:wordWrap/>
        <w:overflowPunct/>
        <w:topLinePunct w:val="0"/>
        <w:bidi w:val="0"/>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108E8CAC">
      <w:pPr>
        <w:keepNext w:val="0"/>
        <w:keepLines w:val="0"/>
        <w:pageBreakBefore w:val="0"/>
        <w:widowControl/>
        <w:wordWrap/>
        <w:overflowPunct/>
        <w:topLinePunct w:val="0"/>
        <w:bidi w:val="0"/>
        <w:spacing w:line="520" w:lineRule="exact"/>
        <w:ind w:firstLine="640" w:firstLineChars="200"/>
        <w:jc w:val="left"/>
        <w:rPr>
          <w:rFonts w:hint="default" w:eastAsia="仿宋_GB2312"/>
          <w:sz w:val="32"/>
          <w:szCs w:val="32"/>
          <w:lang w:val="en-US" w:eastAsia="zh-CN"/>
        </w:rPr>
      </w:pPr>
      <w:r>
        <w:rPr>
          <w:rFonts w:hint="eastAsia" w:eastAsia="仿宋_GB2312"/>
          <w:sz w:val="32"/>
          <w:szCs w:val="32"/>
          <w:lang w:val="en-US" w:eastAsia="zh-CN"/>
        </w:rPr>
        <w:t>无</w:t>
      </w:r>
    </w:p>
    <w:p w14:paraId="690EE68D">
      <w:pPr>
        <w:pStyle w:val="6"/>
        <w:keepNext w:val="0"/>
        <w:keepLines w:val="0"/>
        <w:pageBreakBefore w:val="0"/>
        <w:widowControl/>
        <w:numPr>
          <w:ilvl w:val="0"/>
          <w:numId w:val="1"/>
        </w:numPr>
        <w:wordWrap/>
        <w:overflowPunct/>
        <w:topLinePunct w:val="0"/>
        <w:bidi w:val="0"/>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7F0131E1">
      <w:pPr>
        <w:keepNext w:val="0"/>
        <w:keepLines w:val="0"/>
        <w:pageBreakBefore w:val="0"/>
        <w:widowControl/>
        <w:wordWrap/>
        <w:overflowPunct/>
        <w:topLinePunct w:val="0"/>
        <w:bidi w:val="0"/>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无</w:t>
      </w:r>
    </w:p>
    <w:p w14:paraId="7074D3E2">
      <w:pPr>
        <w:keepNext w:val="0"/>
        <w:keepLines w:val="0"/>
        <w:pageBreakBefore w:val="0"/>
        <w:widowControl/>
        <w:wordWrap/>
        <w:overflowPunct/>
        <w:topLinePunct w:val="0"/>
        <w:bidi w:val="0"/>
        <w:spacing w:line="520" w:lineRule="exact"/>
        <w:ind w:firstLine="640" w:firstLineChars="200"/>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329771A5">
      <w:pPr>
        <w:keepNext w:val="0"/>
        <w:keepLines w:val="0"/>
        <w:pageBreakBefore w:val="0"/>
        <w:wordWrap/>
        <w:overflowPunct/>
        <w:topLinePunct w:val="0"/>
        <w:bidi w:val="0"/>
        <w:snapToGrid w:val="0"/>
        <w:spacing w:line="52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eastAsia="zh-CN"/>
        </w:rPr>
        <w:t>（</w:t>
      </w:r>
      <w:r>
        <w:rPr>
          <w:rFonts w:hint="eastAsia" w:eastAsia="仿宋_GB2312"/>
          <w:color w:val="000000"/>
          <w:sz w:val="32"/>
          <w:szCs w:val="32"/>
          <w:lang w:val="en-US" w:eastAsia="zh-CN"/>
        </w:rPr>
        <w:t>一）部门职责履行情况分析</w:t>
      </w:r>
    </w:p>
    <w:p w14:paraId="5C1B17CD">
      <w:pPr>
        <w:keepNext w:val="0"/>
        <w:keepLines w:val="0"/>
        <w:pageBreakBefore w:val="0"/>
        <w:wordWrap/>
        <w:overflowPunct/>
        <w:topLinePunct w:val="0"/>
        <w:bidi w:val="0"/>
        <w:snapToGrid w:val="0"/>
        <w:spacing w:line="520" w:lineRule="exact"/>
        <w:ind w:firstLine="640" w:firstLineChars="200"/>
        <w:rPr>
          <w:rFonts w:hint="default" w:ascii="仿宋_GB2312" w:hAnsi="宋体" w:eastAsia="仿宋_GB2312"/>
          <w:sz w:val="32"/>
          <w:szCs w:val="32"/>
          <w:lang w:val="en-US" w:eastAsia="zh-CN"/>
        </w:rPr>
      </w:pPr>
      <w:r>
        <w:rPr>
          <w:rFonts w:hint="eastAsia" w:eastAsia="仿宋_GB2312"/>
          <w:color w:val="000000"/>
          <w:sz w:val="32"/>
          <w:szCs w:val="32"/>
          <w:lang w:val="en-US" w:eastAsia="zh-CN"/>
        </w:rPr>
        <w:t>文化馆认真履行部门职责，通过开展群文活动、免费开放活动、送戏下乡及非遗传承人相关活动，</w:t>
      </w:r>
      <w:r>
        <w:rPr>
          <w:rFonts w:hint="default" w:ascii="Times New Roman" w:hAnsi="Times New Roman" w:eastAsia="仿宋_GB2312" w:cs="Times New Roman"/>
          <w:sz w:val="32"/>
          <w:szCs w:val="32"/>
        </w:rPr>
        <w:t>继承和发扬发民间民俗文化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丰富群众文化生活，</w:t>
      </w:r>
      <w:r>
        <w:rPr>
          <w:rFonts w:hint="eastAsia" w:ascii="Times New Roman" w:hAnsi="Times New Roman" w:eastAsia="仿宋_GB2312" w:cs="Times New Roman"/>
          <w:sz w:val="32"/>
          <w:szCs w:val="32"/>
          <w:lang w:eastAsia="zh-CN"/>
        </w:rPr>
        <w:t>同时</w:t>
      </w:r>
      <w:r>
        <w:rPr>
          <w:rFonts w:eastAsia="仿宋_GB2312"/>
          <w:sz w:val="32"/>
          <w:szCs w:val="32"/>
        </w:rPr>
        <w:t>促进文化事业发展，服务社会，为构建和谐社会</w:t>
      </w:r>
      <w:r>
        <w:rPr>
          <w:rFonts w:hint="eastAsia" w:eastAsia="仿宋_GB2312"/>
          <w:sz w:val="32"/>
          <w:szCs w:val="32"/>
          <w:lang w:eastAsia="zh-CN"/>
        </w:rPr>
        <w:t>、</w:t>
      </w:r>
      <w:r>
        <w:rPr>
          <w:rFonts w:eastAsia="仿宋_GB2312"/>
          <w:sz w:val="32"/>
          <w:szCs w:val="32"/>
        </w:rPr>
        <w:t>繁荣炎陵经济提升活动精品创造条件。</w:t>
      </w:r>
    </w:p>
    <w:p w14:paraId="0883085C">
      <w:pPr>
        <w:keepNext w:val="0"/>
        <w:keepLines w:val="0"/>
        <w:pageBreakBefore w:val="0"/>
        <w:wordWrap/>
        <w:overflowPunct/>
        <w:topLinePunct w:val="0"/>
        <w:bidi w:val="0"/>
        <w:snapToGrid w:val="0"/>
        <w:spacing w:line="520" w:lineRule="exact"/>
        <w:ind w:firstLine="640" w:firstLineChars="200"/>
        <w:rPr>
          <w:rFonts w:hint="default" w:eastAsia="仿宋_GB2312"/>
          <w:color w:val="000000"/>
          <w:sz w:val="32"/>
          <w:szCs w:val="32"/>
          <w:lang w:val="en-US" w:eastAsia="zh-CN"/>
        </w:rPr>
      </w:pPr>
      <w:r>
        <w:rPr>
          <w:rFonts w:hint="eastAsia" w:eastAsia="仿宋_GB2312"/>
          <w:sz w:val="32"/>
          <w:szCs w:val="32"/>
          <w:lang w:eastAsia="zh-CN"/>
        </w:rPr>
        <w:t>（</w:t>
      </w:r>
      <w:r>
        <w:rPr>
          <w:rFonts w:hint="eastAsia" w:eastAsia="仿宋_GB2312"/>
          <w:sz w:val="32"/>
          <w:szCs w:val="32"/>
          <w:lang w:val="en-US" w:eastAsia="zh-CN"/>
        </w:rPr>
        <w:t>二）社会经济效益分析</w:t>
      </w:r>
    </w:p>
    <w:p w14:paraId="04DBBC33">
      <w:pPr>
        <w:keepNext w:val="0"/>
        <w:keepLines w:val="0"/>
        <w:pageBreakBefore w:val="0"/>
        <w:wordWrap/>
        <w:overflowPunct/>
        <w:topLinePunct w:val="0"/>
        <w:bidi w:val="0"/>
        <w:snapToGrid w:val="0"/>
        <w:spacing w:line="520" w:lineRule="exact"/>
        <w:ind w:firstLine="640" w:firstLineChars="200"/>
        <w:rPr>
          <w:rFonts w:hint="eastAsia" w:ascii="仿宋_GB2312" w:hAnsi="宋体" w:eastAsia="仿宋_GB2312"/>
          <w:sz w:val="32"/>
          <w:szCs w:val="32"/>
          <w:lang w:val="en-US" w:eastAsia="zh-CN"/>
        </w:rPr>
      </w:pPr>
      <w:r>
        <w:rPr>
          <w:rFonts w:hint="eastAsia" w:eastAsia="仿宋_GB2312"/>
          <w:color w:val="000000"/>
          <w:sz w:val="32"/>
          <w:szCs w:val="32"/>
          <w:lang w:val="en-US" w:eastAsia="zh-CN"/>
        </w:rPr>
        <w:t>1、充分</w:t>
      </w:r>
      <w:r>
        <w:rPr>
          <w:rFonts w:eastAsia="仿宋_GB2312"/>
          <w:sz w:val="32"/>
          <w:szCs w:val="32"/>
        </w:rPr>
        <w:t>体现群文活动的广泛性</w:t>
      </w:r>
      <w:r>
        <w:rPr>
          <w:rFonts w:hint="eastAsia" w:eastAsia="仿宋_GB2312"/>
          <w:sz w:val="32"/>
          <w:szCs w:val="32"/>
          <w:lang w:eastAsia="zh-CN"/>
        </w:rPr>
        <w:t>：</w:t>
      </w:r>
      <w:bookmarkStart w:id="2" w:name="OLE_LINK5"/>
      <w:r>
        <w:rPr>
          <w:rFonts w:hint="eastAsia" w:ascii="仿宋_GB2312" w:hAnsi="宋体" w:eastAsia="仿宋_GB2312"/>
          <w:sz w:val="32"/>
          <w:szCs w:val="32"/>
        </w:rPr>
        <w:t>大小型群文活动全年累计开展有</w:t>
      </w:r>
      <w:r>
        <w:rPr>
          <w:rFonts w:hint="eastAsia" w:ascii="仿宋_GB2312" w:hAnsi="宋体" w:eastAsia="仿宋_GB2312"/>
          <w:sz w:val="32"/>
          <w:szCs w:val="32"/>
          <w:lang w:val="en-US" w:eastAsia="zh-CN"/>
        </w:rPr>
        <w:t>90</w:t>
      </w:r>
      <w:r>
        <w:rPr>
          <w:rFonts w:hint="eastAsia" w:ascii="仿宋_GB2312" w:hAnsi="宋体" w:eastAsia="仿宋_GB2312"/>
          <w:sz w:val="32"/>
          <w:szCs w:val="32"/>
        </w:rPr>
        <w:t>余次，</w:t>
      </w:r>
      <w:bookmarkEnd w:id="2"/>
      <w:r>
        <w:rPr>
          <w:rFonts w:hint="eastAsia" w:ascii="仿宋_GB2312" w:hAnsi="宋体" w:eastAsia="仿宋_GB2312"/>
          <w:sz w:val="32"/>
          <w:szCs w:val="32"/>
        </w:rPr>
        <w:t>极大地丰富基层群众的文化精神生活</w:t>
      </w:r>
      <w:r>
        <w:rPr>
          <w:rFonts w:hint="eastAsia" w:ascii="仿宋_GB2312" w:hAnsi="宋体" w:eastAsia="仿宋_GB2312"/>
          <w:sz w:val="32"/>
          <w:szCs w:val="32"/>
          <w:lang w:eastAsia="zh-CN"/>
        </w:rPr>
        <w:t>；</w:t>
      </w:r>
      <w:r>
        <w:rPr>
          <w:rFonts w:hint="eastAsia" w:ascii="仿宋_GB2312" w:hAnsi="宋体" w:eastAsia="仿宋_GB2312"/>
          <w:sz w:val="32"/>
          <w:szCs w:val="32"/>
        </w:rPr>
        <w:t>馆内业务专干积极开展文化作品创作工作</w:t>
      </w:r>
      <w:r>
        <w:rPr>
          <w:rFonts w:hint="eastAsia" w:ascii="仿宋_GB2312" w:hAnsi="宋体" w:eastAsia="仿宋_GB2312"/>
          <w:sz w:val="32"/>
          <w:szCs w:val="32"/>
          <w:lang w:val="en-US" w:eastAsia="zh-CN"/>
        </w:rPr>
        <w:t>同时</w:t>
      </w:r>
      <w:r>
        <w:rPr>
          <w:rFonts w:hint="eastAsia" w:ascii="仿宋_GB2312" w:hAnsi="宋体" w:eastAsia="仿宋_GB2312"/>
          <w:sz w:val="32"/>
          <w:szCs w:val="32"/>
        </w:rPr>
        <w:t>积极参加</w:t>
      </w:r>
      <w:r>
        <w:rPr>
          <w:rFonts w:hint="eastAsia" w:ascii="仿宋_GB2312" w:hAnsi="宋体" w:eastAsia="仿宋_GB2312"/>
          <w:sz w:val="32"/>
          <w:szCs w:val="32"/>
          <w:lang w:val="en-US" w:eastAsia="zh-CN"/>
        </w:rPr>
        <w:t>各类</w:t>
      </w:r>
      <w:r>
        <w:rPr>
          <w:rFonts w:hint="eastAsia" w:ascii="仿宋_GB2312" w:hAnsi="宋体" w:eastAsia="仿宋_GB2312"/>
          <w:sz w:val="32"/>
          <w:szCs w:val="32"/>
        </w:rPr>
        <w:t>培训，不断提高自身业务水平</w:t>
      </w:r>
      <w:r>
        <w:rPr>
          <w:rFonts w:eastAsia="仿宋_GB2312"/>
          <w:sz w:val="32"/>
          <w:szCs w:val="32"/>
        </w:rPr>
        <w:t>，</w:t>
      </w:r>
      <w:bookmarkStart w:id="3" w:name="OLE_LINK1"/>
      <w:r>
        <w:rPr>
          <w:rFonts w:eastAsia="仿宋_GB2312"/>
          <w:sz w:val="32"/>
          <w:szCs w:val="32"/>
        </w:rPr>
        <w:t>促进文化事业发展</w:t>
      </w:r>
      <w:r>
        <w:rPr>
          <w:rFonts w:hint="eastAsia" w:eastAsia="仿宋_GB2312"/>
          <w:sz w:val="32"/>
          <w:szCs w:val="32"/>
          <w:lang w:eastAsia="zh-CN"/>
        </w:rPr>
        <w:t>。</w:t>
      </w:r>
    </w:p>
    <w:bookmarkEnd w:id="3"/>
    <w:p w14:paraId="229075C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宋体" w:eastAsia="仿宋_GB2312"/>
          <w:sz w:val="32"/>
          <w:szCs w:val="32"/>
        </w:rPr>
      </w:pPr>
      <w:r>
        <w:rPr>
          <w:rFonts w:hint="eastAsia" w:eastAsia="仿宋_GB2312"/>
          <w:sz w:val="32"/>
          <w:szCs w:val="32"/>
          <w:lang w:val="en-US" w:eastAsia="zh-CN"/>
        </w:rPr>
        <w:t>2、</w:t>
      </w:r>
      <w:r>
        <w:rPr>
          <w:rFonts w:eastAsia="仿宋_GB2312"/>
          <w:sz w:val="32"/>
          <w:szCs w:val="32"/>
        </w:rPr>
        <w:t>凸显免费开放活动的群众性</w:t>
      </w:r>
      <w:r>
        <w:rPr>
          <w:rFonts w:hint="eastAsia" w:eastAsia="仿宋_GB2312"/>
          <w:sz w:val="32"/>
          <w:szCs w:val="32"/>
          <w:lang w:val="en-US" w:eastAsia="zh-CN"/>
        </w:rPr>
        <w:t>:</w:t>
      </w:r>
      <w:r>
        <w:rPr>
          <w:rFonts w:hint="eastAsia" w:ascii="仿宋_GB2312" w:hAnsi="宋体" w:eastAsia="仿宋_GB2312"/>
          <w:sz w:val="32"/>
          <w:szCs w:val="32"/>
        </w:rPr>
        <w:t>常规性的免费开放工作一直坚持不懈。馆内除办公室外所有公共文化场地均按照国家要求足时对群众进行免费开放，全年约计有</w:t>
      </w:r>
      <w:r>
        <w:rPr>
          <w:rFonts w:hint="eastAsia" w:ascii="仿宋_GB2312" w:hAnsi="宋体" w:eastAsia="仿宋_GB2312"/>
          <w:sz w:val="32"/>
          <w:szCs w:val="32"/>
          <w:lang w:val="en-US" w:eastAsia="zh-CN"/>
        </w:rPr>
        <w:t>10000</w:t>
      </w:r>
      <w:r>
        <w:rPr>
          <w:rFonts w:hint="eastAsia" w:ascii="仿宋_GB2312" w:hAnsi="宋体" w:eastAsia="仿宋_GB2312"/>
          <w:sz w:val="32"/>
          <w:szCs w:val="32"/>
        </w:rPr>
        <w:t>余人</w:t>
      </w:r>
      <w:r>
        <w:rPr>
          <w:rFonts w:hint="eastAsia" w:ascii="仿宋_GB2312" w:hAnsi="宋体" w:eastAsia="仿宋_GB2312"/>
          <w:sz w:val="32"/>
          <w:szCs w:val="32"/>
          <w:lang w:val="en-US" w:eastAsia="zh-CN"/>
        </w:rPr>
        <w:t>次</w:t>
      </w:r>
      <w:r>
        <w:rPr>
          <w:rFonts w:hint="eastAsia" w:ascii="仿宋_GB2312" w:hAnsi="宋体" w:eastAsia="仿宋_GB2312"/>
          <w:sz w:val="32"/>
          <w:szCs w:val="32"/>
        </w:rPr>
        <w:t>在馆内进行了文化活动，</w:t>
      </w:r>
      <w:r>
        <w:rPr>
          <w:rFonts w:hint="eastAsia" w:ascii="仿宋_GB2312" w:hAnsi="宋体" w:eastAsia="仿宋_GB2312"/>
          <w:sz w:val="32"/>
          <w:szCs w:val="32"/>
          <w:lang w:val="en-US" w:eastAsia="zh-CN"/>
        </w:rPr>
        <w:t>在炎陵县综合培训中心举办大器非遗传承人培训班及馆外流动性文化辅导等，</w:t>
      </w:r>
      <w:r>
        <w:rPr>
          <w:rFonts w:hint="eastAsia" w:ascii="仿宋_GB2312" w:hAnsi="宋体" w:eastAsia="仿宋_GB2312"/>
          <w:sz w:val="32"/>
          <w:szCs w:val="32"/>
        </w:rPr>
        <w:t>真正体现了文化馆免费文化服务，贴心为民的宗旨</w:t>
      </w:r>
      <w:r>
        <w:rPr>
          <w:rFonts w:hint="eastAsia" w:ascii="仿宋_GB2312" w:hAnsi="宋体" w:eastAsia="仿宋_GB2312"/>
          <w:sz w:val="32"/>
          <w:szCs w:val="32"/>
          <w:lang w:eastAsia="zh-CN"/>
        </w:rPr>
        <w:t>，</w:t>
      </w:r>
      <w:r>
        <w:rPr>
          <w:rFonts w:hint="eastAsia" w:ascii="仿宋_GB2312" w:hAnsi="宋体" w:eastAsia="仿宋_GB2312"/>
          <w:sz w:val="32"/>
          <w:szCs w:val="32"/>
        </w:rPr>
        <w:t>深受群众欢迎和好评。</w:t>
      </w:r>
    </w:p>
    <w:p w14:paraId="0AC3FAF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重视非遗工作的传承性</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通过举办一系列非遗活动，如：</w:t>
      </w:r>
      <w:r>
        <w:rPr>
          <w:rFonts w:hint="eastAsia" w:ascii="仿宋_GB2312" w:hAnsi="宋体" w:eastAsia="仿宋_GB2312"/>
          <w:sz w:val="32"/>
          <w:szCs w:val="32"/>
        </w:rPr>
        <w:t>闹元宵系列活动</w:t>
      </w:r>
      <w:r>
        <w:rPr>
          <w:rFonts w:hint="eastAsia" w:ascii="仿宋_GB2312" w:hAnsi="宋体" w:eastAsia="仿宋_GB2312"/>
          <w:sz w:val="32"/>
          <w:szCs w:val="32"/>
          <w:lang w:eastAsia="zh-CN"/>
        </w:rPr>
        <w:t>、</w:t>
      </w:r>
      <w:r>
        <w:rPr>
          <w:rFonts w:hint="eastAsia" w:ascii="仿宋_GB2312" w:hAnsi="宋体" w:eastAsia="仿宋_GB2312"/>
          <w:sz w:val="32"/>
          <w:szCs w:val="32"/>
        </w:rPr>
        <w:t>畲族祭祖</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非遗进校园、非遗进景区、客家山歌制作及开展</w:t>
      </w:r>
      <w:r>
        <w:rPr>
          <w:rFonts w:hint="eastAsia" w:ascii="仿宋_GB2312" w:hAnsi="宋体" w:eastAsia="仿宋_GB2312"/>
          <w:sz w:val="32"/>
          <w:szCs w:val="32"/>
        </w:rPr>
        <w:t>非遗传承人表彰会暨非遗工作总结会</w:t>
      </w:r>
      <w:r>
        <w:rPr>
          <w:rFonts w:hint="eastAsia" w:ascii="仿宋_GB2312" w:hAnsi="宋体" w:eastAsia="仿宋_GB2312"/>
          <w:sz w:val="32"/>
          <w:szCs w:val="32"/>
          <w:lang w:val="en-US" w:eastAsia="zh-CN"/>
        </w:rPr>
        <w:t>等，</w:t>
      </w:r>
      <w:r>
        <w:rPr>
          <w:rFonts w:hint="eastAsia" w:ascii="仿宋_GB2312" w:hAnsi="宋体" w:eastAsia="仿宋_GB2312"/>
          <w:sz w:val="32"/>
          <w:szCs w:val="32"/>
        </w:rPr>
        <w:t>提升非遗项目的社会知晓度，也能让游客通过炎帝传说故事的表演，对炎帝为人类做出的贡献（创作发明）和其无私奉献精神有进一步的了解，促使游</w:t>
      </w:r>
      <w:bookmarkStart w:id="4" w:name="OLE_LINK2"/>
      <w:r>
        <w:rPr>
          <w:rFonts w:hint="eastAsia" w:ascii="仿宋_GB2312" w:hAnsi="宋体" w:eastAsia="仿宋_GB2312"/>
          <w:sz w:val="32"/>
          <w:szCs w:val="32"/>
        </w:rPr>
        <w:t>客增强民族认同感</w:t>
      </w:r>
      <w:bookmarkEnd w:id="4"/>
      <w:r>
        <w:rPr>
          <w:rFonts w:hint="eastAsia" w:ascii="仿宋_GB2312" w:hAnsi="宋体" w:eastAsia="仿宋_GB2312"/>
          <w:sz w:val="32"/>
          <w:szCs w:val="32"/>
        </w:rPr>
        <w:t>，和炎黄子孙的自豪感，促使更多人喜欢并加入到</w:t>
      </w:r>
      <w:r>
        <w:rPr>
          <w:rFonts w:hint="eastAsia" w:ascii="仿宋_GB2312" w:hAnsi="宋体" w:eastAsia="仿宋_GB2312"/>
          <w:sz w:val="32"/>
          <w:szCs w:val="32"/>
          <w:lang w:val="en-US" w:eastAsia="zh-CN"/>
        </w:rPr>
        <w:t>非遗</w:t>
      </w:r>
      <w:r>
        <w:rPr>
          <w:rFonts w:hint="eastAsia" w:ascii="仿宋_GB2312" w:hAnsi="宋体" w:eastAsia="仿宋_GB2312"/>
          <w:sz w:val="32"/>
          <w:szCs w:val="32"/>
        </w:rPr>
        <w:t>项目传承的队伍中来，</w:t>
      </w:r>
      <w:r>
        <w:rPr>
          <w:rFonts w:hint="eastAsia" w:ascii="仿宋_GB2312" w:hAnsi="宋体" w:eastAsia="仿宋_GB2312"/>
          <w:sz w:val="32"/>
          <w:szCs w:val="32"/>
          <w:lang w:val="en-US" w:eastAsia="zh-CN"/>
        </w:rPr>
        <w:t>利用非遗进景区</w:t>
      </w:r>
      <w:r>
        <w:rPr>
          <w:rFonts w:hint="eastAsia" w:ascii="仿宋_GB2312" w:hAnsi="宋体" w:eastAsia="仿宋_GB2312"/>
          <w:sz w:val="32"/>
          <w:szCs w:val="32"/>
        </w:rPr>
        <w:t>走进了云上大院和神农谷，促进了文旅融合，非遗和旅游双赢。</w:t>
      </w:r>
    </w:p>
    <w:p w14:paraId="6871CB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三）行政效能分析</w:t>
      </w:r>
    </w:p>
    <w:p w14:paraId="29FD33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文化馆群文及免费开放等日常工作有条不紊的开展。</w:t>
      </w:r>
    </w:p>
    <w:p w14:paraId="40A07C61">
      <w:pPr>
        <w:pStyle w:val="6"/>
        <w:keepNext w:val="0"/>
        <w:keepLines w:val="0"/>
        <w:pageBreakBefore w:val="0"/>
        <w:widowControl/>
        <w:wordWrap/>
        <w:overflowPunct/>
        <w:topLinePunct w:val="0"/>
        <w:bidi w:val="0"/>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1A613C08">
      <w:pPr>
        <w:keepNext w:val="0"/>
        <w:keepLines w:val="0"/>
        <w:pageBreakBefore w:val="0"/>
        <w:widowControl/>
        <w:wordWrap/>
        <w:overflowPunct/>
        <w:topLinePunct w:val="0"/>
        <w:bidi w:val="0"/>
        <w:spacing w:line="520" w:lineRule="exact"/>
        <w:ind w:firstLine="640" w:firstLineChars="200"/>
        <w:jc w:val="left"/>
        <w:rPr>
          <w:rFonts w:hint="default" w:eastAsia="仿宋_GB2312"/>
          <w:sz w:val="32"/>
          <w:szCs w:val="32"/>
          <w:lang w:val="en-US" w:eastAsia="zh-CN"/>
        </w:rPr>
      </w:pPr>
      <w:r>
        <w:rPr>
          <w:rFonts w:hint="eastAsia" w:eastAsia="仿宋_GB2312"/>
          <w:sz w:val="32"/>
          <w:szCs w:val="32"/>
          <w:lang w:val="en-US" w:eastAsia="zh-CN"/>
        </w:rPr>
        <w:t xml:space="preserve"> 无</w:t>
      </w:r>
    </w:p>
    <w:p w14:paraId="455796B8">
      <w:pPr>
        <w:keepNext w:val="0"/>
        <w:keepLines w:val="0"/>
        <w:pageBreakBefore w:val="0"/>
        <w:widowControl/>
        <w:numPr>
          <w:ilvl w:val="0"/>
          <w:numId w:val="3"/>
        </w:numPr>
        <w:wordWrap/>
        <w:overflowPunct/>
        <w:topLinePunct w:val="0"/>
        <w:bidi w:val="0"/>
        <w:spacing w:line="520" w:lineRule="exact"/>
        <w:ind w:firstLine="640" w:firstLineChars="200"/>
        <w:jc w:val="left"/>
        <w:rPr>
          <w:rFonts w:eastAsia="黑体"/>
          <w:sz w:val="32"/>
          <w:szCs w:val="32"/>
        </w:rPr>
      </w:pPr>
      <w:r>
        <w:rPr>
          <w:rFonts w:eastAsia="黑体"/>
          <w:sz w:val="32"/>
          <w:szCs w:val="32"/>
        </w:rPr>
        <w:t>下一步改进措施</w:t>
      </w:r>
    </w:p>
    <w:p w14:paraId="668BF5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left"/>
        <w:textAlignment w:val="baseline"/>
        <w:rPr>
          <w:rFonts w:hint="default" w:eastAsia="黑体"/>
          <w:sz w:val="32"/>
          <w:szCs w:val="32"/>
          <w:lang w:val="en-US" w:eastAsia="zh-CN"/>
        </w:rPr>
      </w:pPr>
      <w:r>
        <w:rPr>
          <w:rFonts w:hint="eastAsia" w:eastAsia="黑体"/>
          <w:sz w:val="32"/>
          <w:szCs w:val="32"/>
          <w:lang w:val="en-US" w:eastAsia="zh-CN"/>
        </w:rPr>
        <w:t xml:space="preserve">  </w:t>
      </w:r>
      <w:r>
        <w:rPr>
          <w:rFonts w:hint="eastAsia" w:eastAsia="仿宋_GB2312"/>
          <w:sz w:val="32"/>
          <w:szCs w:val="32"/>
          <w:lang w:val="en-US" w:eastAsia="zh-CN"/>
        </w:rPr>
        <w:t xml:space="preserve">  无</w:t>
      </w:r>
    </w:p>
    <w:p w14:paraId="47BCC704">
      <w:pPr>
        <w:keepNext w:val="0"/>
        <w:keepLines w:val="0"/>
        <w:pageBreakBefore w:val="0"/>
        <w:widowControl/>
        <w:wordWrap/>
        <w:overflowPunct/>
        <w:topLinePunct w:val="0"/>
        <w:bidi w:val="0"/>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8C275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eastAsia="仿宋_GB2312"/>
          <w:sz w:val="32"/>
          <w:szCs w:val="32"/>
          <w:lang w:val="en-US" w:eastAsia="zh-CN"/>
        </w:rPr>
      </w:pPr>
      <w:r>
        <w:rPr>
          <w:rFonts w:hint="eastAsia" w:eastAsia="仿宋_GB2312"/>
          <w:sz w:val="32"/>
          <w:szCs w:val="32"/>
          <w:lang w:val="en-US" w:eastAsia="zh-CN"/>
        </w:rPr>
        <w:t>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C6B66C8C"/>
    <w:multiLevelType w:val="singleLevel"/>
    <w:tmpl w:val="C6B66C8C"/>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NzJiMGU3OTVlMjRmNmEyOWI0MGY2OTljOGRmYTUifQ=="/>
  </w:docVars>
  <w:rsids>
    <w:rsidRoot w:val="00000000"/>
    <w:rsid w:val="15BF56EC"/>
    <w:rsid w:val="1ED01BFC"/>
    <w:rsid w:val="28587B5E"/>
    <w:rsid w:val="35CB6416"/>
    <w:rsid w:val="4B4334AB"/>
    <w:rsid w:val="4E410E23"/>
    <w:rsid w:val="5403276E"/>
    <w:rsid w:val="54C5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1916</Words>
  <Characters>1987</Characters>
  <Lines>0</Lines>
  <Paragraphs>0</Paragraphs>
  <TotalTime>6</TotalTime>
  <ScaleCrop>false</ScaleCrop>
  <LinksUpToDate>false</LinksUpToDate>
  <CharactersWithSpaces>1994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A&amp; 懵懵</cp:lastModifiedBy>
  <cp:lastPrinted>2024-09-04T23:58:12Z</cp:lastPrinted>
  <dcterms:modified xsi:type="dcterms:W3CDTF">2024-09-04T23:58:17Z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DEC29D6FF1984251977FAFE43F2C91AB_12</vt:lpwstr>
  </property>
</Properties>
</file>