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8EA2E23">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2023年度炎陵县红军标语博物馆</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w:t>
      </w:r>
      <w:r>
        <w:rPr>
          <w:rFonts w:hint="eastAsia" w:ascii="方正小标宋简体" w:hAnsi="方正小标宋简体" w:eastAsia="方正小标宋简体" w:cs="方正小标宋简体"/>
          <w:sz w:val="44"/>
          <w:szCs w:val="44"/>
          <w:lang w:val="en-US" w:eastAsia="zh-CN"/>
        </w:rPr>
        <w:t>门</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6365D549">
      <w:pPr>
        <w:spacing w:line="600" w:lineRule="exact"/>
        <w:jc w:val="center"/>
        <w:rPr>
          <w:rFonts w:eastAsia="楷体_GB2312"/>
          <w:sz w:val="32"/>
          <w:szCs w:val="32"/>
        </w:rPr>
      </w:pP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1C92C148">
      <w:pPr>
        <w:spacing w:line="600" w:lineRule="exact"/>
        <w:jc w:val="both"/>
        <w:rPr>
          <w:rFonts w:eastAsia="楷体_GB2312"/>
          <w:sz w:val="32"/>
          <w:szCs w:val="32"/>
        </w:rPr>
      </w:pPr>
    </w:p>
    <w:p w14:paraId="0A7D31F0">
      <w:pPr>
        <w:pStyle w:val="10"/>
        <w:rPr>
          <w:rFonts w:eastAsia="楷体_GB2312"/>
          <w:sz w:val="32"/>
          <w:szCs w:val="32"/>
        </w:rPr>
      </w:pPr>
    </w:p>
    <w:p w14:paraId="530D581C">
      <w:pPr>
        <w:rPr>
          <w:rFonts w:eastAsia="楷体_GB2312"/>
          <w:sz w:val="32"/>
          <w:szCs w:val="32"/>
        </w:rPr>
      </w:pPr>
    </w:p>
    <w:p w14:paraId="55095D50">
      <w:pPr>
        <w:pStyle w:val="10"/>
        <w:rPr>
          <w:rFonts w:eastAsia="楷体_GB2312"/>
          <w:sz w:val="32"/>
          <w:szCs w:val="32"/>
        </w:rPr>
      </w:pPr>
    </w:p>
    <w:p w14:paraId="78822702">
      <w:pPr>
        <w:rPr>
          <w:rFonts w:eastAsia="楷体_GB2312"/>
          <w:sz w:val="32"/>
          <w:szCs w:val="32"/>
        </w:rPr>
      </w:pPr>
    </w:p>
    <w:p w14:paraId="66BA356A">
      <w:pPr>
        <w:pStyle w:val="10"/>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123D12D1">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炎陵县红军标语博物馆</w:t>
      </w:r>
    </w:p>
    <w:p w14:paraId="4F6BE492">
      <w:pPr>
        <w:pStyle w:val="10"/>
        <w:jc w:val="center"/>
        <w:rPr>
          <w:rFonts w:hint="default"/>
          <w:lang w:val="en-US" w:eastAsia="zh-CN"/>
        </w:rPr>
      </w:pPr>
      <w:r>
        <w:rPr>
          <w:rFonts w:hint="eastAsia" w:ascii="黑体" w:hAnsi="黑体" w:eastAsia="黑体" w:cs="黑体"/>
          <w:sz w:val="36"/>
          <w:szCs w:val="36"/>
          <w:lang w:val="en-US" w:eastAsia="zh-CN"/>
        </w:rPr>
        <w:t>（炎陵县考古研究和文物保护中心）</w:t>
      </w: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1D11F563">
      <w:pPr>
        <w:pStyle w:val="11"/>
        <w:widowControl/>
        <w:numPr>
          <w:ilvl w:val="0"/>
          <w:numId w:val="1"/>
        </w:numPr>
        <w:spacing w:line="520" w:lineRule="exact"/>
        <w:ind w:firstLine="640"/>
        <w:rPr>
          <w:rFonts w:ascii="Times New Roman" w:hAnsi="Times New Roman" w:eastAsia="黑体"/>
          <w:sz w:val="32"/>
          <w:szCs w:val="32"/>
        </w:rPr>
        <w:sectPr>
          <w:headerReference r:id="rId5" w:type="default"/>
          <w:footerReference r:id="rId6" w:type="default"/>
          <w:pgSz w:w="11906" w:h="16838"/>
          <w:pgMar w:top="1440" w:right="1463" w:bottom="1440" w:left="1463" w:header="851" w:footer="992" w:gutter="0"/>
          <w:pgNumType w:fmt="decimal" w:start="1"/>
          <w:cols w:space="425" w:num="1"/>
          <w:docGrid w:type="lines" w:linePitch="312" w:charSpace="0"/>
        </w:sectPr>
      </w:pPr>
    </w:p>
    <w:p w14:paraId="69FD9C40">
      <w:pPr>
        <w:pStyle w:val="11"/>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11"/>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15063FB2">
      <w:pPr>
        <w:pStyle w:val="11"/>
        <w:widowControl/>
        <w:numPr>
          <w:ilvl w:val="0"/>
          <w:numId w:val="3"/>
        </w:numPr>
        <w:spacing w:line="240" w:lineRule="auto"/>
        <w:ind w:left="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部门职能职责</w:t>
      </w:r>
    </w:p>
    <w:p w14:paraId="10DF0B95">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一）负责全县文物保护利用和考古研究的日常业务工作。</w:t>
      </w:r>
    </w:p>
    <w:p w14:paraId="6B3DB592">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（二）协助管理全县文物调查、申报、保护、抢救、维修和利用工作。</w:t>
      </w:r>
    </w:p>
    <w:p w14:paraId="4304B47C">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（三）落实全县文物和博物馆安全防范工作，依法协助查处文物违法的重大件。</w:t>
      </w:r>
    </w:p>
    <w:p w14:paraId="557E7E75">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（四）负责红军标语博物馆、中国工农红军革命活动炎陵纪念馆、全县文物保护单位有关项目的申报、建设等事务性工作。</w:t>
      </w:r>
    </w:p>
    <w:p w14:paraId="752796D3">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（五）做好博物馆和纪念馆的日常开放工作。</w:t>
      </w:r>
    </w:p>
    <w:p w14:paraId="1445A1AB">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 w:eastAsia="仿宋_GB2312"/>
          <w:sz w:val="32"/>
          <w:szCs w:val="32"/>
          <w:lang w:val="en-US" w:eastAsia="zh-CN"/>
        </w:rPr>
        <w:t>（六）做好全县县纪以上文物保护单位的日常管理、讲解培训等事务性工作。</w:t>
      </w:r>
    </w:p>
    <w:p w14:paraId="26C935B2">
      <w:pPr>
        <w:pStyle w:val="11"/>
        <w:widowControl/>
        <w:numPr>
          <w:ilvl w:val="0"/>
          <w:numId w:val="0"/>
        </w:numPr>
        <w:spacing w:line="520" w:lineRule="exact"/>
        <w:ind w:firstLine="960" w:firstLineChars="3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2、机构设置情况</w:t>
      </w:r>
    </w:p>
    <w:p w14:paraId="0F479014">
      <w:pPr>
        <w:tabs>
          <w:tab w:val="left" w:pos="7560"/>
        </w:tabs>
        <w:adjustRightInd w:val="0"/>
        <w:snapToGrid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2023年未，</w:t>
      </w:r>
      <w:r>
        <w:rPr>
          <w:rFonts w:hint="eastAsia" w:eastAsia="仿宋_GB2312"/>
          <w:bCs/>
          <w:sz w:val="32"/>
          <w:szCs w:val="32"/>
        </w:rPr>
        <w:t>炎陵县红军标语博物馆（副科级，公益一类事业单位）属</w:t>
      </w:r>
      <w:r>
        <w:rPr>
          <w:rFonts w:hint="eastAsia" w:ascii="Times New Roman" w:hAnsi="Times New Roman" w:eastAsia="仿宋_GB2312" w:cs="Times New Roman"/>
          <w:bCs/>
          <w:sz w:val="32"/>
          <w:szCs w:val="32"/>
        </w:rPr>
        <w:t>炎陵县文化旅游广电体育局二级预算单位。</w:t>
      </w:r>
      <w:r>
        <w:rPr>
          <w:rFonts w:hint="eastAsia" w:ascii="仿宋_GB2312" w:hAnsi="仿宋_GB2312" w:eastAsia="仿宋_GB2312" w:cs="仿宋_GB2312"/>
          <w:bCs/>
          <w:sz w:val="32"/>
          <w:szCs w:val="32"/>
          <w:lang w:val="en-US" w:eastAsia="zh-CN"/>
        </w:rPr>
        <w:t>设4个内设机构：办公室、文博室、陈列室、接待部。</w:t>
      </w:r>
    </w:p>
    <w:p w14:paraId="426F4066">
      <w:pPr>
        <w:pStyle w:val="11"/>
        <w:widowControl/>
        <w:numPr>
          <w:ilvl w:val="0"/>
          <w:numId w:val="0"/>
        </w:numPr>
        <w:spacing w:line="520" w:lineRule="exact"/>
        <w:ind w:firstLine="960" w:firstLineChars="3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3、人员编制情况</w:t>
      </w:r>
    </w:p>
    <w:p w14:paraId="52A745B4">
      <w:pPr>
        <w:tabs>
          <w:tab w:val="left" w:pos="7560"/>
        </w:tabs>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2023年未，我单位共有全额拨款事业编制13名，实有在职在编11人，退休人员3人，其他享受财政定期生活补助（遗属）人员2人。</w:t>
      </w:r>
    </w:p>
    <w:p w14:paraId="5556C9CE">
      <w:pPr>
        <w:pStyle w:val="11"/>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26BC2E9C">
      <w:pPr>
        <w:numPr>
          <w:ilvl w:val="0"/>
          <w:numId w:val="0"/>
        </w:numPr>
        <w:tabs>
          <w:tab w:val="left" w:pos="7560"/>
        </w:tabs>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做好免费开放工作，全力参与配合株洲市第二届旅发大会在炎召开，认真谋划炎陵红色版块活动的开展和传推介，紧扣“5.18”国际博物馆日“中国国际旅游日”以及春节、国庆等重要节庆假日，创新开展红色故事宣讲、文博知识宣传等活动。</w:t>
      </w:r>
    </w:p>
    <w:p w14:paraId="03113EFA">
      <w:pPr>
        <w:numPr>
          <w:ilvl w:val="0"/>
          <w:numId w:val="0"/>
        </w:numPr>
        <w:tabs>
          <w:tab w:val="left" w:pos="7560"/>
        </w:tabs>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2、全面启动红军标语修复与预防性保护项目，对馆内86件二、三级标语文物进行修复，提升预防性保护水平。努力向上争取文旅、文物资金提质改造红军标语博物馆景区。</w:t>
      </w:r>
    </w:p>
    <w:p w14:paraId="4F596DA7">
      <w:pPr>
        <w:numPr>
          <w:ilvl w:val="0"/>
          <w:numId w:val="0"/>
        </w:numPr>
        <w:tabs>
          <w:tab w:val="left" w:pos="7560"/>
        </w:tabs>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安全生产。加强设备巡查力度，认真执行设备检修制度，确保设备安全运行，深入完善安全事故应急预案，树立“隐患险于明火，防范胜于救灾，安全重于泰山”的安全意识，组织开展消防安全知识讲座和消防演练等。</w:t>
      </w:r>
    </w:p>
    <w:p w14:paraId="7587B28A">
      <w:pPr>
        <w:pStyle w:val="11"/>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11"/>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57536703">
      <w:pPr>
        <w:spacing w:line="56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炎陵县红军标语博物馆基本支出236.75万元，其中：人员经费141.21万元，日常公用经费95.54万元。</w:t>
      </w:r>
    </w:p>
    <w:p w14:paraId="37B4BDDF">
      <w:pPr>
        <w:spacing w:line="560" w:lineRule="exact"/>
        <w:ind w:firstLine="640" w:firstLineChars="200"/>
        <w:jc w:val="both"/>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人员经费中基本工资支出44.61万元占31.59%，绩效工资支出45.30万元占32.07%，奖金支出14.94万元占10.57%，机关事业养老保险缴费支出14.37万元占10.17%，基本医疗保障缴费支出5.81万元占4.11%，其他社会保障缴费支出1.04万元占0.73%，住房公积金支出11.73万元占8.31%，对个人和家庭补助3.38万元占2.39%。</w:t>
      </w:r>
    </w:p>
    <w:p w14:paraId="6591CA57">
      <w:pPr>
        <w:spacing w:line="560" w:lineRule="exact"/>
        <w:ind w:firstLine="640" w:firstLineChars="200"/>
        <w:jc w:val="both"/>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日常公用经费支出中办公费支出4.09万元占4.43%，水费支出1.44万元占1.19%，电费支出8.79万元占9.20%，邮电费支出0.02万元占0.02%，差旅费支出1.77万元占1.85%，维修（护）费支出13.19万元占113.81%，培训费支出0.26万元占0.27%，公务接待费支出0.59万元占0.62%，专用材料支出11.61万元占12.15%，劳务费支出34.21万元占35.81%，福利费1.8万元占1.88%，工会经费支出3.76万元占3.94%，其他交通费支出0.84万元占0.88%，其他商品服务支出11.99万元占12.55%，办公设备购置1.15万元占1.21%。</w:t>
      </w:r>
    </w:p>
    <w:p w14:paraId="7C11EFB6">
      <w:pPr>
        <w:pStyle w:val="11"/>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1BD6B3D2">
      <w:pPr>
        <w:spacing w:line="56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炎陵县红军标语博物馆2023年度项目支出12.80万元，均为向上级部门争取的项目资金，其中：</w:t>
      </w:r>
    </w:p>
    <w:p w14:paraId="64EDDA26">
      <w:pPr>
        <w:spacing w:line="56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1、湘财预〔2022〕345号文件提前下达2023年公共文化服务体系建设资金安排红标馆红色“大思政课”10.00万元，本年预算支出6.00万元。</w:t>
      </w:r>
    </w:p>
    <w:p w14:paraId="7AC34448">
      <w:pPr>
        <w:spacing w:line="560" w:lineRule="exact"/>
        <w:ind w:firstLine="640" w:firstLineChars="200"/>
        <w:jc w:val="both"/>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2、湘财预[2023]97号文件中央支持地方公共文化服务体系建设补助公共文化服务场所维修改造安排红标馆25万元，本年预算支出6.80万元。</w:t>
      </w:r>
    </w:p>
    <w:p w14:paraId="4F8E634B">
      <w:pPr>
        <w:pStyle w:val="11"/>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14:paraId="1349EDFB">
      <w:pPr>
        <w:pStyle w:val="11"/>
        <w:widowControl/>
        <w:numPr>
          <w:ilvl w:val="0"/>
          <w:numId w:val="0"/>
        </w:numPr>
        <w:spacing w:line="520" w:lineRule="exact"/>
        <w:ind w:firstLine="640" w:firstLineChars="200"/>
        <w:jc w:val="both"/>
        <w:rPr>
          <w:rFonts w:hint="default"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2023年度炎陵县红军标语博物馆无政府性基金预算支出。</w:t>
      </w:r>
    </w:p>
    <w:p w14:paraId="216101D4">
      <w:pPr>
        <w:pStyle w:val="11"/>
        <w:widowControl/>
        <w:spacing w:line="520" w:lineRule="exact"/>
        <w:ind w:left="640" w:firstLine="0" w:firstLineChars="0"/>
        <w:jc w:val="left"/>
        <w:rPr>
          <w:rFonts w:hint="default"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14:paraId="3B48E37B">
      <w:pPr>
        <w:pStyle w:val="11"/>
        <w:widowControl/>
        <w:numPr>
          <w:ilvl w:val="0"/>
          <w:numId w:val="0"/>
        </w:numPr>
        <w:spacing w:line="520" w:lineRule="exact"/>
        <w:ind w:firstLine="640" w:firstLineChars="200"/>
        <w:jc w:val="both"/>
        <w:rPr>
          <w:rFonts w:hint="eastAsia" w:ascii="Times New Roman" w:hAnsi="Times New Roman" w:eastAsia="黑体"/>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2023年度炎陵县红军标语博物馆无国有资本经营预算支出。</w:t>
      </w:r>
    </w:p>
    <w:p w14:paraId="690EE68D">
      <w:pPr>
        <w:pStyle w:val="11"/>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3D6258AA">
      <w:pPr>
        <w:pStyle w:val="11"/>
        <w:widowControl/>
        <w:numPr>
          <w:ilvl w:val="0"/>
          <w:numId w:val="0"/>
        </w:numPr>
        <w:spacing w:line="520" w:lineRule="exact"/>
        <w:ind w:firstLine="640" w:firstLineChars="200"/>
        <w:jc w:val="both"/>
        <w:rPr>
          <w:rFonts w:hint="eastAsia" w:eastAsia="黑体"/>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2023年度炎陵县红军标语博物馆无社会保险基金预算支出。</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1F71E26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val="0"/>
          <w:bCs/>
          <w:sz w:val="32"/>
          <w:szCs w:val="32"/>
        </w:rPr>
        <w:t>1.博物馆开放有提升。一是讲解接待有亮点。</w:t>
      </w:r>
      <w:r>
        <w:rPr>
          <w:rFonts w:hint="eastAsia" w:ascii="仿宋_GB2312" w:hAnsi="仿宋_GB2312" w:eastAsia="仿宋_GB2312" w:cs="仿宋_GB2312"/>
          <w:bCs/>
          <w:sz w:val="32"/>
          <w:szCs w:val="32"/>
          <w:lang w:val="en-US" w:eastAsia="zh-CN"/>
        </w:rPr>
        <w:t>全年</w:t>
      </w:r>
      <w:r>
        <w:rPr>
          <w:rFonts w:hint="eastAsia" w:ascii="仿宋_GB2312" w:hAnsi="仿宋_GB2312" w:eastAsia="仿宋_GB2312" w:cs="仿宋_GB2312"/>
          <w:bCs/>
          <w:sz w:val="32"/>
          <w:szCs w:val="32"/>
        </w:rPr>
        <w:t>共接待游客</w:t>
      </w:r>
      <w:r>
        <w:rPr>
          <w:rFonts w:hint="eastAsia" w:ascii="仿宋_GB2312" w:hAnsi="仿宋_GB2312" w:eastAsia="仿宋_GB2312" w:cs="仿宋_GB2312"/>
          <w:bCs/>
          <w:sz w:val="32"/>
          <w:szCs w:val="32"/>
          <w:lang w:val="en-US" w:eastAsia="zh-CN"/>
        </w:rPr>
        <w:t>66</w:t>
      </w:r>
      <w:r>
        <w:rPr>
          <w:rFonts w:hint="eastAsia" w:ascii="仿宋_GB2312" w:hAnsi="仿宋_GB2312" w:eastAsia="仿宋_GB2312" w:cs="仿宋_GB2312"/>
          <w:bCs/>
          <w:sz w:val="32"/>
          <w:szCs w:val="32"/>
        </w:rPr>
        <w:t>万人次。其中重要接待200余批次，党史学习教育团队100余批次，红色研学团队</w:t>
      </w:r>
      <w:r>
        <w:rPr>
          <w:rFonts w:hint="eastAsia" w:ascii="仿宋_GB2312" w:hAnsi="仿宋_GB2312" w:eastAsia="仿宋_GB2312" w:cs="仿宋_GB2312"/>
          <w:bCs/>
          <w:sz w:val="32"/>
          <w:szCs w:val="32"/>
          <w:lang w:val="en-US" w:eastAsia="zh-CN"/>
        </w:rPr>
        <w:t>90</w:t>
      </w:r>
      <w:r>
        <w:rPr>
          <w:rFonts w:hint="eastAsia" w:ascii="仿宋_GB2312" w:hAnsi="仿宋_GB2312" w:eastAsia="仿宋_GB2312" w:cs="仿宋_GB2312"/>
          <w:bCs/>
          <w:sz w:val="32"/>
          <w:szCs w:val="32"/>
        </w:rPr>
        <w:t>余批次。先后接待了全国人大常委会委员、民进中央副主席，十三届全国人大监察和司法委员会委员、省人大常委会原副主任、民进湖南省委会原主委等重要领导，迎来了国防科技大学、井冈山干部学院、韶山干部学院等团队前来开展党史学习教育和红色研学旅行，参观接待工作得到各级领导的充分肯定和群众一致好评。先后获评“湖南省文明单位”“湖南统一战线教育基地”“湖南省红色法治文化基地”株洲市“全民国防教育工作先进单位”“</w:t>
      </w:r>
      <w:r>
        <w:rPr>
          <w:rFonts w:hint="eastAsia" w:ascii="仿宋_GB2312" w:hAnsi="宋体" w:eastAsia="仿宋_GB2312" w:cs="宋体"/>
          <w:kern w:val="0"/>
          <w:sz w:val="32"/>
          <w:szCs w:val="32"/>
        </w:rPr>
        <w:t>株洲市党员教育培训现场教学点”</w:t>
      </w:r>
      <w:r>
        <w:rPr>
          <w:rFonts w:hint="eastAsia" w:ascii="仿宋_GB2312" w:hAnsi="仿宋_GB2312" w:eastAsia="仿宋_GB2312" w:cs="仿宋_GB2312"/>
          <w:bCs/>
          <w:sz w:val="32"/>
          <w:szCs w:val="32"/>
        </w:rPr>
        <w:t>，讲解接待部获评“三八集体旗手”。</w:t>
      </w:r>
      <w:r>
        <w:rPr>
          <w:rStyle w:val="9"/>
          <w:rFonts w:hint="eastAsia" w:ascii="仿宋_GB2312" w:hAnsi="仿宋_GB2312" w:eastAsia="仿宋_GB2312" w:cs="仿宋_GB2312"/>
          <w:b w:val="0"/>
          <w:bCs/>
          <w:sz w:val="32"/>
          <w:szCs w:val="32"/>
          <w:shd w:val="clear" w:color="auto" w:fill="FFFFFF"/>
        </w:rPr>
        <w:t>二是展览内容有丰富。</w:t>
      </w:r>
      <w:r>
        <w:rPr>
          <w:rFonts w:hint="eastAsia" w:ascii="仿宋_GB2312" w:hAnsi="仿宋_GB2312" w:eastAsia="仿宋_GB2312" w:cs="仿宋_GB2312"/>
          <w:sz w:val="32"/>
          <w:szCs w:val="32"/>
          <w:shd w:val="clear" w:color="auto" w:fill="FFFFFF"/>
        </w:rPr>
        <w:t>在“红色印记”基本陈列展的基础上，增加</w:t>
      </w:r>
      <w:r>
        <w:rPr>
          <w:rFonts w:hint="eastAsia" w:ascii="仿宋_GB2312" w:hAnsi="仿宋_GB2312" w:eastAsia="仿宋_GB2312" w:cs="仿宋_GB2312"/>
          <w:bCs/>
          <w:sz w:val="32"/>
          <w:szCs w:val="32"/>
        </w:rPr>
        <w:t>大展宏“兔”——癸卯（兔年）新春生肖文物图片联展，“大美炎陵·文博溢彩”“</w:t>
      </w:r>
      <w:r>
        <w:rPr>
          <w:rFonts w:hint="eastAsia" w:ascii="仿宋_GB2312" w:hAnsi="仿宋_GB2312" w:eastAsia="仿宋_GB2312" w:cs="仿宋_GB2312"/>
          <w:sz w:val="32"/>
          <w:szCs w:val="32"/>
        </w:rPr>
        <w:t>清廉文化</w:t>
      </w:r>
      <w:r>
        <w:rPr>
          <w:rFonts w:hint="eastAsia" w:ascii="仿宋_GB2312" w:hAnsi="仿宋_GB2312" w:eastAsia="仿宋_GB2312" w:cs="仿宋_GB2312"/>
          <w:bCs/>
          <w:sz w:val="32"/>
          <w:szCs w:val="32"/>
        </w:rPr>
        <w:t>”“炎陵县道德典型人物先进事迹展示”临展</w:t>
      </w:r>
      <w:r>
        <w:rPr>
          <w:rFonts w:hint="eastAsia" w:ascii="仿宋_GB2312" w:hAnsi="仿宋_GB2312" w:eastAsia="仿宋_GB2312" w:cs="仿宋_GB2312"/>
          <w:b w:val="0"/>
          <w:bCs/>
          <w:sz w:val="32"/>
          <w:szCs w:val="32"/>
        </w:rPr>
        <w:t>。</w:t>
      </w:r>
      <w:r>
        <w:rPr>
          <w:rStyle w:val="9"/>
          <w:rFonts w:hint="eastAsia" w:ascii="仿宋_GB2312" w:hAnsi="仿宋_GB2312" w:eastAsia="仿宋_GB2312" w:cs="仿宋_GB2312"/>
          <w:b w:val="0"/>
          <w:bCs/>
          <w:sz w:val="32"/>
          <w:szCs w:val="32"/>
          <w:shd w:val="clear" w:color="auto" w:fill="FFFFFF"/>
        </w:rPr>
        <w:t>三是社会教育活动有开展。</w:t>
      </w:r>
      <w:r>
        <w:rPr>
          <w:rFonts w:hint="eastAsia" w:ascii="仿宋_GB2312" w:hAnsi="仿宋_GB2312" w:eastAsia="仿宋_GB2312" w:cs="仿宋_GB2312"/>
          <w:b w:val="0"/>
          <w:bCs/>
          <w:sz w:val="32"/>
          <w:szCs w:val="32"/>
        </w:rPr>
        <w:t>组</w:t>
      </w:r>
      <w:r>
        <w:rPr>
          <w:rFonts w:hint="eastAsia" w:ascii="仿宋_GB2312" w:hAnsi="仿宋_GB2312" w:eastAsia="仿宋_GB2312" w:cs="仿宋_GB2312"/>
          <w:bCs/>
          <w:sz w:val="32"/>
          <w:szCs w:val="32"/>
        </w:rPr>
        <w:t>织开展5·18国际博物馆日、5·19中国旅游日、“探寻红色印记，传承红色基因”六一·博物馆妙趣日暨红领巾志愿讲解员主题活动。围绕“强国复兴有我”群众性主题宣传教育活动，组织红色故事宣讲团开展红色故事进校园、进军营活动。七一建党日、八一建军节，多批次大中小学生、党员干部、社会群体等走进展厅，开展爱国主义、红色革命教育活动。与湖南汽车工程职业学院、炎陵县职业技术学校签订馆校合作协议，更好的发挥社会教育功能。</w:t>
      </w:r>
      <w:r>
        <w:rPr>
          <w:rFonts w:hint="eastAsia" w:ascii="仿宋_GB2312" w:hAnsi="仿宋_GB2312" w:eastAsia="仿宋_GB2312" w:cs="仿宋_GB2312"/>
          <w:b w:val="0"/>
          <w:bCs/>
          <w:sz w:val="32"/>
          <w:szCs w:val="32"/>
        </w:rPr>
        <w:t>四是公共服务有完善。</w:t>
      </w:r>
      <w:r>
        <w:rPr>
          <w:rFonts w:hint="eastAsia" w:ascii="仿宋_GB2312" w:hAnsi="仿宋_GB2312" w:eastAsia="仿宋_GB2312" w:cs="仿宋_GB2312"/>
          <w:bCs/>
          <w:sz w:val="32"/>
          <w:szCs w:val="32"/>
        </w:rPr>
        <w:t>对游客服务中心、停车场、红军标语博物馆外墙、序厅五角星等基础设施进行维修更换，进一步提升观众的参观体验。培养了一批红领巾讲解员志愿者、大学生志愿者，利用双休日、节假日、寒暑假为游客提供免费的讲解服务。</w:t>
      </w:r>
    </w:p>
    <w:p w14:paraId="0A48FB3A">
      <w:pPr>
        <w:spacing w:line="560" w:lineRule="exact"/>
        <w:ind w:firstLine="640"/>
        <w:rPr>
          <w:rFonts w:hint="eastAsia" w:ascii="仿宋_GB2312" w:hAnsi="仿宋_GB2312" w:eastAsia="仿宋_GB2312" w:cs="仿宋_GB2312"/>
          <w:bCs/>
          <w:sz w:val="32"/>
          <w:szCs w:val="32"/>
        </w:rPr>
      </w:pPr>
      <w:r>
        <w:rPr>
          <w:rStyle w:val="9"/>
          <w:rFonts w:hint="eastAsia" w:ascii="仿宋_GB2312" w:hAnsi="仿宋_GB2312" w:eastAsia="仿宋_GB2312" w:cs="仿宋_GB2312"/>
          <w:b w:val="0"/>
          <w:bCs/>
          <w:sz w:val="32"/>
          <w:szCs w:val="32"/>
          <w:shd w:val="clear" w:color="auto" w:fill="FFFFFF"/>
        </w:rPr>
        <w:t>2.宣传报道有热度。一是自有宣传平台有作为。</w:t>
      </w:r>
      <w:r>
        <w:rPr>
          <w:rFonts w:hint="eastAsia" w:ascii="仿宋_GB2312" w:hAnsi="仿宋_GB2312" w:eastAsia="仿宋_GB2312" w:cs="仿宋_GB2312"/>
          <w:bCs/>
          <w:sz w:val="32"/>
          <w:szCs w:val="32"/>
        </w:rPr>
        <w:t>利用“红色炎陵”微信公众号实时更新博物馆工作动态，定期发布“炎陵人物”“红廉清韵”“红色炎陵青年说”等专题红色文化知识，推出“大美炎陵·文博溢彩”革命文物特别展线上展播,不断丰富红色文化内容。</w:t>
      </w:r>
      <w:r>
        <w:rPr>
          <w:rStyle w:val="9"/>
          <w:rFonts w:hint="eastAsia" w:ascii="仿宋_GB2312" w:hAnsi="仿宋_GB2312" w:eastAsia="仿宋_GB2312" w:cs="仿宋_GB2312"/>
          <w:b w:val="0"/>
          <w:bCs/>
          <w:sz w:val="32"/>
          <w:szCs w:val="32"/>
          <w:shd w:val="clear" w:color="auto" w:fill="FFFFFF"/>
        </w:rPr>
        <w:t>二是对外宣传有热度。</w:t>
      </w:r>
      <w:r>
        <w:rPr>
          <w:rFonts w:hint="eastAsia" w:ascii="仿宋_GB2312" w:hAnsi="仿宋_GB2312" w:eastAsia="仿宋_GB2312" w:cs="仿宋_GB2312"/>
          <w:bCs/>
          <w:sz w:val="32"/>
          <w:szCs w:val="32"/>
        </w:rPr>
        <w:t>积极参与红色宣讲、主题演讲比赛，推选优秀讲解员参加炎陵县“解放思想、转变作风”主题演讲比赛，</w:t>
      </w:r>
      <w:r>
        <w:rPr>
          <w:rFonts w:hint="eastAsia" w:ascii="仿宋_GB2312" w:hAnsi="宋体" w:eastAsia="仿宋_GB2312" w:cs="宋体"/>
          <w:kern w:val="0"/>
          <w:sz w:val="32"/>
          <w:szCs w:val="32"/>
        </w:rPr>
        <w:t>廉政文化教育专题片获评2022年“清廉湖南</w:t>
      </w:r>
      <w:r>
        <w:rPr>
          <w:rFonts w:hint="eastAsia" w:ascii="仿宋_GB2312" w:hAnsi="仿宋_GB2312" w:eastAsia="仿宋_GB2312" w:cs="仿宋_GB2312"/>
          <w:bCs/>
          <w:sz w:val="32"/>
          <w:szCs w:val="32"/>
        </w:rPr>
        <w:t>·</w:t>
      </w:r>
      <w:r>
        <w:rPr>
          <w:rFonts w:hint="eastAsia" w:ascii="仿宋_GB2312" w:hAnsi="宋体" w:eastAsia="仿宋_GB2312" w:cs="宋体"/>
          <w:kern w:val="0"/>
          <w:sz w:val="32"/>
          <w:szCs w:val="32"/>
        </w:rPr>
        <w:t>红色文旅”——“三进三推”清廉文化推广传播活动优秀内容，预定新兵来我馆开展红色教育活动获央视七套宣传报道，</w:t>
      </w:r>
      <w:r>
        <w:rPr>
          <w:rFonts w:hint="eastAsia" w:ascii="仿宋_GB2312" w:hAnsi="仿宋_GB2312" w:eastAsia="仿宋_GB2312" w:cs="仿宋_GB2312"/>
          <w:bCs/>
          <w:sz w:val="32"/>
          <w:szCs w:val="32"/>
        </w:rPr>
        <w:t>“5·18国际博物馆日”活动获湖南卫视宣传报道,提高了博物馆知名度。</w:t>
      </w:r>
    </w:p>
    <w:p w14:paraId="29EF8D51">
      <w:pPr>
        <w:widowControl/>
        <w:kinsoku w:val="0"/>
        <w:autoSpaceDE w:val="0"/>
        <w:autoSpaceDN w:val="0"/>
        <w:adjustRightInd w:val="0"/>
        <w:spacing w:line="560" w:lineRule="exact"/>
        <w:ind w:left="36" w:right="89" w:firstLine="556"/>
        <w:textAlignment w:val="baseline"/>
        <w:rPr>
          <w:rFonts w:hint="eastAsia" w:ascii="仿宋_GB2312" w:hAnsi="仿宋_GB2312" w:eastAsia="仿宋_GB2312" w:cs="仿宋_GB2312"/>
          <w:bCs/>
          <w:sz w:val="32"/>
          <w:szCs w:val="32"/>
        </w:rPr>
      </w:pPr>
      <w:r>
        <w:rPr>
          <w:rStyle w:val="9"/>
          <w:rFonts w:hint="eastAsia" w:ascii="仿宋_GB2312" w:hAnsi="仿宋_GB2312" w:eastAsia="仿宋_GB2312" w:cs="仿宋_GB2312"/>
          <w:b w:val="0"/>
          <w:bCs/>
          <w:sz w:val="32"/>
          <w:szCs w:val="32"/>
          <w:shd w:val="clear" w:color="auto" w:fill="FFFFFF"/>
        </w:rPr>
        <w:t>3.文物保护有进展。</w:t>
      </w:r>
      <w:r>
        <w:rPr>
          <w:rFonts w:hint="eastAsia" w:ascii="仿宋_GB2312" w:hAnsi="仿宋_GB2312" w:eastAsia="仿宋_GB2312" w:cs="仿宋_GB2312"/>
          <w:bCs/>
          <w:sz w:val="32"/>
          <w:szCs w:val="32"/>
        </w:rPr>
        <w:t>全面启动馆藏二级和三级标语文物保护修复与预防性保护项目，对馆内86条标语进行</w:t>
      </w:r>
      <w:r>
        <w:rPr>
          <w:rFonts w:hint="eastAsia" w:ascii="仿宋_GB2312" w:hAnsi="仿宋_GB2312" w:eastAsia="仿宋_GB2312" w:cs="仿宋_GB2312"/>
          <w:bCs/>
          <w:snapToGrid w:val="0"/>
          <w:spacing w:val="-34"/>
          <w:sz w:val="32"/>
          <w:szCs w:val="32"/>
        </w:rPr>
        <w:t>修复保护。</w:t>
      </w:r>
      <w:r>
        <w:rPr>
          <w:rFonts w:hint="eastAsia" w:ascii="仿宋_GB2312" w:hAnsi="仿宋_GB2312" w:eastAsia="仿宋_GB2312" w:cs="仿宋_GB2312"/>
          <w:bCs/>
          <w:sz w:val="32"/>
          <w:szCs w:val="32"/>
        </w:rPr>
        <w:t>持续开展湘赣边红军标语征集，共征集湘赣边24县（市）红军标语数千条，与市党史研究室合作编纂《湘赣边红军标语专辑》。全面梳理馆内文书档案，对馆内1967--2022年度文书档案进行整理及数字化加工服务。</w:t>
      </w:r>
    </w:p>
    <w:p w14:paraId="26B5CFBA">
      <w:pPr>
        <w:spacing w:line="560" w:lineRule="exact"/>
        <w:ind w:firstLine="640" w:firstLineChars="200"/>
        <w:rPr>
          <w:rFonts w:hint="eastAsia" w:ascii="仿宋_GB2312" w:hAnsi="仿宋_GB2312" w:eastAsia="仿宋_GB2312" w:cs="仿宋_GB2312"/>
          <w:bCs/>
          <w:sz w:val="32"/>
          <w:szCs w:val="32"/>
        </w:rPr>
      </w:pPr>
      <w:r>
        <w:rPr>
          <w:rStyle w:val="9"/>
          <w:rFonts w:hint="eastAsia" w:ascii="仿宋_GB2312" w:hAnsi="仿宋_GB2312" w:eastAsia="仿宋_GB2312" w:cs="仿宋_GB2312"/>
          <w:b w:val="0"/>
          <w:bCs/>
          <w:sz w:val="32"/>
          <w:szCs w:val="32"/>
          <w:shd w:val="clear" w:color="auto" w:fill="FFFFFF"/>
        </w:rPr>
        <w:t>4.乡村振兴有作为。</w:t>
      </w:r>
      <w:r>
        <w:rPr>
          <w:rFonts w:hint="eastAsia" w:ascii="仿宋_GB2312" w:hAnsi="仿宋_GB2312" w:eastAsia="仿宋_GB2312" w:cs="仿宋_GB2312"/>
          <w:bCs/>
          <w:sz w:val="32"/>
          <w:szCs w:val="32"/>
        </w:rPr>
        <w:t>联点十都镇晓东村乡村振兴工作，指导推动村特色产业发展，协助做好党建、人居环境整治、森林防灭火等工作。6月起我馆乡村振兴联点村更换为鹿原镇炎陵村，结对帮扶脱贫户80户。积极做好鹿原镇炎陵村乡村振兴工作，做好百姓的“联络员”“服务员”“宣传员”，为当地发展排忧解难。</w:t>
      </w:r>
    </w:p>
    <w:p w14:paraId="2683D777">
      <w:pPr>
        <w:pStyle w:val="6"/>
        <w:widowControl/>
        <w:shd w:val="clear" w:color="auto" w:fill="FFFFFF"/>
        <w:spacing w:before="0" w:beforeAutospacing="0" w:after="0" w:afterAutospacing="0" w:line="560" w:lineRule="exact"/>
        <w:ind w:firstLine="641"/>
        <w:rPr>
          <w:rFonts w:hint="eastAsia" w:ascii="仿宋_GB2312" w:hAnsi="仿宋_GB2312" w:eastAsia="仿宋_GB2312" w:cs="仿宋_GB2312"/>
          <w:bCs/>
          <w:kern w:val="2"/>
          <w:sz w:val="32"/>
          <w:szCs w:val="32"/>
          <w:lang w:eastAsia="zh-CN"/>
        </w:rPr>
      </w:pPr>
      <w:r>
        <w:rPr>
          <w:rStyle w:val="9"/>
          <w:rFonts w:hint="eastAsia" w:ascii="仿宋_GB2312" w:hAnsi="仿宋_GB2312" w:eastAsia="仿宋_GB2312" w:cs="仿宋_GB2312"/>
          <w:b w:val="0"/>
          <w:bCs/>
          <w:kern w:val="2"/>
          <w:sz w:val="32"/>
          <w:szCs w:val="32"/>
          <w:shd w:val="clear" w:color="auto" w:fill="FFFFFF"/>
        </w:rPr>
        <w:t>5.景区安全有保障。</w:t>
      </w:r>
      <w:r>
        <w:rPr>
          <w:rFonts w:hint="eastAsia" w:ascii="仿宋_GB2312" w:hAnsi="仿宋_GB2312" w:eastAsia="仿宋_GB2312" w:cs="仿宋_GB2312"/>
          <w:bCs/>
          <w:kern w:val="2"/>
          <w:sz w:val="32"/>
          <w:szCs w:val="32"/>
        </w:rPr>
        <w:t>始终坚持“安全第一、预防为主、综合治理”的方针，时刻紧绷安全弦，毫不放松抓好景区安全工作。开展4次安全知识培训与应急实操演练，加强日常巡查，定期对景区重点区域，电气线路、消防设施等重点环节进行专项监督检查，排除风险隐患，把安全生产落实到每个环节，及时检修各类设施设备，切实排除各类安全风险隐患，确保景区全年“零事故”</w:t>
      </w:r>
      <w:r>
        <w:rPr>
          <w:rFonts w:hint="eastAsia" w:ascii="仿宋_GB2312" w:hAnsi="仿宋_GB2312" w:eastAsia="仿宋_GB2312" w:cs="仿宋_GB2312"/>
          <w:bCs/>
          <w:kern w:val="2"/>
          <w:sz w:val="32"/>
          <w:szCs w:val="32"/>
          <w:lang w:eastAsia="zh-CN"/>
        </w:rPr>
        <w:t>。</w:t>
      </w:r>
    </w:p>
    <w:p w14:paraId="40A07C61">
      <w:pPr>
        <w:pStyle w:val="11"/>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444B855E">
      <w:pPr>
        <w:pStyle w:val="3"/>
        <w:keepNext w:val="0"/>
        <w:keepLines w:val="0"/>
        <w:pageBreakBefore w:val="0"/>
        <w:widowControl w:val="0"/>
        <w:kinsoku/>
        <w:wordWrap/>
        <w:topLinePunct w:val="0"/>
        <w:autoSpaceDE/>
        <w:autoSpaceDN/>
        <w:bidi w:val="0"/>
        <w:spacing w:after="0" w:line="560" w:lineRule="exact"/>
        <w:ind w:left="0" w:leftChars="0" w:right="0" w:rightChars="0" w:firstLine="640" w:firstLineChars="200"/>
        <w:jc w:val="both"/>
        <w:textAlignment w:val="auto"/>
        <w:rPr>
          <w:rFonts w:hint="eastAsia" w:eastAsia="仿宋_GB2312"/>
          <w:sz w:val="32"/>
          <w:szCs w:val="32"/>
          <w:lang w:val="en-US" w:eastAsia="zh-CN"/>
        </w:rPr>
      </w:pPr>
      <w:r>
        <w:rPr>
          <w:rFonts w:hint="default" w:ascii="Times New Roman" w:hAnsi="Times New Roman" w:eastAsia="仿宋_GB2312" w:cs="Times New Roman"/>
          <w:color w:val="000000"/>
          <w:kern w:val="2"/>
          <w:sz w:val="32"/>
          <w:szCs w:val="32"/>
          <w:lang w:val="en-US" w:eastAsia="zh-CN" w:bidi="ar-SA"/>
        </w:rPr>
        <w:t>年中预算追加比例较大，</w:t>
      </w:r>
      <w:r>
        <w:rPr>
          <w:rFonts w:hint="eastAsia" w:ascii="Times New Roman" w:hAnsi="Times New Roman" w:eastAsia="仿宋_GB2312" w:cs="Times New Roman"/>
          <w:color w:val="000000"/>
          <w:kern w:val="2"/>
          <w:sz w:val="32"/>
          <w:szCs w:val="32"/>
          <w:lang w:val="en-US" w:eastAsia="zh-CN" w:bidi="ar-SA"/>
        </w:rPr>
        <w:t>一部分为上级各主管部门给予免费开放资金，另一</w:t>
      </w:r>
      <w:r>
        <w:rPr>
          <w:rFonts w:hint="default" w:ascii="Times New Roman" w:hAnsi="Times New Roman" w:eastAsia="仿宋_GB2312" w:cs="Times New Roman"/>
          <w:color w:val="000000"/>
          <w:kern w:val="2"/>
          <w:sz w:val="32"/>
          <w:szCs w:val="32"/>
          <w:lang w:val="en-US" w:eastAsia="zh-CN" w:bidi="ar-SA"/>
        </w:rPr>
        <w:t>部分</w:t>
      </w:r>
      <w:r>
        <w:rPr>
          <w:rFonts w:hint="eastAsia" w:ascii="Times New Roman" w:hAnsi="Times New Roman" w:eastAsia="仿宋_GB2312" w:cs="Times New Roman"/>
          <w:color w:val="000000"/>
          <w:kern w:val="2"/>
          <w:sz w:val="32"/>
          <w:szCs w:val="32"/>
          <w:lang w:val="en-US" w:eastAsia="zh-CN" w:bidi="ar-SA"/>
        </w:rPr>
        <w:t>为向上争取的</w:t>
      </w:r>
      <w:r>
        <w:rPr>
          <w:rFonts w:hint="default" w:ascii="Times New Roman" w:hAnsi="Times New Roman" w:eastAsia="仿宋_GB2312" w:cs="Times New Roman"/>
          <w:color w:val="000000"/>
          <w:kern w:val="2"/>
          <w:sz w:val="32"/>
          <w:szCs w:val="32"/>
          <w:lang w:val="en-US" w:eastAsia="zh-CN" w:bidi="ar-SA"/>
        </w:rPr>
        <w:t>项目</w:t>
      </w:r>
      <w:r>
        <w:rPr>
          <w:rFonts w:hint="eastAsia" w:ascii="Times New Roman" w:hAnsi="Times New Roman" w:eastAsia="仿宋_GB2312" w:cs="Times New Roman"/>
          <w:color w:val="000000"/>
          <w:kern w:val="2"/>
          <w:sz w:val="32"/>
          <w:szCs w:val="32"/>
          <w:lang w:val="en-US" w:eastAsia="zh-CN" w:bidi="ar-SA"/>
        </w:rPr>
        <w:t>资金</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向上争取资金</w:t>
      </w:r>
      <w:r>
        <w:rPr>
          <w:rFonts w:hint="default" w:ascii="Times New Roman" w:hAnsi="Times New Roman" w:eastAsia="仿宋_GB2312" w:cs="Times New Roman"/>
          <w:color w:val="000000"/>
          <w:kern w:val="2"/>
          <w:sz w:val="32"/>
          <w:szCs w:val="32"/>
          <w:lang w:val="en-US" w:eastAsia="zh-CN" w:bidi="ar-SA"/>
        </w:rPr>
        <w:t>一是存在金额上的不确定，二是存在时间上及时性的不确定，会一定程度的影响项目工作的计划和开展，也一定程度的影响了项目支出的预算执行进度。</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143B200C">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pPr>
      <w:r>
        <w:rPr>
          <w:rFonts w:hint="default" w:ascii="Times New Roman" w:hAnsi="Times New Roman" w:eastAsia="仿宋_GB2312" w:cs="Times New Roman"/>
          <w:color w:val="000000"/>
          <w:kern w:val="2"/>
          <w:sz w:val="32"/>
          <w:szCs w:val="32"/>
          <w:lang w:val="en-US" w:eastAsia="zh-CN" w:bidi="ar-SA"/>
        </w:rPr>
        <w:t>提前谋划，加强沟通，</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是加快项目工作的实施，按设定的时限完成项目工作。</w:t>
      </w:r>
      <w:r>
        <w:rPr>
          <w:rFonts w:hint="eastAsia" w:ascii="Times New Roman" w:hAnsi="Times New Roman" w:eastAsia="仿宋_GB2312" w:cs="Times New Roman"/>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SA"/>
        </w:rPr>
        <w:t>是按季度进行预算执行进度分析和通报，督促加快项目实施进度。</w:t>
      </w:r>
      <w:r>
        <w:rPr>
          <w:rFonts w:hint="eastAsia" w:ascii="Times New Roman" w:hAnsi="Times New Roman" w:eastAsia="仿宋_GB2312" w:cs="Times New Roman"/>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SA"/>
        </w:rPr>
        <w:t>是合理设定合同支付条款，分段支付，加快预算执行，提高预算执行率。</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070B8B3">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经自评，</w:t>
      </w:r>
      <w:r>
        <w:rPr>
          <w:rFonts w:hint="eastAsia" w:ascii="Times New Roman" w:hAnsi="Times New Roman" w:eastAsia="仿宋_GB2312" w:cs="Times New Roman"/>
          <w:color w:val="000000"/>
          <w:kern w:val="2"/>
          <w:sz w:val="32"/>
          <w:szCs w:val="32"/>
          <w:lang w:val="en-US" w:eastAsia="zh-CN" w:bidi="ar-SA"/>
        </w:rPr>
        <w:t>炎陵县红军标语博物馆2023年部门整体支出绩效</w:t>
      </w:r>
      <w:r>
        <w:rPr>
          <w:rFonts w:hint="default" w:ascii="Times New Roman" w:hAnsi="Times New Roman" w:eastAsia="仿宋_GB2312" w:cs="Times New Roman"/>
          <w:color w:val="000000"/>
          <w:kern w:val="2"/>
          <w:sz w:val="32"/>
          <w:szCs w:val="32"/>
          <w:lang w:val="en-US" w:eastAsia="zh-CN" w:bidi="ar-SA"/>
        </w:rPr>
        <w:t>自评得分为</w:t>
      </w:r>
      <w:r>
        <w:rPr>
          <w:rFonts w:hint="eastAsia" w:ascii="Times New Roman" w:hAnsi="Times New Roman" w:eastAsia="仿宋_GB2312" w:cs="Times New Roman"/>
          <w:color w:val="000000"/>
          <w:kern w:val="2"/>
          <w:sz w:val="32"/>
          <w:szCs w:val="32"/>
          <w:lang w:val="en-US" w:eastAsia="zh-CN" w:bidi="ar-SA"/>
        </w:rPr>
        <w:t>100</w:t>
      </w:r>
      <w:r>
        <w:rPr>
          <w:rFonts w:hint="default" w:ascii="Times New Roman" w:hAnsi="Times New Roman" w:eastAsia="仿宋_GB2312" w:cs="Times New Roman"/>
          <w:color w:val="000000"/>
          <w:kern w:val="2"/>
          <w:sz w:val="32"/>
          <w:szCs w:val="32"/>
          <w:lang w:val="en-US" w:eastAsia="zh-CN" w:bidi="ar-SA"/>
        </w:rPr>
        <w:t>分，自评结果为“优”</w:t>
      </w:r>
      <w:r>
        <w:rPr>
          <w:rFonts w:hint="eastAsia" w:ascii="Times New Roman" w:hAnsi="Times New Roman" w:eastAsia="仿宋_GB2312" w:cs="Times New Roman"/>
          <w:color w:val="000000"/>
          <w:kern w:val="2"/>
          <w:sz w:val="32"/>
          <w:szCs w:val="32"/>
          <w:lang w:val="en-US" w:eastAsia="zh-CN" w:bidi="ar-SA"/>
        </w:rPr>
        <w:t>。</w:t>
      </w:r>
    </w:p>
    <w:p w14:paraId="6D846B7F">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sectPr>
      <w:footerReference r:id="rId7" w:type="default"/>
      <w:pgSz w:w="11906" w:h="16838"/>
      <w:pgMar w:top="1440" w:right="1463" w:bottom="1440" w:left="1463"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40D11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840D1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F4DC">
    <w:pPr>
      <w:spacing w:line="176" w:lineRule="auto"/>
      <w:ind w:left="40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044E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5044E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364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7612B"/>
    <w:multiLevelType w:val="singleLevel"/>
    <w:tmpl w:val="8217612B"/>
    <w:lvl w:ilvl="0" w:tentative="0">
      <w:start w:val="8"/>
      <w:numFmt w:val="chineseCounting"/>
      <w:suff w:val="nothing"/>
      <w:lvlText w:val="%1、"/>
      <w:lvlJc w:val="left"/>
      <w:rPr>
        <w:rFonts w:hint="eastAsia"/>
      </w:rPr>
    </w:lvl>
  </w:abstractNum>
  <w:abstractNum w:abstractNumId="1">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3F1E2356"/>
    <w:multiLevelType w:val="singleLevel"/>
    <w:tmpl w:val="3F1E235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DZmM2EwMmE0NTEyNDAyM2NmMGNiZWRlNjE0OTcifQ=="/>
  </w:docVars>
  <w:rsids>
    <w:rsidRoot w:val="00000000"/>
    <w:rsid w:val="00F82105"/>
    <w:rsid w:val="15BF56EC"/>
    <w:rsid w:val="17885A3C"/>
    <w:rsid w:val="22B44412"/>
    <w:rsid w:val="27105BD2"/>
    <w:rsid w:val="29880383"/>
    <w:rsid w:val="35CB6416"/>
    <w:rsid w:val="4B4334AB"/>
    <w:rsid w:val="4CAB6DBB"/>
    <w:rsid w:val="5403276E"/>
    <w:rsid w:val="54C57A37"/>
    <w:rsid w:val="57FF3D3F"/>
    <w:rsid w:val="5F7D7445"/>
    <w:rsid w:val="7BCA253A"/>
    <w:rsid w:val="7EF3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正文文字"/>
    <w:basedOn w:val="1"/>
    <w:next w:val="1"/>
    <w:qFormat/>
    <w:uiPriority w:val="0"/>
    <w:pPr>
      <w:spacing w:after="120"/>
    </w:pPr>
  </w:style>
  <w:style w:type="paragraph" w:styleId="11">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3131</Words>
  <Characters>3414</Characters>
  <Lines>0</Lines>
  <Paragraphs>0</Paragraphs>
  <TotalTime>3</TotalTime>
  <ScaleCrop>false</ScaleCrop>
  <LinksUpToDate>false</LinksUpToDate>
  <CharactersWithSpaces>3414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WPS_1683601656</cp:lastModifiedBy>
  <cp:lastPrinted>2024-09-03T01:18:05Z</cp:lastPrinted>
  <dcterms:modified xsi:type="dcterms:W3CDTF">2024-09-03T01:21:15Z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DEC29D6FF1984251977FAFE43F2C91AB_12</vt:lpwstr>
  </property>
</Properties>
</file>