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4"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4"/>
          <w:kern w:val="0"/>
          <w:sz w:val="34"/>
          <w:szCs w:val="34"/>
          <w:lang w:val="en-US" w:eastAsia="zh-CN"/>
        </w:rPr>
        <w:t>附件3</w:t>
      </w:r>
    </w:p>
    <w:p w14:paraId="0ACD5F0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7F0EAC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402F84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4118FCE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2023年度炎陵县第一中学整体支出绩效</w:t>
      </w:r>
    </w:p>
    <w:p w14:paraId="0DFB6BB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自评报告</w:t>
      </w:r>
    </w:p>
    <w:p w14:paraId="2182B00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E93FAC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6F6079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91D68D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13D978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B6C87E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4980254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6365D54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82DCFC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  <w:t>单位名称（盖章）：炎陵县第一中学</w:t>
      </w:r>
    </w:p>
    <w:p w14:paraId="0827003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412C0F7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8E2E47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36B2262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8C9F71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660F4AB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auto"/>
          <w:kern w:val="0"/>
          <w:sz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lang w:val="en-US" w:eastAsia="zh-CN"/>
        </w:rPr>
        <w:br w:type="page"/>
      </w:r>
    </w:p>
    <w:p w14:paraId="69FD9C40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一、</w:t>
      </w: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  <w:t>基本情况</w:t>
      </w:r>
    </w:p>
    <w:p w14:paraId="263EC022">
      <w:pPr>
        <w:pStyle w:val="10"/>
        <w:widowControl/>
        <w:numPr>
          <w:ilvl w:val="0"/>
          <w:numId w:val="1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基本情况：</w:t>
      </w:r>
    </w:p>
    <w:p w14:paraId="0495B4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1．主要职能：实施高中学历教育，促进教育事业发展。</w:t>
      </w:r>
    </w:p>
    <w:p w14:paraId="22D236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2．机构情况：机构数1，和上年无变化</w:t>
      </w:r>
    </w:p>
    <w:p w14:paraId="3A1D2D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3．人员情况：编制数168个，年末实际在编人员148人，年初不占编长期休息1人已转退休，当年调出4人，退休8人，年末实际退休人员82人，比上年净增加8人。年末遗属补助人员15人，比上年增加1人。</w:t>
      </w:r>
    </w:p>
    <w:p w14:paraId="05E145A4">
      <w:pPr>
        <w:pStyle w:val="10"/>
        <w:widowControl/>
        <w:numPr>
          <w:ilvl w:val="0"/>
          <w:numId w:val="1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年度整体支出绩效目标，专项资金绩效目标、其他项目支出（除专项资金以外）绩效目标：</w:t>
      </w:r>
    </w:p>
    <w:p w14:paraId="7B571A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1．年度整体支出绩效目标：以提升教育教学质量为中心，围绕 “决胜 2023、实现两考质量再提升” 和 “精细发展、特色发展、高质量发展” 主线，实现校园平安、提升办学质量（高考本科上线率达 60% 以上，学业水平合格性考试一次性合格率达 100%）、推进特色创新等目标。</w:t>
      </w:r>
    </w:p>
    <w:p w14:paraId="1747B3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2．专项资金绩效目标：无专项资金。</w:t>
      </w:r>
    </w:p>
    <w:p w14:paraId="61C49F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6" w:firstLineChars="199"/>
        <w:textAlignment w:val="auto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3．其他项目支出绩效目标：无其他项目支出。</w:t>
      </w:r>
    </w:p>
    <w:p w14:paraId="62FAA1C5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二、</w:t>
      </w: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  <w:t>一般公共预算支出情况</w:t>
      </w:r>
    </w:p>
    <w:p w14:paraId="55115D6B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instrText xml:space="preserve"> = 1 \* CHINESENUM3 \* MERGEFORMAT </w:instrTex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一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fldChar w:fldCharType="end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基本支出情况</w:t>
      </w:r>
    </w:p>
    <w:p w14:paraId="59761E2F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en-US"/>
        </w:rPr>
        <w:t>年初预算数为 3161.11 万元，全年预算数为 3168.75 万元，全年执行数为 3168.75 万元，执行率为 100%。</w:t>
      </w:r>
    </w:p>
    <w:p w14:paraId="7C11EFB6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instrText xml:space="preserve"> = 2 \* CHINESENUM3 \* MERGEFORMAT </w:instrTex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en-US"/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en-US"/>
        </w:rPr>
        <w:t>项目支出情况</w:t>
      </w:r>
    </w:p>
    <w:p w14:paraId="75D9F93C">
      <w:pPr>
        <w:pStyle w:val="10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无专项资金及专项资金以外的其他项目支出。</w:t>
      </w:r>
    </w:p>
    <w:p w14:paraId="751A51C8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三、政府性基金预算支出情况</w:t>
      </w:r>
    </w:p>
    <w:p w14:paraId="59A16607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无政府性基金预算的支出</w:t>
      </w:r>
    </w:p>
    <w:p w14:paraId="675CFC9A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四、国有资本经营预算支出情况</w:t>
      </w:r>
    </w:p>
    <w:p w14:paraId="4F98BAAE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无国有资本经营预算安排的支出</w:t>
      </w:r>
    </w:p>
    <w:p w14:paraId="0EEA75DC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五、社会保险基金预算支出情况</w:t>
      </w:r>
    </w:p>
    <w:p w14:paraId="0DEC3314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无社会保险基金预算安排的支出</w:t>
      </w:r>
    </w:p>
    <w:p w14:paraId="69BB16CC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六、部门整体支出绩效情况</w:t>
      </w:r>
    </w:p>
    <w:p w14:paraId="33422838"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36" w:firstLineChars="199"/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instrText xml:space="preserve"> = 1 \* CHINESENUM3 \* MERGEFORMAT </w:instrText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一</w:t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楷体_GB2312" w:hAnsi="楷体_GB2312" w:eastAsia="楷体_GB2312" w:cs="楷体_GB2312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）产出指标</w:t>
      </w:r>
      <w:bookmarkStart w:id="0" w:name="_GoBack"/>
      <w:bookmarkEnd w:id="0"/>
    </w:p>
    <w:p w14:paraId="473E24F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1．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数量指标：本科上线人数年度指标值为 350 人，实际完成值为 371 人，得分 10 分。</w:t>
      </w:r>
    </w:p>
    <w:p w14:paraId="4B554B6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2．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质量指标：学考合格率年度指标值为 100%，实际完成值为 99.71%，得分 9 分。通过教育学生端正学习态度，进一步提高教学效率来改进。</w:t>
      </w:r>
    </w:p>
    <w:p w14:paraId="41CB09A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3．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时效指标：经费到位及时性年度指标值为是，实际完成值为是，得分 10 分。</w:t>
      </w:r>
    </w:p>
    <w:p w14:paraId="38AEF8E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4．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成本指标：“三公” 经费变动率年度指标值为 0，实际完成值为 0，得分 10 分。</w:t>
      </w:r>
    </w:p>
    <w:p w14:paraId="75DC3CF8"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39" w:firstLineChars="199"/>
        <w:rPr>
          <w:rFonts w:hint="eastAsia" w:eastAsia="楷体"/>
          <w:color w:val="auto"/>
          <w:kern w:val="0"/>
          <w:lang w:eastAsia="zh-CN"/>
        </w:rPr>
      </w:pPr>
      <w:r>
        <w:rPr>
          <w:rFonts w:hint="eastAsia" w:eastAsia="楷体"/>
          <w:color w:val="auto"/>
          <w:kern w:val="0"/>
          <w:lang w:eastAsia="zh-CN"/>
        </w:rPr>
        <w:t>（</w:t>
      </w:r>
      <w:r>
        <w:rPr>
          <w:rFonts w:hint="eastAsia" w:eastAsia="楷体"/>
          <w:color w:val="auto"/>
          <w:kern w:val="0"/>
          <w:lang w:eastAsia="zh-CN"/>
        </w:rPr>
        <w:fldChar w:fldCharType="begin"/>
      </w:r>
      <w:r>
        <w:rPr>
          <w:rFonts w:hint="eastAsia" w:eastAsia="楷体"/>
          <w:color w:val="auto"/>
          <w:kern w:val="0"/>
          <w:lang w:eastAsia="zh-CN"/>
        </w:rPr>
        <w:instrText xml:space="preserve"> = 2 \* CHINESENUM3 \* MERGEFORMAT </w:instrText>
      </w:r>
      <w:r>
        <w:rPr>
          <w:rFonts w:hint="eastAsia" w:eastAsia="楷体"/>
          <w:color w:val="auto"/>
          <w:kern w:val="0"/>
          <w:lang w:eastAsia="zh-CN"/>
        </w:rPr>
        <w:fldChar w:fldCharType="separate"/>
      </w:r>
      <w:r>
        <w:rPr>
          <w:color w:val="auto"/>
          <w:kern w:val="0"/>
        </w:rPr>
        <w:t>二</w:t>
      </w:r>
      <w:r>
        <w:rPr>
          <w:rFonts w:hint="eastAsia" w:eastAsia="楷体"/>
          <w:color w:val="auto"/>
          <w:kern w:val="0"/>
          <w:lang w:eastAsia="zh-CN"/>
        </w:rPr>
        <w:fldChar w:fldCharType="end"/>
      </w:r>
      <w:r>
        <w:rPr>
          <w:rFonts w:hint="eastAsia" w:eastAsia="楷体"/>
          <w:color w:val="auto"/>
          <w:kern w:val="0"/>
          <w:lang w:eastAsia="zh-CN"/>
        </w:rPr>
        <w:t>）</w:t>
      </w:r>
      <w:r>
        <w:rPr>
          <w:rFonts w:hint="eastAsia" w:eastAsia="楷体"/>
          <w:color w:val="auto"/>
          <w:kern w:val="0"/>
        </w:rPr>
        <w:t>效益指标</w:t>
      </w:r>
    </w:p>
    <w:p w14:paraId="1B73FB6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1．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经济效益指标：预算执行率年度指标值为 95%，实际完成值为100%，得分 10 分。</w:t>
      </w:r>
    </w:p>
    <w:p w14:paraId="187F3D1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2．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社会效益指标：学校校舍日常维修改造质量达标率年度指标值为 100%，实际完成值为 100%，得分 10 分。</w:t>
      </w:r>
    </w:p>
    <w:p w14:paraId="5320321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3．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生态效益指标：校园进一步绿化美化年度指标值为是，实际完成值为是，得分 10 分。</w:t>
      </w:r>
    </w:p>
    <w:p w14:paraId="52FF3F3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  <w:t>4．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可持续影响指标：深化课堂教学改革年度指标值为是，实际完成值为是，得分 10 分。</w:t>
      </w:r>
    </w:p>
    <w:p w14:paraId="4D06D149"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43" w:firstLineChars="200"/>
        <w:rPr>
          <w:rFonts w:hint="eastAsia" w:eastAsia="楷体"/>
          <w:color w:val="auto"/>
          <w:kern w:val="0"/>
        </w:rPr>
      </w:pPr>
      <w:r>
        <w:rPr>
          <w:rFonts w:hint="eastAsia" w:eastAsia="楷体"/>
          <w:color w:val="auto"/>
          <w:kern w:val="0"/>
          <w:lang w:eastAsia="zh-CN"/>
        </w:rPr>
        <w:t>（</w:t>
      </w:r>
      <w:r>
        <w:rPr>
          <w:rFonts w:hint="eastAsia" w:eastAsia="楷体"/>
          <w:color w:val="auto"/>
          <w:kern w:val="0"/>
          <w:lang w:eastAsia="zh-CN"/>
        </w:rPr>
        <w:fldChar w:fldCharType="begin"/>
      </w:r>
      <w:r>
        <w:rPr>
          <w:rFonts w:hint="eastAsia" w:eastAsia="楷体"/>
          <w:color w:val="auto"/>
          <w:kern w:val="0"/>
          <w:lang w:eastAsia="zh-CN"/>
        </w:rPr>
        <w:instrText xml:space="preserve"> = 3 \* CHINESENUM3 \* MERGEFORMAT </w:instrText>
      </w:r>
      <w:r>
        <w:rPr>
          <w:rFonts w:hint="eastAsia" w:eastAsia="楷体"/>
          <w:color w:val="auto"/>
          <w:kern w:val="0"/>
          <w:lang w:eastAsia="zh-CN"/>
        </w:rPr>
        <w:fldChar w:fldCharType="separate"/>
      </w:r>
      <w:r>
        <w:rPr>
          <w:color w:val="auto"/>
          <w:kern w:val="0"/>
        </w:rPr>
        <w:t>三</w:t>
      </w:r>
      <w:r>
        <w:rPr>
          <w:rFonts w:hint="eastAsia" w:eastAsia="楷体"/>
          <w:color w:val="auto"/>
          <w:kern w:val="0"/>
          <w:lang w:eastAsia="zh-CN"/>
        </w:rPr>
        <w:fldChar w:fldCharType="end"/>
      </w:r>
      <w:r>
        <w:rPr>
          <w:rFonts w:hint="eastAsia" w:eastAsia="楷体"/>
          <w:color w:val="auto"/>
          <w:kern w:val="0"/>
          <w:lang w:eastAsia="zh-CN"/>
        </w:rPr>
        <w:t>）</w:t>
      </w:r>
      <w:r>
        <w:rPr>
          <w:rFonts w:hint="eastAsia" w:eastAsia="楷体"/>
          <w:color w:val="auto"/>
          <w:kern w:val="0"/>
        </w:rPr>
        <w:t>满意度指标</w:t>
      </w:r>
    </w:p>
    <w:p w14:paraId="3B49A60A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服务对象满意度指标：家长满意率年度指标值为 100%，实际完成值为 99.30%，得分 9 分。通过进一步提高服务意识来改进。</w:t>
      </w:r>
    </w:p>
    <w:p w14:paraId="1CF0D9D1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总分9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分。</w:t>
      </w:r>
    </w:p>
    <w:p w14:paraId="40A07C61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七、存在的问题及原因分析</w:t>
      </w:r>
    </w:p>
    <w:p w14:paraId="68BCDA56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学考合格率未达到年度指标值，主要原因是部分学生学习态度不够端正，教学效率有待进一步提高。家长满意率未达到年度指标值，需要进一步提高服务意识，加强与家长的沟通和交流。</w:t>
      </w:r>
    </w:p>
    <w:p w14:paraId="455796B8">
      <w:pPr>
        <w:pStyle w:val="10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4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zh-CN" w:bidi="ar-SA"/>
        </w:rPr>
        <w:t>八、</w:t>
      </w:r>
      <w:r>
        <w:rPr>
          <w:rFonts w:hint="eastAsia" w:ascii="Arial" w:hAnsi="Arial" w:eastAsia="黑体" w:cstheme="minorBidi"/>
          <w:b/>
          <w:color w:val="auto"/>
          <w:kern w:val="0"/>
          <w:sz w:val="32"/>
          <w:szCs w:val="24"/>
          <w:lang w:val="en-US" w:eastAsia="en-US" w:bidi="ar-SA"/>
        </w:rPr>
        <w:t>下一步改进措施</w:t>
      </w:r>
    </w:p>
    <w:p w14:paraId="56FD384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加强学生思想教育，端正学习态度，同时优化教学方法，提高教学效率。增强服务意识，积极倾听家长意见和建议，不断改进服务质量。</w:t>
      </w:r>
    </w:p>
    <w:p w14:paraId="47BCC70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20" w:lineRule="exact"/>
        <w:ind w:firstLine="643" w:firstLineChars="200"/>
        <w:rPr>
          <w:rFonts w:hint="eastAsia"/>
          <w:color w:val="auto"/>
          <w:kern w:val="0"/>
        </w:rPr>
      </w:pPr>
      <w:r>
        <w:rPr>
          <w:rFonts w:hint="eastAsia"/>
          <w:color w:val="auto"/>
          <w:kern w:val="0"/>
          <w:lang w:val="en-US" w:eastAsia="zh-CN"/>
        </w:rPr>
        <w:t>九、绩效自评结果及</w:t>
      </w:r>
      <w:r>
        <w:rPr>
          <w:rFonts w:hint="eastAsia"/>
          <w:color w:val="auto"/>
          <w:kern w:val="0"/>
        </w:rPr>
        <w:t>其他需要说明的情况</w:t>
      </w:r>
    </w:p>
    <w:p w14:paraId="48C275C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  <w:t>本部门整体支出绩效自评结果为良好，达到了预期目标。但在学考合格率和家长满意率方面还有提升空间，将采取针对性措施加以改进。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5128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ZmRhNTQ0NTYwOGI2OTkxNjJhNDgyZjE5MTliOTkifQ=="/>
  </w:docVars>
  <w:rsids>
    <w:rsidRoot w:val="00000000"/>
    <w:rsid w:val="04C6213E"/>
    <w:rsid w:val="09332AB1"/>
    <w:rsid w:val="15BF56EC"/>
    <w:rsid w:val="35CB6416"/>
    <w:rsid w:val="4B4334AB"/>
    <w:rsid w:val="5403276E"/>
    <w:rsid w:val="54C57A37"/>
    <w:rsid w:val="647C448C"/>
    <w:rsid w:val="6A3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宋体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1288</Characters>
  <Lines>0</Lines>
  <Paragraphs>0</Paragraphs>
  <TotalTime>47</TotalTime>
  <ScaleCrop>false</ScaleCrop>
  <LinksUpToDate>false</LinksUpToDate>
  <CharactersWithSpaces>1335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芈</cp:lastModifiedBy>
  <cp:lastPrinted>2024-09-04T02:41:16Z</cp:lastPrinted>
  <dcterms:modified xsi:type="dcterms:W3CDTF">2024-09-04T03:18:35Z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5AB40DDE74A445A3AE3C3CB250CD7A8B_13</vt:lpwstr>
  </property>
</Properties>
</file>