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6AD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115231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22A700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241044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1DD0388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</w:t>
      </w:r>
    </w:p>
    <w:p w14:paraId="20DCDE6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炎陵高新技术产业开发区管理委员会</w:t>
      </w:r>
    </w:p>
    <w:p w14:paraId="7ED42F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2E86EEF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1979CD6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5B2679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793C271B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F438C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40307E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568602AC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7292B8E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446C6ED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7A41D3B0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炎陵高新技术产业开发区管理委员会</w:t>
      </w:r>
    </w:p>
    <w:p w14:paraId="341586B7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BD75039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513DB8F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01E3B7E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FC7039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64B35E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FDE9FBC">
      <w:pPr>
        <w:pStyle w:val="11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2B6A22F6">
      <w:pPr>
        <w:pStyle w:val="11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594894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炎陵高新技术产业开发区管理委员会为全额拨款参公事业单位，内设局室5个，分别为：办公室、经济合作局、产业发展局、开发建设局、营商环境局。2023年县编办核实人员编制数为27人，年末实有在职人员21人。</w:t>
      </w:r>
    </w:p>
    <w:p w14:paraId="2CED3815">
      <w:pPr>
        <w:pStyle w:val="11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4B05D67E">
      <w:pPr>
        <w:pStyle w:val="11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炎陵高新技术产业开发区管理委员会2023年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全新引进项目19个，完成规模工业增加值26.70亿元，完成高新技术产业营业收入68.28亿元，规模工业增加值增速5.50%，完成技工贸总收入135.20亿元，完成税收收入2.65亿元，完成固定资产投资43.01亿元。</w:t>
      </w:r>
    </w:p>
    <w:p w14:paraId="7411A6D6">
      <w:pPr>
        <w:pStyle w:val="11"/>
        <w:widowControl/>
        <w:numPr>
          <w:ilvl w:val="0"/>
          <w:numId w:val="1"/>
        </w:numPr>
        <w:spacing w:line="52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7423E3C3">
      <w:pPr>
        <w:pStyle w:val="11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6076A3B9">
      <w:pPr>
        <w:pStyle w:val="11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2023年一般公共预算支出中基本支出288.33万元，占一般公共预算总支出的4.46%，占年度整体总支出的2.98%。按经济科目分类：工资福利支出253.02万元、商品和服务支出35.29万元。按功能科目分类：社会保障和就业支出28.40万元、卫生健康支出11.75万元、资源勘探信息等支出225.28万元、住房保障支出22.91万元。</w:t>
      </w:r>
    </w:p>
    <w:p w14:paraId="1FDF1F41">
      <w:pPr>
        <w:pStyle w:val="11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2023年“三公”经费预算数为2.00万元，其中公务接待费预算数2.00万元，公务用车购置及运行费0万元。“三公”经费决算数为2.00万元，无结余结转。</w:t>
      </w:r>
    </w:p>
    <w:p w14:paraId="1F6097A5">
      <w:pPr>
        <w:pStyle w:val="11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523EDC1C">
      <w:pPr>
        <w:pStyle w:val="11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2023年项目支出6181.90万元，占一般公共预算总支出的95.54%，占年度整体总支出的63.87%。按经济科目分类：商品和服务支出426.58万元、资本性支出2098.93万元、对企业补助3656.39万元。按功能科目分类：一般公共服务支出3万元、科学技术支出6163.90万元、农林水支出15万元。</w:t>
      </w:r>
    </w:p>
    <w:p w14:paraId="56A82003">
      <w:pPr>
        <w:pStyle w:val="11"/>
        <w:widowControl/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专项资金一为高新区基础设施建设资金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，无一般公共预算支出——项目支出。</w:t>
      </w:r>
    </w:p>
    <w:p w14:paraId="2CCC096F">
      <w:pPr>
        <w:pStyle w:val="11"/>
        <w:widowControl/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专项资金二为园区体制结算补助资金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，一般公共预算支出5212.90万元，占一般公共预算总支出的80.57%，占年度整体总支出的53.86%。按经济科目分类：商品和服务支出422.58万元、资本性支出2098.93万元、对企业补助2691.39万元。按功能科目分类为科学技术支出5212.90万元。</w:t>
      </w:r>
    </w:p>
    <w:p w14:paraId="55724FF1">
      <w:pPr>
        <w:pStyle w:val="11"/>
        <w:widowControl/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专项资金三为园区其他项目资金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，一般公共预算支出969.00万元，占一般公共预算总支出的14.98%，占年度整体总支出的10.01%。按经济科目分类：商品和服务支出4.00万元、对企业补助965.00万元。按功能科目分类：一般公共服务支出3万元、科学技术支出951.00万元、农林水支出15万元。</w:t>
      </w:r>
    </w:p>
    <w:p w14:paraId="06AE1021">
      <w:pPr>
        <w:pStyle w:val="11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00CB5C2">
      <w:pPr>
        <w:pStyle w:val="11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2023年政府性基金预算支出3208.51万元，均为项目支出，占年度整体总支出的33.15%。按经济科目分类：商品和服务支出59.11万元、资本性支出174.09万元，对企业补助2975.31万元。按功能科目分类为城乡社区支出3208.51万元。</w:t>
      </w:r>
    </w:p>
    <w:p w14:paraId="72F86BA3">
      <w:pPr>
        <w:pStyle w:val="11"/>
        <w:widowControl/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专项资金一为高新区基础设施建设资金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，政府性基金预算支出1139.44万元，占政府性基金预算总支出的35.51%，占年度整体总支出的11.77%。按经济科目分类：商品和服务支出59.11万元、资本性支出174.09万元，对企业补助906.24万元。项目支出功能科目为城乡社区支出1139.44万元。</w:t>
      </w:r>
    </w:p>
    <w:p w14:paraId="0A3A12BD">
      <w:pPr>
        <w:pStyle w:val="11"/>
        <w:widowControl/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专项资金二为园区体制结算补助资金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，政府性基金预算支出1019.07万元，占政府性基金预算总支出的31.76%，占年度整体总支出的10.53%。按经济科目分类为对企业补助1019.07万元。按功能科目分类为城乡社区支出1019.07万元。</w:t>
      </w:r>
    </w:p>
    <w:p w14:paraId="11037E5F">
      <w:pPr>
        <w:pStyle w:val="11"/>
        <w:widowControl/>
        <w:numPr>
          <w:ilvl w:val="0"/>
          <w:numId w:val="0"/>
        </w:numPr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专项资金三为园区其他项目资金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，政府性基金预算支出1050万元，占政府性基金预算总支出的32.73%，占年度整体总支出的10.85%。按经济科目分类为对企业补助1050万元。按功能科目分类为城乡社区支出1050万元。</w:t>
      </w:r>
    </w:p>
    <w:p w14:paraId="09F29492">
      <w:pPr>
        <w:pStyle w:val="11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0C45B040">
      <w:pPr>
        <w:pStyle w:val="11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2023年无国有资本经营预算支出。</w:t>
      </w:r>
    </w:p>
    <w:p w14:paraId="0993F738">
      <w:pPr>
        <w:pStyle w:val="11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8CB6944">
      <w:pPr>
        <w:pStyle w:val="11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2023年无社会保险基金预算支出。</w:t>
      </w:r>
    </w:p>
    <w:p w14:paraId="61B2BA23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4775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主要指标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  <w:lang w:eastAsia="zh-CN"/>
        </w:rPr>
        <w:t>稳中向好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2023年，完成技工贸总收入135.20亿元，同比增长9.5%；完成高新技术产业营业收入68.28亿元，同比增长24.32%；完成固定资产投资43.01亿元，同比增长4.1%；完成规模工业增加值26.7亿元，同比增长5.5%；完成税收收入2.65亿元，同比增长13.8%，用全县0.2%的土地面积，贡献了全县45%的税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外资到位8万澳元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实现炎陵引进外商直接投资“破零”。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全省“五好”园区创建综合评价中排名获得较大提升。</w:t>
      </w:r>
    </w:p>
    <w:p w14:paraId="221C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（二）招商引资突飞猛进。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园区新引进项目19个，合同引资额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82.32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亿元，在谈项目14个，其中：10亿元以上项目4个，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-10亿元项目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个；世界500强项目2个，中国500强项目1个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签约项目落地14个，招商引资签约项目和落地项目均位居全市各园区前列。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今年1-2月新签约项目3个，投资额6.9亿元，拟签约项目3个，投资额约10亿元，来势较好。</w:t>
      </w:r>
    </w:p>
    <w:p w14:paraId="15F84948">
      <w:pPr>
        <w:widowControl/>
        <w:spacing w:line="520" w:lineRule="exact"/>
        <w:ind w:firstLine="645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楷体" w:hAnsi="楷体" w:eastAsia="楷体"/>
          <w:color w:val="auto"/>
          <w:sz w:val="32"/>
          <w:szCs w:val="32"/>
          <w:highlight w:val="none"/>
        </w:rPr>
        <w:t>（三）</w:t>
      </w:r>
      <w:r>
        <w:rPr>
          <w:rFonts w:hint="eastAsia" w:ascii="楷体" w:hAnsi="楷体" w:eastAsia="楷体"/>
          <w:color w:val="auto"/>
          <w:sz w:val="32"/>
          <w:szCs w:val="32"/>
          <w:highlight w:val="none"/>
        </w:rPr>
        <w:t>重点项目逐步</w:t>
      </w:r>
      <w:r>
        <w:rPr>
          <w:rFonts w:ascii="楷体" w:hAnsi="楷体" w:eastAsia="楷体"/>
          <w:color w:val="auto"/>
          <w:sz w:val="32"/>
          <w:szCs w:val="32"/>
          <w:highlight w:val="none"/>
        </w:rPr>
        <w:t>推进</w:t>
      </w:r>
      <w:r>
        <w:rPr>
          <w:rFonts w:ascii="楷体_GB2312" w:hAnsi="楷体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2023年，园区在建项目共计达到44个，累计总投资额约105亿元。其中：省市县重点建设项目18个，均已达到序时进度；2023年招商引资新签约新落地项目14个，启动企业技改新建扩建项目12个。截止目前，园区所有在建项目均有序推进，其中永盈新材料、中钨新材、振英生物科技等8个项目进度较快，均可于2024年上半年实现竣工投产。</w:t>
      </w:r>
    </w:p>
    <w:p w14:paraId="10FFBAB0">
      <w:pPr>
        <w:pStyle w:val="11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B6EFD2D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主要反映各种</w:t>
      </w:r>
      <w:r>
        <w:rPr>
          <w:rFonts w:eastAsia="仿宋_GB2312"/>
          <w:color w:val="000000"/>
          <w:sz w:val="32"/>
          <w:szCs w:val="32"/>
        </w:rPr>
        <w:t>预算支出执行偏离绩效目标的情况，</w:t>
      </w:r>
      <w:r>
        <w:rPr>
          <w:rFonts w:eastAsia="仿宋_GB2312"/>
          <w:sz w:val="32"/>
          <w:szCs w:val="32"/>
        </w:rPr>
        <w:t>并分析其原因。</w:t>
      </w:r>
    </w:p>
    <w:p w14:paraId="3B0FBD9F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56E9C7ED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</w:t>
      </w:r>
      <w:bookmarkStart w:id="0" w:name="_GoBack"/>
      <w:bookmarkEnd w:id="0"/>
      <w:r>
        <w:rPr>
          <w:rFonts w:hint="eastAsia" w:eastAsia="黑体"/>
          <w:sz w:val="32"/>
          <w:szCs w:val="32"/>
          <w:lang w:val="en-US" w:eastAsia="zh-CN"/>
        </w:rPr>
        <w:t>结果及</w:t>
      </w:r>
      <w:r>
        <w:rPr>
          <w:rFonts w:eastAsia="黑体"/>
          <w:sz w:val="32"/>
          <w:szCs w:val="32"/>
        </w:rPr>
        <w:t>其他需要说明的情况</w:t>
      </w:r>
    </w:p>
    <w:p w14:paraId="47F637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5000016" w:usb3="00000008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88736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zkzOTdlZjMyMTZkZDAwNDZiZWZhMGFhNDBlOGMifQ=="/>
  </w:docVars>
  <w:rsids>
    <w:rsidRoot w:val="00000000"/>
    <w:rsid w:val="08624665"/>
    <w:rsid w:val="0FC65D20"/>
    <w:rsid w:val="10C62DE7"/>
    <w:rsid w:val="15BF56EC"/>
    <w:rsid w:val="1EB249FE"/>
    <w:rsid w:val="2892410F"/>
    <w:rsid w:val="311A166C"/>
    <w:rsid w:val="35CB6416"/>
    <w:rsid w:val="3A57203C"/>
    <w:rsid w:val="4B4334AB"/>
    <w:rsid w:val="5403276E"/>
    <w:rsid w:val="54C57A37"/>
    <w:rsid w:val="54F26F28"/>
    <w:rsid w:val="5C700480"/>
    <w:rsid w:val="5D8C40E8"/>
    <w:rsid w:val="61D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4"/>
    <w:qFormat/>
    <w:uiPriority w:val="99"/>
    <w:pPr>
      <w:spacing w:line="600" w:lineRule="exact"/>
      <w:ind w:left="0" w:leftChars="0"/>
    </w:pPr>
    <w:rPr>
      <w:rFonts w:ascii="Times New Roman" w:hAnsi="Times New Roman"/>
    </w:rPr>
  </w:style>
  <w:style w:type="paragraph" w:customStyle="1" w:styleId="9">
    <w:name w:val="UserStyle_0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customStyle="1" w:styleId="10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2">
    <w:name w:val="[系统文字]"/>
    <w:qFormat/>
    <w:uiPriority w:val="0"/>
    <w:pPr>
      <w:jc w:val="both"/>
    </w:pPr>
    <w:rPr>
      <w:rFonts w:ascii="Calibri" w:hAnsi="NEU-BZ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1914</Words>
  <Characters>2326</Characters>
  <Lines>0</Lines>
  <Paragraphs>0</Paragraphs>
  <TotalTime>273</TotalTime>
  <ScaleCrop>false</ScaleCrop>
  <LinksUpToDate>false</LinksUpToDate>
  <CharactersWithSpaces>2326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黄梦</cp:lastModifiedBy>
  <dcterms:modified xsi:type="dcterms:W3CDTF">2024-09-09T08:45:15Z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