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2023年度炎陵县科技和工业信息化局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一、</w:t>
      </w: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"/>
        </w:rPr>
        <w:t>炎陵县科技和工业信息化局为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行政</w:t>
      </w: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"/>
        </w:rPr>
        <w:t>单位，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单位内设股室7个、直属单位1个（含1个副科级单位），分别为：办公室、人事财务股、工业运行和投资股、军民融合和信息产业股、科技成果股、科技创新股、产业招商和政策法规股、县中小企业服务中心。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年县编办核实人员编制数为22人，年末实有在职人员22人。</w:t>
      </w:r>
    </w:p>
    <w:p>
      <w:pPr>
        <w:pStyle w:val="6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2023年绩效目标为：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1、工业经济保持平稳运行。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2、主特产业实力不断壮大。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3、科技创新氛围更加活跃。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4、营商环境更为优质高效。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5、完成县委、政府交办的其他任务。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6、完成单位日常工作、人员经费支出。</w:t>
      </w:r>
    </w:p>
    <w:p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6"/>
        <w:widowControl/>
        <w:spacing w:line="520" w:lineRule="exact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2023年基本支出为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5119613.47元，占一般公共预算总支出的31.92%，占年度整体总支出的28.7%，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其中：人员经费4093973.19元，公用经费1025640.28元。</w:t>
      </w:r>
    </w:p>
    <w:p>
      <w:pPr>
        <w:pStyle w:val="6"/>
        <w:widowControl/>
        <w:spacing w:line="520" w:lineRule="exact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2023年“三公”经费预算数为6000元，其中公务接待费预算数6000元，公务用车购置及运行费0元。“三公”经费决算数为6000元，无结余结转。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napToGrid w:val="0"/>
          <w:color w:val="000000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项目支出12717584.6元，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占一般公共预算总支出的79.3%，占年度整体总支出的71.3%。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2023年政府性基金预算财政拨款支出1800000元，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占年度整体总支出的10.09%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，其中：经费拨款1800000元。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2023年无国有资本经营预算支出。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2023年无社会保险基金预算支出。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（一）筑牢“主阵地”根基，干部政治三力不断坚实。全年开展意识形态专题风险研判4次，每月开展常态化意识形态安全风险排查。对科技和工业信息化工作开展宣传报道，其中《科技赋能动力足》《给农业插上科技“翅膀”》等多方面亮点工作获学习强国、科技日报、湖南日报、株洲日报等多家党宣主媒刊发报道。走好网上群众路线，转发大美炎陵公众号文章100余篇。政治领悟力不断坚实。深入开展党的二十大精神学习贯彻，全年理论中心组集中学习12次；开展党的二十大宣讲进企业、酃声逐梦微宣讲、“走红色之路，做红色传人”系列活动；前往炎帝陵廉政教育基地学习教育；举办局“解放思想、转变作风”大讨论活动。政治执行力不断坚实。坚定不移“听党话、跟党走”，不折不扣落实党中央决策部署，严格落实“三重一大”事项决策程序，严格开展利用职权或影响力为亲友牟利问题自查自纠，严格执行新形势下党内政治生活若干准则，增强党内政治生活的政治性、时代性、原则性、战斗性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（二）坚守“稳增长”主线，工业发展动力不断增强。2023年，全县实现规模工业总产值94.3亿元，同比增长5%；规模工业增加值增速7.1%；制造业增加值占GDP比重25.9%；完成工业固定资产投资38.8亿元，同比增长3.5%；工业税收2.86亿元，同比增长78.2%，占全口径税收的 48.8%；新增规模以上工业企业9家，全县规模以上工业企业总数达到116家。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（三）聚焦“提效益”目标，主特产业实力不断壮大。2023年新签约引进工业项目18个，其中亿元以上项目17个、10亿元以上项目4个。项目裂变攻坚孵化市场主体61个，转化技术攻关项目11个，裂变技术改造项目12个、现代农业项目18个、现代服务业项目24个；裂变智能制造项目8个。建成了全国最大规模的钽铌材料产业集群、全省工业园区最完整的人造金刚石产业链，新增国家级、省级专精特新中小企业8家、省级企业技术中心2家，碳化钨—碳化钛固溶体粉末入选省级工业新产品，全康电子在湖南股交所科技创新专板挂牌，欧科亿跻身“全省专精特新小巨人税收贡献50强”，4家企业获评“全省产融合作制造业重点企业”，3家公司入选“株洲市民营企业50强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（四）打好“攻坚仗”任务，科技创新活力不断激发。全社会研发投入创历史新高，完成地方财政科技支出1.32亿元，占一般公共支出比重8%；科技型中小企业评价入库93家，高新技术企业总量达40家；技术合同登记总额5.7亿元，合同登记项数60个。潇湘科技要素大市场（炎陵站）通过省科技厅首批验收，正式挂牌运营，已进驻服务机构13家，金融机构5家；“铁锂废粉选择性浸出提锂生产技术”“多晶金刚石制备核心技术”实现规模化生产，“磷酸铁锂电池再生利用技术研发中心”获省厅立项，“航空航天复合材料硬质合金刀具”项目列入省级重点领域研发计划，科技派驻服务获评国家科技部优秀典型事迹及央视巡展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（五）加强“夯基础”实效，企业服务能力不断提升。畅通“企业办事不求人”“营商环境投诉专线”等政企沟通渠道，“企业办事不求人”工作专班走访企业650余次，通过走访收集、企业直报、会议活动收集、市长热线等渠道收集企业困难与问题407件，已解决404件，解决率达到99.3%。推行“一把手”走流程、“六即”服务，配备24名项目服务专员，成立园区企业服务中心，开辟审批帮代办服务“绿色通道”，振英生物科技、永盈超硬材料项目从签约到开工仅用3个月；创新政银企对接，为26家企业授信2.7亿元。炎陵县“发展‘好环境’孕育经济‘高质量’”的经验做法获省专班专报推介和伟明省长批示肯定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新增规模以上工业企业实际完成值</w:t>
      </w:r>
      <w:r>
        <w:rPr>
          <w:rFonts w:hint="eastAsia" w:eastAsia="仿宋_GB2312"/>
          <w:sz w:val="32"/>
          <w:szCs w:val="32"/>
          <w:lang w:eastAsia="zh-CN"/>
        </w:rPr>
        <w:t>未达到年度指标值，其原因主要在于现有落地项目体量小，难以达到申报规模工业企业所需要的标准。</w:t>
      </w:r>
    </w:p>
    <w:p>
      <w:pPr>
        <w:widowControl/>
        <w:numPr>
          <w:ilvl w:val="0"/>
          <w:numId w:val="2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筹兼顾抓重点。重点落实依法治统、应统尽统要求，密切关注国情、市场、企业等运行动态，实行“一企一档”真实把握企业情况。研究出台《支持炎陵县工业企业高质量发展的若干政策措施》，以政策激励企业增资扩产、倍增裂变，带动工业经济指标稳增长，支撑炎陵高质量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2.聚力攻坚破难点。强化梯度培育，推进两化融合，开展好“智赋千企”行动，支持企业数字化改造，打造智能工厂、智能车间。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刀刃向内通堵点。深化“企业办事不求人”工作机制，高效快速解决企业“急难愁盼”问题。依托炎陵县中小企业服务平台，打造集升规入统、争资引项、数字转型、融资上市为一体的企业服务体系。做好“制造名城”监督与服务企业微信群的问题转办、交办、督办。落实《保障中小企业款项支付条例》，常态化开展清理拖欠民营企业、中小企业账款行动，优化营商环境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无其他需要说明的情况。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C22C5F42"/>
    <w:multiLevelType w:val="singleLevel"/>
    <w:tmpl w:val="C22C5F4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6426706"/>
    <w:rsid w:val="0B497C05"/>
    <w:rsid w:val="10493F01"/>
    <w:rsid w:val="15BF56EC"/>
    <w:rsid w:val="19146C6E"/>
    <w:rsid w:val="35CB6416"/>
    <w:rsid w:val="3F6B1874"/>
    <w:rsid w:val="48061854"/>
    <w:rsid w:val="4B4334AB"/>
    <w:rsid w:val="5403276E"/>
    <w:rsid w:val="54C57A37"/>
    <w:rsid w:val="6AF23ADF"/>
    <w:rsid w:val="75F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19</TotalTime>
  <ScaleCrop>false</ScaleCrop>
  <LinksUpToDate>false</LinksUpToDate>
  <CharactersWithSpaces>458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阿雄⁶⁶⁶₆₆₆⁶⁶⁶₆₆₆</cp:lastModifiedBy>
  <cp:lastPrinted>2024-09-05T09:31:08Z</cp:lastPrinted>
  <dcterms:modified xsi:type="dcterms:W3CDTF">2024-09-05T09:45:05Z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DEC29D6FF1984251977FAFE43F2C91AB_12</vt:lpwstr>
  </property>
</Properties>
</file>