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2023年度炎陵县沔渡镇学校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7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34096008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1．主要职能。</w:t>
      </w:r>
    </w:p>
    <w:p w14:paraId="6D3B976A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bookmarkStart w:id="0" w:name="OLE_LINK1"/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炎陵县沔渡镇学校是由教育主管部门管辖的独立核算单位之一，负责本单位的收入、支出的预算和决算工作，实行初中学历、小学学历教育。</w:t>
      </w:r>
    </w:p>
    <w:bookmarkEnd w:id="0"/>
    <w:p w14:paraId="427D55A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exact"/>
        <w:ind w:left="0" w:right="0" w:firstLine="645"/>
        <w:contextualSpacing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eastAsia="仿宋_GB2312" w:cs="仿宋_GB2312"/>
          <w:sz w:val="32"/>
          <w:szCs w:val="32"/>
          <w:shd w:val="clear" w:fill="FFFFFF"/>
          <w:lang w:eastAsia="zh-CN"/>
        </w:rPr>
        <w:t>部门决算单位构成</w:t>
      </w:r>
      <w:r>
        <w:rPr>
          <w:rFonts w:ascii="仿宋_GB2312" w:eastAsia="仿宋_GB2312"/>
          <w:sz w:val="32"/>
          <w:szCs w:val="32"/>
          <w:shd w:val="clear" w:fill="FFFFFF"/>
          <w:lang w:val="en-US"/>
        </w:rPr>
        <w:t> </w:t>
      </w:r>
    </w:p>
    <w:p w14:paraId="53472530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27" w:firstLineChars="196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炎陵县沔渡镇学校为独立核算的事业单位，属于财政全额拨款的二级预算单位，执行中小学校会计制度。我单位内设中学1所，小学1所，根据需要，学校内设办公室、教务</w:t>
      </w:r>
      <w:r>
        <w:rPr>
          <w:rFonts w:hint="eastAsia" w:ascii="仿宋_GB2312" w:hAnsi="宋体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"/>
        </w:rPr>
        <w:t>处、政教处、总务处、教研室、团委等处室。</w:t>
      </w:r>
    </w:p>
    <w:p w14:paraId="43B1939E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2．机构情况</w:t>
      </w:r>
    </w:p>
    <w:p w14:paraId="42551F32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沔渡镇学校为独立核算的事业单位，属二级预算单位。</w:t>
      </w:r>
    </w:p>
    <w:p w14:paraId="7EC373F6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3．人员情况</w:t>
      </w:r>
    </w:p>
    <w:p w14:paraId="1A80466E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根据编办核定，我单位编制为62人，截止2023年12月底，年末在编</w:t>
      </w:r>
      <w:r>
        <w:rPr>
          <w:rFonts w:hint="eastAsia" w:ascii="仿宋_GB2312" w:hAnsi="宋体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"/>
        </w:rPr>
        <w:t>在岗62人、病退1人、退休77人、遗属补助12。</w:t>
      </w:r>
    </w:p>
    <w:p w14:paraId="3447257F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20" w:lineRule="exact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5556C9CE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tbl>
      <w:tblPr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570"/>
        <w:gridCol w:w="1680"/>
        <w:gridCol w:w="1680"/>
        <w:gridCol w:w="1680"/>
      </w:tblGrid>
      <w:tr w14:paraId="75D1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4CC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    目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0DD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行次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E82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15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14D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</w:tr>
      <w:tr w14:paraId="7A6A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8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AEC7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1D5B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6D4E6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775D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vAlign w:val="center"/>
          </w:tcPr>
          <w:p w14:paraId="3252F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E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7FBF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5B72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AC3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5DF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579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E5B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4BE4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一、一般公共预算财政拨款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DB1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4D3D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10,293,312.00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794B6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11,772,937.05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FD01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11,772,937.05</w:t>
            </w:r>
          </w:p>
        </w:tc>
      </w:tr>
      <w:tr w14:paraId="3BF8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527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二、政府性基金预算财政拨款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3CA7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F2F75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363D8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83FA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30,000.00</w:t>
            </w:r>
          </w:p>
        </w:tc>
      </w:tr>
      <w:tr w14:paraId="3BA8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5085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三、国有资本经营预算财政拨款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10F2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51DB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B21AC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54130B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A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486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1F1F1"/>
            <w:noWrap/>
            <w:vAlign w:val="center"/>
          </w:tcPr>
          <w:p w14:paraId="0741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6FDDB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10293312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29BD0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11802937.05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 w14:paraId="46EF8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11802937.05</w:t>
            </w:r>
          </w:p>
        </w:tc>
      </w:tr>
    </w:tbl>
    <w:p w14:paraId="6A0D3C56">
      <w:pPr>
        <w:pStyle w:val="7"/>
        <w:widowControl/>
        <w:numPr>
          <w:numId w:val="0"/>
        </w:numPr>
        <w:spacing w:line="520" w:lineRule="exac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7587B28A">
      <w:pPr>
        <w:pStyle w:val="7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2F3C0098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1C100E7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57"/>
        <w:gridCol w:w="1071"/>
        <w:gridCol w:w="857"/>
        <w:gridCol w:w="644"/>
        <w:gridCol w:w="772"/>
        <w:gridCol w:w="755"/>
        <w:gridCol w:w="857"/>
        <w:gridCol w:w="605"/>
        <w:gridCol w:w="766"/>
      </w:tblGrid>
      <w:tr w14:paraId="565C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2168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46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7B16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按预算分类</w:t>
            </w:r>
          </w:p>
        </w:tc>
      </w:tr>
      <w:tr w14:paraId="6C6B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5C83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E48B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比上年增减%</w:t>
            </w:r>
          </w:p>
        </w:tc>
        <w:tc>
          <w:tcPr>
            <w:tcW w:w="3415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DC7C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164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104B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139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D241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</w:tr>
      <w:tr w14:paraId="6DF1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86C980D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72043C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1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BB1A25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9844B7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211BA2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28F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13096D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DB65C2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0D54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FD7E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比上年增减%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912D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其中：机关运行经费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F5C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B70C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比上年增减%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31B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586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比上年增减%</w:t>
            </w:r>
          </w:p>
        </w:tc>
      </w:tr>
      <w:tr w14:paraId="3F2C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C25F694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D1E156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9553B7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FA77CCA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102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9DF7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比上年增减%</w:t>
            </w: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DB77FD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5CFBD4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4ED684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32783C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960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937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AD92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7CFA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F1EA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EFD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87A9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855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4BB9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748D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CB48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Arial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95A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2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1,180.29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9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-13.08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3B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1,180.29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9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-13.08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0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2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C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5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F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cs="Arial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0.00</w:t>
            </w:r>
          </w:p>
        </w:tc>
      </w:tr>
    </w:tbl>
    <w:p w14:paraId="5CE1D40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 w14:paraId="19DA4EBB"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C11EFB6">
      <w:pPr>
        <w:pStyle w:val="7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4C7E5ECE">
      <w:pPr>
        <w:pStyle w:val="7"/>
        <w:widowControl/>
        <w:numPr>
          <w:numId w:val="0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23年度3万项目支出，为农村少年宫经费</w:t>
      </w:r>
    </w:p>
    <w:p w14:paraId="751A51C8">
      <w:pPr>
        <w:pStyle w:val="7"/>
        <w:widowControl/>
        <w:numPr>
          <w:numId w:val="0"/>
        </w:numPr>
        <w:spacing w:line="520" w:lineRule="exact"/>
        <w:ind w:left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2093ACF">
      <w:pPr>
        <w:pStyle w:val="7"/>
        <w:widowControl/>
        <w:numPr>
          <w:ilvl w:val="0"/>
          <w:numId w:val="0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23年政府性基金3万元为少年宫经费</w:t>
      </w:r>
    </w:p>
    <w:p w14:paraId="521302B3">
      <w:pPr>
        <w:pStyle w:val="7"/>
        <w:widowControl/>
        <w:numPr>
          <w:ilvl w:val="0"/>
          <w:numId w:val="3"/>
        </w:numPr>
        <w:spacing w:line="520" w:lineRule="exact"/>
        <w:ind w:left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194121AF">
      <w:pPr>
        <w:pStyle w:val="7"/>
        <w:widowControl/>
        <w:numPr>
          <w:numId w:val="0"/>
        </w:numPr>
        <w:spacing w:line="520" w:lineRule="exact"/>
        <w:ind w:leftChars="200" w:firstLine="320" w:firstLineChars="1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无</w:t>
      </w:r>
    </w:p>
    <w:p w14:paraId="690EE68D">
      <w:pPr>
        <w:pStyle w:val="7"/>
        <w:widowControl/>
        <w:numPr>
          <w:ilvl w:val="0"/>
          <w:numId w:val="3"/>
        </w:numPr>
        <w:spacing w:line="520" w:lineRule="exact"/>
        <w:ind w:left="420" w:leftChars="20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D7FE0F2">
      <w:pPr>
        <w:pStyle w:val="7"/>
        <w:widowControl/>
        <w:numPr>
          <w:numId w:val="0"/>
        </w:numPr>
        <w:spacing w:line="520" w:lineRule="exact"/>
        <w:ind w:leftChars="4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tbl>
      <w:tblPr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6"/>
        <w:gridCol w:w="436"/>
        <w:gridCol w:w="3296"/>
        <w:gridCol w:w="1729"/>
        <w:gridCol w:w="1729"/>
        <w:gridCol w:w="1358"/>
      </w:tblGrid>
      <w:tr w14:paraId="5467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19D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057C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2BF1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1D4D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 w14:paraId="5E22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2F31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支出功能分类科目代码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418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37011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64222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6B27F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53247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BFAE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E73D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72119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08444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5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66A01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34815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064E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1FB32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57CE6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0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019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0A89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04D1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4F7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74A2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6A01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18A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B62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0C19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454CD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C29B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5620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D5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11,802,937.05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E5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11,772,937.05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4A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30,000.00</w:t>
            </w:r>
          </w:p>
        </w:tc>
      </w:tr>
      <w:tr w14:paraId="507E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E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B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48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450,090.00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7A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450,090.00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03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0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2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ED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5,974,407.01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91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5,974,407.01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6A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8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A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F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2A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4,229,655.49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CE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4,229,655.49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3AE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A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8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4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其他普通教育支出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BB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938,212.15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09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938,212.15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42E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3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2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A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死亡抚恤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DC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180,572.40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E6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180,572.40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B46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6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D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0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用于教育事业的彩票公益金支出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E3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129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51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30,000.00</w:t>
            </w:r>
          </w:p>
        </w:tc>
      </w:tr>
    </w:tbl>
    <w:p w14:paraId="08EA512B">
      <w:pPr>
        <w:widowControl/>
        <w:spacing w:line="520" w:lineRule="exact"/>
        <w:jc w:val="left"/>
        <w:rPr>
          <w:rFonts w:ascii="宋体" w:hAnsi="宋体" w:eastAsia="宋体" w:cs="宋体"/>
          <w:sz w:val="24"/>
          <w:szCs w:val="24"/>
        </w:rPr>
      </w:pPr>
    </w:p>
    <w:p w14:paraId="40A07C61"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F7C91CB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(一)评价结论:</w:t>
      </w:r>
      <w:bookmarkStart w:id="1" w:name="OLE_LINK2"/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年，我校努力做好财政预算收入、</w:t>
      </w:r>
    </w:p>
    <w:p w14:paraId="17B55F0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支出以及各项目的管理工作，将预算及时公开到相关的信息网络平台，对预算的资金进行全方位的监督和管理，使每一笔资金都能起到最大的使用效益。达到合理高效地运用资金、提升资金的产出结果、节约成本与资源、提高部门的办事效率，促进义务教育均衡发展。</w:t>
      </w:r>
    </w:p>
    <w:bookmarkEnd w:id="1"/>
    <w:p w14:paraId="022AA9F4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(二)存在问题:部门预算绩效管理的保障机制不</w:t>
      </w:r>
      <w:r>
        <w:rPr>
          <w:rFonts w:hint="eastAsia" w:eastAsia="仿宋_GB2312"/>
          <w:sz w:val="32"/>
          <w:szCs w:val="32"/>
          <w:lang w:eastAsia="zh-CN"/>
        </w:rPr>
        <w:t>够</w:t>
      </w:r>
      <w:r>
        <w:rPr>
          <w:rFonts w:hint="eastAsia" w:eastAsia="仿宋_GB2312"/>
          <w:sz w:val="32"/>
          <w:szCs w:val="32"/>
        </w:rPr>
        <w:t>完善;</w:t>
      </w:r>
    </w:p>
    <w:p w14:paraId="1DEA3781">
      <w:pPr>
        <w:widowControl/>
        <w:spacing w:line="520" w:lineRule="exact"/>
        <w:jc w:val="left"/>
        <w:rPr>
          <w:rFonts w:eastAsia="仿宋_GB2312"/>
          <w:sz w:val="32"/>
          <w:szCs w:val="32"/>
        </w:rPr>
      </w:pPr>
      <w:bookmarkStart w:id="2" w:name="_GoBack"/>
      <w:bookmarkEnd w:id="2"/>
    </w:p>
    <w:p w14:paraId="455796B8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6F6C5F24">
      <w:pPr>
        <w:widowControl/>
        <w:numPr>
          <w:ilvl w:val="0"/>
          <w:numId w:val="5"/>
        </w:numPr>
        <w:spacing w:line="520" w:lineRule="exact"/>
        <w:ind w:left="480" w:leftChars="0" w:firstLine="0" w:firstLineChars="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财务分析制度、稽核制度尚未建立健全，在实施内部监督制度和内部控制制度时，还未能完全达到《会计法》所规定的要求，今后要进一步完善这方面的制度，实行更有力的措施，力求将这方面的.工作做的更好。</w:t>
      </w:r>
    </w:p>
    <w:p w14:paraId="57B662D6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（二）、</w:t>
      </w:r>
      <w:r>
        <w:rPr>
          <w:rFonts w:hint="eastAsia" w:eastAsia="仿宋_GB2312"/>
          <w:sz w:val="32"/>
          <w:szCs w:val="32"/>
        </w:rPr>
        <w:t>建立健全部门预算绩效管理体系与指标评估体系;提升绩效管理从业人员的专业素质和思想水平。</w:t>
      </w:r>
    </w:p>
    <w:p w14:paraId="746188B9">
      <w:pPr>
        <w:widowControl/>
        <w:numPr>
          <w:numId w:val="0"/>
        </w:numPr>
        <w:spacing w:line="520" w:lineRule="exact"/>
        <w:ind w:left="480" w:leftChars="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61898C20">
      <w:pPr>
        <w:widowControl/>
        <w:spacing w:line="520" w:lineRule="exact"/>
        <w:ind w:firstLine="645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无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BD699F7A"/>
    <w:multiLevelType w:val="singleLevel"/>
    <w:tmpl w:val="BD699F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75400C2"/>
    <w:multiLevelType w:val="singleLevel"/>
    <w:tmpl w:val="175400C2"/>
    <w:lvl w:ilvl="0" w:tentative="0">
      <w:start w:val="1"/>
      <w:numFmt w:val="chineseCounting"/>
      <w:lvlText w:val="（%1)"/>
      <w:lvlJc w:val="left"/>
      <w:pPr>
        <w:tabs>
          <w:tab w:val="left" w:pos="312"/>
        </w:tabs>
        <w:ind w:left="480" w:leftChars="0" w:firstLine="0" w:firstLineChars="0"/>
      </w:pPr>
      <w:rPr>
        <w:rFonts w:hint="eastAsia"/>
      </w:rPr>
    </w:lvl>
  </w:abstractNum>
  <w:abstractNum w:abstractNumId="4">
    <w:nsid w:val="1894C918"/>
    <w:multiLevelType w:val="singleLevel"/>
    <w:tmpl w:val="1894C91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QxMzVmNTA0YmFhYzg3Y2I0NmViZjA0M2IxM2UifQ=="/>
  </w:docVars>
  <w:rsids>
    <w:rsidRoot w:val="00000000"/>
    <w:rsid w:val="15BF56EC"/>
    <w:rsid w:val="35CB6416"/>
    <w:rsid w:val="3BC80B00"/>
    <w:rsid w:val="4B4334AB"/>
    <w:rsid w:val="5403276E"/>
    <w:rsid w:val="54C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458</Characters>
  <Lines>0</Lines>
  <Paragraphs>0</Paragraphs>
  <TotalTime>318</TotalTime>
  <ScaleCrop>false</ScaleCrop>
  <LinksUpToDate>false</LinksUpToDate>
  <CharactersWithSpaces>458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沔渡学校雷绯鸾</cp:lastModifiedBy>
  <dcterms:modified xsi:type="dcterms:W3CDTF">2024-09-03T08:45:46Z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