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w:t>
      </w: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炎陵县优化营商环境协调事务中心</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炎陵县优化营商环境协调事务中心</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炎陵县优化营商环境协调事务中心</w:t>
      </w:r>
      <w:r>
        <w:rPr>
          <w:rFonts w:hint="eastAsia" w:ascii="楷体_GB2312" w:hAnsi="楷体_GB2312" w:eastAsia="楷体_GB2312" w:cs="楷体_GB2312"/>
          <w:sz w:val="32"/>
          <w:szCs w:val="32"/>
          <w:lang w:val="en-US" w:eastAsia="zh-CN"/>
        </w:rPr>
        <w:t>基本情况</w:t>
      </w:r>
    </w:p>
    <w:p>
      <w:pPr>
        <w:keepNext w:val="0"/>
        <w:keepLines w:val="0"/>
        <w:pageBreakBefore w:val="0"/>
        <w:widowControl/>
        <w:kinsoku/>
        <w:wordWrap/>
        <w:overflowPunct/>
        <w:topLinePunct/>
        <w:autoSpaceDE w:val="0"/>
        <w:autoSpaceDN w:val="0"/>
        <w:bidi w:val="0"/>
        <w:adjustRightInd w:val="0"/>
        <w:snapToGrid w:val="0"/>
        <w:spacing w:line="520" w:lineRule="exact"/>
        <w:ind w:firstLine="640" w:firstLineChars="200"/>
        <w:jc w:val="both"/>
        <w:textAlignment w:val="baseline"/>
        <w:rPr>
          <w:rFonts w:hint="eastAsia" w:ascii="楷体_GB2312" w:hAnsi="楷体_GB2312" w:eastAsia="楷体_GB2312" w:cs="楷体_GB2312"/>
          <w:sz w:val="32"/>
          <w:szCs w:val="32"/>
          <w:lang w:val="en-US" w:eastAsia="zh-CN"/>
        </w:rPr>
      </w:pPr>
      <w:r>
        <w:rPr>
          <w:rFonts w:hint="eastAsia" w:ascii="仿宋_GB2312" w:hAnsi="宋体" w:eastAsia="仿宋_GB2312"/>
          <w:sz w:val="32"/>
          <w:szCs w:val="32"/>
          <w:lang w:val="en"/>
        </w:rPr>
        <w:t>炎陵县</w:t>
      </w:r>
      <w:r>
        <w:rPr>
          <w:rFonts w:hint="eastAsia" w:ascii="仿宋_GB2312" w:hAnsi="宋体" w:eastAsia="仿宋_GB2312"/>
          <w:sz w:val="32"/>
          <w:szCs w:val="32"/>
          <w:lang w:val="en" w:eastAsia="zh-CN"/>
        </w:rPr>
        <w:t>优化营商环境协调事务中心</w:t>
      </w:r>
      <w:r>
        <w:rPr>
          <w:rFonts w:hint="eastAsia" w:ascii="仿宋_GB2312" w:hAnsi="宋体" w:eastAsia="仿宋_GB2312"/>
          <w:sz w:val="32"/>
          <w:szCs w:val="32"/>
          <w:lang w:val="en"/>
        </w:rPr>
        <w:t>系县</w:t>
      </w:r>
      <w:r>
        <w:rPr>
          <w:rFonts w:hint="eastAsia" w:ascii="仿宋_GB2312" w:hAnsi="宋体" w:eastAsia="仿宋_GB2312"/>
          <w:sz w:val="32"/>
          <w:szCs w:val="32"/>
          <w:lang w:val="en" w:eastAsia="zh-CN"/>
        </w:rPr>
        <w:t>财政拨款公益一类事业</w:t>
      </w:r>
      <w:r>
        <w:rPr>
          <w:rFonts w:hint="eastAsia" w:ascii="仿宋_GB2312" w:hAnsi="宋体" w:eastAsia="仿宋_GB2312"/>
          <w:sz w:val="32"/>
          <w:szCs w:val="32"/>
          <w:lang w:val="en"/>
        </w:rPr>
        <w:t>单位，本部门无二级预算单位。</w:t>
      </w:r>
      <w:r>
        <w:rPr>
          <w:rFonts w:hint="eastAsia" w:ascii="仿宋_GB2312" w:hAnsi="宋体" w:eastAsia="仿宋_GB2312" w:cs="宋体"/>
          <w:sz w:val="32"/>
          <w:szCs w:val="32"/>
        </w:rPr>
        <w:t>本单位共有</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个内设机构，分别为：</w:t>
      </w:r>
      <w:r>
        <w:rPr>
          <w:rFonts w:hint="eastAsia" w:ascii="仿宋_GB2312" w:eastAsia="仿宋_GB2312"/>
          <w:bCs/>
          <w:color w:val="000000"/>
          <w:sz w:val="32"/>
          <w:szCs w:val="32"/>
        </w:rPr>
        <w:t>办公室、投诉协调股、营商环境监测股、营商环境评价股</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本部门编制</w:t>
      </w:r>
      <w:r>
        <w:rPr>
          <w:rFonts w:hint="eastAsia" w:ascii="仿宋_GB2312" w:eastAsia="仿宋_GB2312"/>
          <w:bCs/>
          <w:color w:val="000000"/>
          <w:sz w:val="32"/>
          <w:szCs w:val="32"/>
          <w:lang w:eastAsia="zh-CN"/>
        </w:rPr>
        <w:t>人</w:t>
      </w:r>
      <w:r>
        <w:rPr>
          <w:rFonts w:hint="eastAsia" w:ascii="仿宋_GB2312" w:eastAsia="仿宋_GB2312"/>
          <w:bCs/>
          <w:color w:val="000000"/>
          <w:sz w:val="32"/>
          <w:szCs w:val="32"/>
        </w:rPr>
        <w:t>数</w:t>
      </w:r>
      <w:r>
        <w:rPr>
          <w:rFonts w:hint="eastAsia" w:eastAsia="仿宋_GB2312"/>
          <w:sz w:val="32"/>
          <w:szCs w:val="32"/>
          <w:lang w:val="en-US" w:eastAsia="zh-CN"/>
        </w:rPr>
        <w:t>11</w:t>
      </w:r>
      <w:r>
        <w:rPr>
          <w:rFonts w:hint="eastAsia" w:ascii="仿宋_GB2312" w:eastAsia="仿宋_GB2312"/>
          <w:bCs/>
          <w:color w:val="000000"/>
          <w:sz w:val="32"/>
          <w:szCs w:val="32"/>
        </w:rPr>
        <w:t>人，</w:t>
      </w:r>
      <w:r>
        <w:rPr>
          <w:rFonts w:hint="eastAsia" w:ascii="仿宋_GB2312" w:eastAsia="仿宋_GB2312"/>
          <w:bCs/>
          <w:color w:val="000000"/>
          <w:sz w:val="32"/>
          <w:szCs w:val="32"/>
          <w:lang w:eastAsia="zh-CN"/>
        </w:rPr>
        <w:t>其中</w:t>
      </w:r>
      <w:r>
        <w:rPr>
          <w:rFonts w:hint="eastAsia" w:ascii="仿宋_GB2312" w:eastAsia="仿宋_GB2312"/>
          <w:bCs/>
          <w:color w:val="000000"/>
          <w:sz w:val="32"/>
          <w:szCs w:val="32"/>
          <w:lang w:val="en-US" w:eastAsia="zh-CN"/>
        </w:rPr>
        <w:t>2023年</w:t>
      </w:r>
      <w:r>
        <w:rPr>
          <w:rFonts w:hint="eastAsia" w:ascii="仿宋_GB2312" w:eastAsia="仿宋_GB2312"/>
          <w:bCs/>
          <w:color w:val="000000"/>
          <w:sz w:val="32"/>
          <w:szCs w:val="32"/>
        </w:rPr>
        <w:t>在职人数</w:t>
      </w:r>
      <w:r>
        <w:rPr>
          <w:rFonts w:hint="eastAsia" w:eastAsia="仿宋_GB2312"/>
          <w:sz w:val="32"/>
          <w:szCs w:val="32"/>
          <w:lang w:val="en-US" w:eastAsia="zh-CN"/>
        </w:rPr>
        <w:t>10</w:t>
      </w:r>
      <w:r>
        <w:rPr>
          <w:rFonts w:hint="eastAsia" w:ascii="仿宋_GB2312" w:eastAsia="仿宋_GB2312"/>
          <w:bCs/>
          <w:color w:val="000000"/>
          <w:sz w:val="32"/>
          <w:szCs w:val="32"/>
        </w:rPr>
        <w:t>人，在岗人数</w:t>
      </w:r>
      <w:r>
        <w:rPr>
          <w:rFonts w:hint="eastAsia" w:eastAsia="仿宋_GB2312"/>
          <w:sz w:val="32"/>
          <w:szCs w:val="32"/>
          <w:lang w:val="en-US" w:eastAsia="zh-CN"/>
        </w:rPr>
        <w:t>10</w:t>
      </w:r>
      <w:r>
        <w:rPr>
          <w:rFonts w:hint="eastAsia" w:ascii="仿宋_GB2312" w:eastAsia="仿宋_GB2312"/>
          <w:bCs/>
          <w:color w:val="000000"/>
          <w:sz w:val="32"/>
          <w:szCs w:val="32"/>
        </w:rPr>
        <w:t>人；离退休人数</w:t>
      </w:r>
      <w:r>
        <w:rPr>
          <w:rFonts w:hint="eastAsia" w:eastAsia="仿宋_GB2312"/>
          <w:sz w:val="32"/>
          <w:szCs w:val="32"/>
          <w:lang w:val="en-US" w:eastAsia="zh-CN"/>
        </w:rPr>
        <w:t>2</w:t>
      </w:r>
      <w:r>
        <w:rPr>
          <w:rFonts w:hint="eastAsia" w:ascii="仿宋_GB2312" w:eastAsia="仿宋_GB2312"/>
          <w:bCs/>
          <w:color w:val="000000"/>
          <w:sz w:val="32"/>
          <w:szCs w:val="32"/>
        </w:rPr>
        <w:t>人，其中退休人员</w:t>
      </w:r>
      <w:r>
        <w:rPr>
          <w:rFonts w:hint="eastAsia" w:eastAsia="仿宋_GB2312"/>
          <w:sz w:val="32"/>
          <w:szCs w:val="32"/>
          <w:lang w:val="en-US" w:eastAsia="zh-CN"/>
        </w:rPr>
        <w:t>2</w:t>
      </w:r>
      <w:r>
        <w:rPr>
          <w:rFonts w:hint="eastAsia" w:ascii="仿宋_GB2312" w:eastAsia="仿宋_GB2312"/>
          <w:bCs/>
          <w:color w:val="000000"/>
          <w:sz w:val="32"/>
          <w:szCs w:val="32"/>
        </w:rPr>
        <w:t>人。</w:t>
      </w:r>
    </w:p>
    <w:p>
      <w:pPr>
        <w:pStyle w:val="6"/>
        <w:widowControl/>
        <w:numPr>
          <w:ilvl w:val="0"/>
          <w:numId w:val="2"/>
        </w:numPr>
        <w:spacing w:line="520" w:lineRule="exact"/>
        <w:ind w:left="-10" w:leftChars="0" w:firstLine="640" w:firstLineChars="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炎陵县优化营商环境协调事务中心</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仿宋_GB2312" w:hAnsi="宋体" w:eastAsia="仿宋_GB2312" w:cs="Arial"/>
          <w:snapToGrid w:val="0"/>
          <w:color w:val="000000"/>
          <w:kern w:val="0"/>
          <w:sz w:val="32"/>
          <w:szCs w:val="32"/>
          <w:lang w:val="en" w:eastAsia="zh-CN" w:bidi="ar-SA"/>
        </w:rPr>
      </w:pPr>
      <w:r>
        <w:rPr>
          <w:rFonts w:hint="eastAsia" w:ascii="仿宋_GB2312" w:hAnsi="宋体" w:eastAsia="仿宋_GB2312" w:cs="Arial"/>
          <w:snapToGrid w:val="0"/>
          <w:color w:val="000000"/>
          <w:kern w:val="0"/>
          <w:sz w:val="32"/>
          <w:szCs w:val="32"/>
          <w:lang w:val="en" w:eastAsia="zh-CN" w:bidi="ar-SA"/>
        </w:rPr>
        <w:t>1.部门年度整体支出绩效目标为：按要求完成营商环境优化提升行动，协调推进全县“放管服”改革和优化营商环境事务性工作，落实全县优化营商环境相关政策措施出台及落实的事务性工作，组织各相关单位出台优化营商环境相关政策和落实措施，组织对全县优化营商环境相关政策的宣传、培训、收集；完善涉及各类市场主体在办理各项业务过程中遇到的问题、困难并提出建议对策，受理、转办、跟踪涉及营商环境的投诉举报，协同配合相关部门对全县优化营商环境工作中的违纪违规行为进行调查、处理；及时组织炎陵县优化营商环境工作领导小组日常事务性工作，做好营商环境监督测评员的联络和管理。</w:t>
      </w:r>
    </w:p>
    <w:p>
      <w:pPr>
        <w:pStyle w:val="6"/>
        <w:widowControl/>
        <w:spacing w:line="520" w:lineRule="exact"/>
        <w:ind w:firstLine="640"/>
        <w:rPr>
          <w:rFonts w:hint="eastAsia" w:ascii="FangSong_GB2312" w:hAnsi="楷体_GB2312" w:eastAsia="FangSong_GB2312" w:cs="楷体_GB2312"/>
          <w:bCs/>
          <w:sz w:val="32"/>
          <w:szCs w:val="32"/>
        </w:rPr>
      </w:pPr>
      <w:r>
        <w:rPr>
          <w:rFonts w:hint="eastAsia" w:ascii="FangSong_GB2312" w:hAnsi="楷体_GB2312" w:eastAsia="FangSong_GB2312" w:cs="楷体_GB2312"/>
          <w:bCs/>
          <w:sz w:val="32"/>
          <w:szCs w:val="32"/>
        </w:rPr>
        <w:t>2.年初预算</w:t>
      </w:r>
      <w:r>
        <w:rPr>
          <w:rFonts w:hint="eastAsia" w:ascii="FangSong_GB2312" w:hAnsi="楷体_GB2312" w:eastAsia="FangSong_GB2312" w:cs="楷体_GB2312"/>
          <w:bCs/>
          <w:sz w:val="32"/>
          <w:szCs w:val="32"/>
          <w:lang w:eastAsia="zh-CN"/>
        </w:rPr>
        <w:t>部门专项</w:t>
      </w:r>
      <w:r>
        <w:rPr>
          <w:rFonts w:hint="eastAsia" w:ascii="FangSong_GB2312" w:hAnsi="楷体_GB2312" w:eastAsia="FangSong_GB2312" w:cs="楷体_GB2312"/>
          <w:bCs/>
          <w:sz w:val="32"/>
          <w:szCs w:val="32"/>
        </w:rPr>
        <w:t>支出：</w:t>
      </w:r>
    </w:p>
    <w:p>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仿宋_GB2312" w:hAnsi="宋体" w:eastAsia="仿宋_GB2312" w:cs="Arial"/>
          <w:snapToGrid w:val="0"/>
          <w:color w:val="000000"/>
          <w:kern w:val="0"/>
          <w:sz w:val="32"/>
          <w:szCs w:val="32"/>
          <w:lang w:val="en-US" w:eastAsia="zh-CN" w:bidi="ar-SA"/>
        </w:rPr>
      </w:pPr>
      <w:r>
        <w:rPr>
          <w:rFonts w:hint="eastAsia" w:ascii="FangSong_GB2312" w:hAnsi="楷体_GB2312" w:eastAsia="FangSong_GB2312" w:cs="楷体_GB2312"/>
          <w:bCs/>
          <w:sz w:val="32"/>
          <w:szCs w:val="32"/>
          <w:lang w:eastAsia="zh-CN"/>
        </w:rPr>
        <w:t>优化办</w:t>
      </w:r>
      <w:r>
        <w:rPr>
          <w:rFonts w:hint="eastAsia" w:ascii="FangSong_GB2312" w:hAnsi="楷体_GB2312" w:eastAsia="FangSong_GB2312" w:cs="楷体_GB2312"/>
          <w:bCs/>
          <w:sz w:val="32"/>
          <w:szCs w:val="32"/>
        </w:rPr>
        <w:t>工作</w:t>
      </w:r>
      <w:r>
        <w:rPr>
          <w:rFonts w:hint="eastAsia" w:ascii="FangSong_GB2312" w:hAnsi="楷体_GB2312" w:eastAsia="FangSong_GB2312" w:cs="楷体_GB2312"/>
          <w:bCs/>
          <w:sz w:val="32"/>
          <w:szCs w:val="32"/>
          <w:lang w:eastAsia="zh-CN"/>
        </w:rPr>
        <w:t>经费专项</w:t>
      </w:r>
      <w:r>
        <w:rPr>
          <w:rFonts w:hint="eastAsia" w:ascii="FangSong_GB2312" w:hAnsi="楷体_GB2312" w:eastAsia="FangSong_GB2312" w:cs="楷体_GB2312"/>
          <w:bCs/>
          <w:sz w:val="32"/>
          <w:szCs w:val="32"/>
          <w:lang w:val="en-US" w:eastAsia="zh-CN"/>
        </w:rPr>
        <w:t>10.5</w:t>
      </w:r>
      <w:r>
        <w:rPr>
          <w:rFonts w:hint="eastAsia" w:ascii="FangSong_GB2312" w:hAnsi="楷体_GB2312" w:eastAsia="FangSong_GB2312" w:cs="楷体_GB2312"/>
          <w:bCs/>
          <w:sz w:val="32"/>
          <w:szCs w:val="32"/>
        </w:rPr>
        <w:t>万元，</w:t>
      </w:r>
      <w:r>
        <w:rPr>
          <w:rFonts w:hint="eastAsia" w:ascii="FangSong_GB2312" w:eastAsia="FangSong_GB2312"/>
          <w:sz w:val="32"/>
          <w:szCs w:val="32"/>
        </w:rPr>
        <w:t>支出决算数为</w:t>
      </w:r>
      <w:r>
        <w:rPr>
          <w:rFonts w:hint="eastAsia" w:ascii="FangSong_GB2312" w:eastAsia="FangSong_GB2312"/>
          <w:sz w:val="32"/>
          <w:szCs w:val="32"/>
          <w:lang w:val="en-US" w:eastAsia="zh-CN"/>
        </w:rPr>
        <w:t>10.5</w:t>
      </w:r>
      <w:r>
        <w:rPr>
          <w:rFonts w:hint="eastAsia" w:ascii="FangSong_GB2312" w:eastAsia="FangSong_GB2312"/>
          <w:sz w:val="32"/>
          <w:szCs w:val="32"/>
        </w:rPr>
        <w:t>万元</w:t>
      </w:r>
      <w:r>
        <w:rPr>
          <w:rFonts w:hint="eastAsia" w:ascii="FangSong_GB2312" w:hAnsi="楷体_GB2312" w:eastAsia="FangSong_GB2312" w:cs="楷体_GB2312"/>
          <w:bCs/>
          <w:sz w:val="32"/>
          <w:szCs w:val="32"/>
        </w:rPr>
        <w:t>。用于我单位正常运转，职能工作顺利开展</w:t>
      </w:r>
      <w:r>
        <w:rPr>
          <w:rFonts w:hint="eastAsia" w:ascii="FangSong_GB2312" w:hAnsi="楷体_GB2312" w:eastAsia="FangSong_GB2312" w:cs="楷体_GB2312"/>
          <w:bCs/>
          <w:sz w:val="32"/>
          <w:szCs w:val="32"/>
          <w:lang w:eastAsia="zh-CN"/>
        </w:rPr>
        <w:t>。</w:t>
      </w:r>
    </w:p>
    <w:p>
      <w:pPr>
        <w:pStyle w:val="6"/>
        <w:widowControl/>
        <w:spacing w:line="520" w:lineRule="exact"/>
        <w:ind w:left="640" w:firstLine="0" w:firstLineChars="0"/>
        <w:jc w:val="both"/>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6"/>
        <w:widowControl/>
        <w:spacing w:line="520" w:lineRule="exact"/>
        <w:ind w:left="640" w:firstLine="0" w:firstLineChars="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w:t>
      </w:r>
      <w:bookmarkStart w:id="0" w:name="_GoBack"/>
      <w:bookmarkEnd w:id="0"/>
      <w:r>
        <w:rPr>
          <w:rFonts w:hint="eastAsia" w:ascii="楷体_GB2312" w:hAnsi="楷体_GB2312" w:eastAsia="楷体_GB2312" w:cs="楷体_GB2312"/>
          <w:sz w:val="32"/>
          <w:szCs w:val="32"/>
        </w:rPr>
        <w:t>况</w:t>
      </w:r>
    </w:p>
    <w:p>
      <w:pPr>
        <w:widowControl/>
        <w:spacing w:line="520" w:lineRule="exact"/>
        <w:ind w:firstLine="640" w:firstLineChars="200"/>
        <w:jc w:val="left"/>
        <w:rPr>
          <w:rFonts w:hint="eastAsia" w:ascii="楷体_GB2312" w:hAnsi="楷体_GB2312" w:eastAsia="楷体_GB2312" w:cs="楷体_GB2312"/>
          <w:sz w:val="32"/>
          <w:szCs w:val="32"/>
        </w:rPr>
      </w:pPr>
      <w:r>
        <w:rPr>
          <w:rFonts w:hint="eastAsia" w:eastAsia="仿宋_GB2312"/>
          <w:sz w:val="32"/>
          <w:szCs w:val="32"/>
        </w:rPr>
        <w:t>2023年度支出合计1</w:t>
      </w:r>
      <w:r>
        <w:rPr>
          <w:rFonts w:hint="eastAsia" w:eastAsia="仿宋_GB2312"/>
          <w:sz w:val="32"/>
          <w:szCs w:val="32"/>
          <w:lang w:val="en-US" w:eastAsia="zh-CN"/>
        </w:rPr>
        <w:t>4</w:t>
      </w:r>
      <w:r>
        <w:rPr>
          <w:rFonts w:hint="eastAsia" w:eastAsia="仿宋_GB2312"/>
          <w:sz w:val="32"/>
          <w:szCs w:val="32"/>
        </w:rPr>
        <w:t>8.957788</w:t>
      </w:r>
      <w:r>
        <w:rPr>
          <w:rFonts w:hint="eastAsia" w:eastAsia="仿宋_GB2312"/>
          <w:sz w:val="32"/>
          <w:szCs w:val="32"/>
          <w:lang w:val="en-US" w:eastAsia="zh-CN"/>
        </w:rPr>
        <w:t>万</w:t>
      </w:r>
      <w:r>
        <w:rPr>
          <w:rFonts w:hint="eastAsia" w:eastAsia="仿宋_GB2312"/>
          <w:sz w:val="32"/>
          <w:szCs w:val="32"/>
        </w:rPr>
        <w:t>元，其中</w:t>
      </w:r>
      <w:r>
        <w:rPr>
          <w:rFonts w:hint="eastAsia" w:eastAsia="仿宋_GB2312"/>
          <w:sz w:val="32"/>
          <w:szCs w:val="32"/>
          <w:lang w:eastAsia="zh-CN"/>
        </w:rPr>
        <w:t>基本支出</w:t>
      </w:r>
      <w:r>
        <w:rPr>
          <w:rFonts w:hint="eastAsia" w:eastAsia="仿宋_GB2312"/>
          <w:sz w:val="32"/>
          <w:szCs w:val="32"/>
        </w:rPr>
        <w:t>1</w:t>
      </w:r>
      <w:r>
        <w:rPr>
          <w:rFonts w:hint="eastAsia" w:eastAsia="仿宋_GB2312"/>
          <w:sz w:val="32"/>
          <w:szCs w:val="32"/>
          <w:lang w:val="en-US" w:eastAsia="zh-CN"/>
        </w:rPr>
        <w:t>4</w:t>
      </w:r>
      <w:r>
        <w:rPr>
          <w:rFonts w:hint="eastAsia" w:eastAsia="仿宋_GB2312"/>
          <w:sz w:val="32"/>
          <w:szCs w:val="32"/>
        </w:rPr>
        <w:t>8.957788</w:t>
      </w:r>
      <w:r>
        <w:rPr>
          <w:rFonts w:hint="eastAsia" w:eastAsia="仿宋_GB2312"/>
          <w:sz w:val="32"/>
          <w:szCs w:val="32"/>
          <w:lang w:val="en-US" w:eastAsia="zh-CN"/>
        </w:rPr>
        <w:t>万元，占比100%。</w:t>
      </w:r>
    </w:p>
    <w:p>
      <w:pPr>
        <w:pStyle w:val="6"/>
        <w:widowControl/>
        <w:spacing w:line="520" w:lineRule="exact"/>
        <w:ind w:left="640" w:firstLine="0" w:firstLineChars="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pStyle w:val="6"/>
        <w:widowControl/>
        <w:spacing w:line="520" w:lineRule="exact"/>
        <w:ind w:left="640" w:firstLine="0" w:firstLineChars="0"/>
        <w:jc w:val="left"/>
        <w:rPr>
          <w:rFonts w:hint="default" w:ascii="Times New Roman" w:hAnsi="Times New Roman" w:eastAsia="黑体"/>
          <w:sz w:val="32"/>
          <w:szCs w:val="32"/>
          <w:lang w:val="en-US" w:eastAsia="zh-CN"/>
        </w:rPr>
      </w:pPr>
      <w:r>
        <w:rPr>
          <w:rFonts w:hint="eastAsia" w:ascii="FangSong_GB2312" w:hAnsi="Times New Roman" w:eastAsia="FangSong_GB2312"/>
          <w:sz w:val="32"/>
          <w:szCs w:val="32"/>
        </w:rPr>
        <w:t>本单位无</w:t>
      </w:r>
      <w:r>
        <w:rPr>
          <w:rFonts w:hint="eastAsia" w:ascii="FangSong_GB2312" w:hAnsi="Times New Roman" w:eastAsia="FangSong_GB2312"/>
          <w:sz w:val="32"/>
          <w:szCs w:val="32"/>
          <w:lang w:eastAsia="zh-CN"/>
        </w:rPr>
        <w:t>项目</w:t>
      </w:r>
      <w:r>
        <w:rPr>
          <w:rFonts w:hint="eastAsia" w:ascii="FangSong_GB2312" w:hAnsi="Times New Roman" w:eastAsia="FangSong_GB2312"/>
          <w:sz w:val="32"/>
          <w:szCs w:val="32"/>
        </w:rPr>
        <w:t>支出。</w:t>
      </w:r>
    </w:p>
    <w:p>
      <w:pPr>
        <w:pStyle w:val="6"/>
        <w:widowControl/>
        <w:spacing w:line="520" w:lineRule="exact"/>
        <w:ind w:left="640" w:firstLine="0" w:firstLineChars="0"/>
        <w:jc w:val="both"/>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widowControl/>
        <w:spacing w:line="520" w:lineRule="exact"/>
        <w:ind w:firstLine="640" w:firstLineChars="200"/>
        <w:jc w:val="left"/>
        <w:rPr>
          <w:rFonts w:ascii="Times New Roman" w:hAnsi="Times New Roman" w:eastAsia="黑体"/>
          <w:sz w:val="32"/>
          <w:szCs w:val="32"/>
        </w:rPr>
      </w:pPr>
      <w:r>
        <w:rPr>
          <w:rFonts w:hint="eastAsia" w:ascii="仿宋_GB2312" w:hAnsi="仿宋" w:eastAsia="仿宋_GB2312" w:cs="仿宋"/>
          <w:color w:val="000000"/>
          <w:sz w:val="32"/>
          <w:szCs w:val="32"/>
          <w:lang w:val="en-US" w:eastAsia="zh-CN"/>
        </w:rPr>
        <w:t>2023年度</w:t>
      </w:r>
      <w:r>
        <w:rPr>
          <w:rFonts w:hint="eastAsia" w:ascii="仿宋_GB2312" w:hAnsi="仿宋" w:eastAsia="仿宋_GB2312" w:cs="仿宋"/>
          <w:color w:val="000000"/>
          <w:sz w:val="32"/>
          <w:szCs w:val="32"/>
        </w:rPr>
        <w:t>政府性基金预算</w:t>
      </w:r>
      <w:r>
        <w:rPr>
          <w:rFonts w:hint="eastAsia" w:ascii="仿宋_GB2312" w:hAnsi="仿宋" w:eastAsia="仿宋_GB2312" w:cs="仿宋"/>
          <w:color w:val="000000"/>
          <w:sz w:val="32"/>
          <w:szCs w:val="32"/>
          <w:lang w:eastAsia="zh-CN"/>
        </w:rPr>
        <w:t>支出为</w:t>
      </w:r>
      <w:r>
        <w:rPr>
          <w:rFonts w:hint="eastAsia" w:ascii="仿宋_GB2312" w:hAnsi="仿宋" w:eastAsia="仿宋_GB2312" w:cs="仿宋"/>
          <w:color w:val="000000"/>
          <w:sz w:val="32"/>
          <w:szCs w:val="32"/>
          <w:lang w:val="en-US" w:eastAsia="zh-CN"/>
        </w:rPr>
        <w:t>10万元，</w:t>
      </w:r>
      <w:r>
        <w:rPr>
          <w:rFonts w:hint="eastAsia" w:eastAsia="仿宋_GB2312"/>
          <w:sz w:val="32"/>
          <w:szCs w:val="32"/>
        </w:rPr>
        <w:t>其中</w:t>
      </w:r>
      <w:r>
        <w:rPr>
          <w:rFonts w:hint="eastAsia" w:eastAsia="仿宋_GB2312"/>
          <w:sz w:val="32"/>
          <w:szCs w:val="32"/>
          <w:lang w:eastAsia="zh-CN"/>
        </w:rPr>
        <w:t>基本支出</w:t>
      </w:r>
      <w:r>
        <w:rPr>
          <w:rFonts w:hint="eastAsia" w:eastAsia="仿宋_GB2312"/>
          <w:sz w:val="32"/>
          <w:szCs w:val="32"/>
        </w:rPr>
        <w:t>1</w:t>
      </w:r>
      <w:r>
        <w:rPr>
          <w:rFonts w:hint="eastAsia" w:eastAsia="仿宋_GB2312"/>
          <w:sz w:val="32"/>
          <w:szCs w:val="32"/>
          <w:lang w:val="en-US" w:eastAsia="zh-CN"/>
        </w:rPr>
        <w:t>4</w:t>
      </w:r>
      <w:r>
        <w:rPr>
          <w:rFonts w:hint="eastAsia" w:eastAsia="仿宋_GB2312"/>
          <w:sz w:val="32"/>
          <w:szCs w:val="32"/>
        </w:rPr>
        <w:t>8.957788</w:t>
      </w:r>
      <w:r>
        <w:rPr>
          <w:rFonts w:hint="eastAsia" w:eastAsia="仿宋_GB2312"/>
          <w:sz w:val="32"/>
          <w:szCs w:val="32"/>
          <w:lang w:val="en-US" w:eastAsia="zh-CN"/>
        </w:rPr>
        <w:t>万元，占比100%。</w:t>
      </w:r>
    </w:p>
    <w:p>
      <w:pPr>
        <w:pStyle w:val="6"/>
        <w:widowControl/>
        <w:spacing w:line="520" w:lineRule="exact"/>
        <w:ind w:left="640" w:firstLine="0" w:firstLineChars="0"/>
        <w:jc w:val="both"/>
        <w:rPr>
          <w:rFonts w:hint="eastAsia"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pPr>
        <w:pStyle w:val="6"/>
        <w:widowControl/>
        <w:spacing w:line="520" w:lineRule="exact"/>
        <w:ind w:left="640" w:firstLine="0" w:firstLineChars="0"/>
        <w:jc w:val="left"/>
        <w:rPr>
          <w:rFonts w:hint="default" w:eastAsia="仿宋_GB2312" w:cs="Times New Roman"/>
          <w:sz w:val="32"/>
          <w:szCs w:val="32"/>
          <w:lang w:val="en-US" w:eastAsia="zh-CN"/>
        </w:rPr>
      </w:pPr>
      <w:r>
        <w:rPr>
          <w:rFonts w:hint="eastAsia" w:ascii="FangSong_GB2312" w:hAnsi="Times New Roman" w:eastAsia="FangSong_GB2312"/>
          <w:sz w:val="32"/>
          <w:szCs w:val="32"/>
        </w:rPr>
        <w:t>本单位无国有资本经营预算支出。</w:t>
      </w:r>
    </w:p>
    <w:p>
      <w:pPr>
        <w:pStyle w:val="6"/>
        <w:widowControl/>
        <w:spacing w:line="520" w:lineRule="exact"/>
        <w:ind w:left="640" w:firstLine="0" w:firstLineChars="0"/>
        <w:jc w:val="both"/>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pPr>
        <w:pStyle w:val="6"/>
        <w:widowControl/>
        <w:spacing w:line="520" w:lineRule="exact"/>
        <w:ind w:left="640" w:firstLine="0" w:firstLineChars="0"/>
        <w:jc w:val="left"/>
        <w:rPr>
          <w:rFonts w:ascii="Times New Roman" w:hAnsi="Times New Roman" w:eastAsia="黑体"/>
          <w:sz w:val="32"/>
          <w:szCs w:val="32"/>
        </w:rPr>
      </w:pPr>
      <w:r>
        <w:rPr>
          <w:rFonts w:hint="eastAsia" w:ascii="FangSong_GB2312" w:hAnsi="Times New Roman" w:eastAsia="FangSong_GB2312"/>
          <w:sz w:val="32"/>
          <w:szCs w:val="32"/>
        </w:rPr>
        <w:t>本单位无</w:t>
      </w:r>
      <w:r>
        <w:rPr>
          <w:rFonts w:hint="eastAsia" w:ascii="FangSong_GB2312" w:hAnsi="Times New Roman" w:eastAsia="FangSong_GB2312"/>
          <w:sz w:val="32"/>
          <w:szCs w:val="32"/>
          <w:lang w:eastAsia="zh-CN"/>
        </w:rPr>
        <w:t>社会保险基金</w:t>
      </w:r>
      <w:r>
        <w:rPr>
          <w:rFonts w:hint="eastAsia" w:ascii="FangSong_GB2312" w:hAnsi="Times New Roman" w:eastAsia="FangSong_GB2312"/>
          <w:sz w:val="32"/>
          <w:szCs w:val="32"/>
        </w:rPr>
        <w:t>预算支出。</w:t>
      </w:r>
    </w:p>
    <w:p>
      <w:pPr>
        <w:widowControl/>
        <w:spacing w:line="520" w:lineRule="exact"/>
        <w:ind w:firstLine="645"/>
        <w:jc w:val="both"/>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FangSong_GB2312" w:hAnsi="Times New Roman" w:eastAsia="FangSong_GB2312" w:cs="Times New Roman"/>
          <w:sz w:val="32"/>
          <w:szCs w:val="32"/>
          <w:lang w:eastAsia="zh-CN"/>
        </w:rPr>
      </w:pPr>
      <w:r>
        <w:rPr>
          <w:rFonts w:hint="eastAsia" w:ascii="FangSong_GB2312" w:hAnsi="Times New Roman" w:eastAsia="FangSong_GB2312" w:cs="Times New Roman"/>
          <w:sz w:val="32"/>
          <w:szCs w:val="32"/>
          <w:lang w:val="en-US" w:eastAsia="zh-CN"/>
        </w:rPr>
        <w:t>2023年，本部门</w:t>
      </w:r>
      <w:r>
        <w:rPr>
          <w:rFonts w:hint="eastAsia" w:ascii="FangSong_GB2312" w:hAnsi="Times New Roman" w:eastAsia="FangSong_GB2312" w:cs="Times New Roman"/>
          <w:sz w:val="32"/>
          <w:szCs w:val="32"/>
          <w:lang w:eastAsia="zh-CN"/>
        </w:rPr>
        <w:t>全部按要求完成了优化营商环境相关工作，完善园区赋权，印发《炎陵高新区赋权事项目录》，将125项审批事项赋权到园区，实现赋权内容、方式的全面优化。全县共收集并解决企业问题14000余条。印发《炎陵县惠企政策兑现工作方案》，收集惠企政策76条，梳理兑现案例94个，指导企业申报各类奖补资金、减免资金和贷款资金21103.78万元。湖南省营商环境专栏采用我县信息1095条，营商环境成效经验5 次在省级工作专报刊发，其中《株洲市炎陵县发展“好环境”孕育经济“高质量”》获毛伟明省长肯定性批示。</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520" w:lineRule="exact"/>
        <w:ind w:firstLine="640" w:firstLineChars="200"/>
        <w:jc w:val="left"/>
        <w:outlineLvl w:val="0"/>
        <w:rPr>
          <w:rFonts w:eastAsia="FangSong_GB2312"/>
          <w:sz w:val="32"/>
          <w:szCs w:val="32"/>
        </w:rPr>
      </w:pPr>
      <w:r>
        <w:rPr>
          <w:rFonts w:hint="eastAsia" w:eastAsia="FangSong_GB2312"/>
          <w:sz w:val="32"/>
          <w:szCs w:val="32"/>
        </w:rPr>
        <w:t>根据本次绩效评价情况，存在预算绩效申报时，编制的项目自评指标体系不够精细，绩效目标不具体，绩效目标未完全细化，分解工作任务不够具体，部分绩效指标不清晰。针对上述问题，在今后的预算绩效申报时，需相关业务科室将全年工作任务细化分解为具体的工作目标，并尽量采取定量的方式制定清晰、可衡量的绩效指标，提高项目使用经济功能精确度。</w:t>
      </w:r>
    </w:p>
    <w:p>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pPr>
        <w:widowControl/>
        <w:spacing w:line="520" w:lineRule="exact"/>
        <w:ind w:firstLine="640" w:firstLineChars="200"/>
        <w:jc w:val="left"/>
        <w:rPr>
          <w:rFonts w:hint="eastAsia" w:ascii="FangSong_GB2312" w:eastAsia="FangSong_GB2312"/>
          <w:sz w:val="32"/>
          <w:szCs w:val="32"/>
        </w:rPr>
      </w:pPr>
      <w:r>
        <w:rPr>
          <w:rFonts w:hint="eastAsia" w:ascii="FangSong_GB2312" w:eastAsia="FangSong_GB2312"/>
          <w:sz w:val="32"/>
          <w:szCs w:val="32"/>
        </w:rPr>
        <w:t>1.加强政策学习，提高思想认识。组织单位人员认真学习《预算法》等相关法规、制度，提高单位领导对全面预算管理的重视程度，增强财务人员的预算意识，坚持先有预算、后有支出，没有预算不得支出的支出理念。</w:t>
      </w:r>
    </w:p>
    <w:p>
      <w:pPr>
        <w:widowControl/>
        <w:spacing w:line="520" w:lineRule="exact"/>
        <w:ind w:firstLine="640" w:firstLineChars="200"/>
        <w:jc w:val="left"/>
        <w:rPr>
          <w:rFonts w:eastAsia="黑体"/>
          <w:sz w:val="32"/>
          <w:szCs w:val="32"/>
        </w:rPr>
      </w:pPr>
      <w:r>
        <w:rPr>
          <w:rFonts w:hint="eastAsia" w:ascii="FangSong_GB2312" w:eastAsia="FangSong_GB2312"/>
          <w:sz w:val="32"/>
          <w:szCs w:val="32"/>
        </w:rPr>
        <w:t>2.细化预算指标，提高预算科学性。预算编制前根据年度内单位可预见的工作任务，确定单位年度预算目标，细化预算指标，科学合理编制部门预算，推进预算编制科学化、准确化。年度预算编制后，加强预算执行管理，根据实际情况，定期做好预算执行分析，掌握预算执行进度，及时找出预算实际执行情况与预算目标之间存在的差异，采取有效措施纠正偏差，提高预算执行的时效性和均衡性，同时为下一次科学、准确地编制部门预算积累经验。</w:t>
      </w:r>
    </w:p>
    <w:p>
      <w:pPr>
        <w:widowControl/>
        <w:spacing w:line="520" w:lineRule="exact"/>
        <w:ind w:firstLine="645"/>
        <w:jc w:val="left"/>
        <w:outlineLvl w:val="0"/>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widowControl/>
        <w:spacing w:line="520" w:lineRule="exact"/>
        <w:ind w:firstLine="645"/>
        <w:jc w:val="left"/>
        <w:rPr>
          <w:rFonts w:eastAsia="黑体"/>
          <w:sz w:val="32"/>
          <w:szCs w:val="32"/>
        </w:rPr>
      </w:pPr>
      <w:r>
        <w:rPr>
          <w:rFonts w:hint="eastAsia" w:ascii="FangSong_GB2312" w:eastAsia="FangSong_GB2312"/>
          <w:sz w:val="32"/>
          <w:szCs w:val="32"/>
        </w:rPr>
        <w:t>绩效自评结果为优。无其他需要说明的情况。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35CB6416"/>
    <w:rsid w:val="4B4334AB"/>
    <w:rsid w:val="5403276E"/>
    <w:rsid w:val="54C57A37"/>
    <w:rsid w:val="6E973029"/>
    <w:rsid w:val="7F6FD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59</TotalTime>
  <ScaleCrop>false</ScaleCrop>
  <LinksUpToDate>false</LinksUpToDate>
  <CharactersWithSpaces>458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2024-08-12T18:40:00Z</dcterms:created>
  <dc:creator>mini4use</dc:creator>
  <cp:lastModifiedBy>greatwall</cp:lastModifiedBy>
  <dcterms:modified xsi:type="dcterms:W3CDTF">2024-09-09T17:21:39Z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DEC29D6FF1984251977FAFE43F2C91AB_12</vt:lpwstr>
  </property>
</Properties>
</file>