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20" w:rsidRDefault="0073565D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附件3</w:t>
      </w:r>
    </w:p>
    <w:p w:rsidR="00FC3320" w:rsidRDefault="00FC3320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FC3320" w:rsidRDefault="00FC3320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  <w:bookmarkStart w:id="0" w:name="_GoBack"/>
      <w:bookmarkEnd w:id="0"/>
    </w:p>
    <w:p w:rsidR="00FC3320" w:rsidRDefault="00FC3320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FC3320" w:rsidRDefault="0073565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2023年度</w:t>
      </w:r>
      <w:r w:rsidR="005A6E06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炎陵县商务局</w:t>
      </w:r>
      <w:r w:rsidR="003E750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部门（单位）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整体支出绩效自评报告</w:t>
      </w:r>
    </w:p>
    <w:p w:rsidR="00FC3320" w:rsidRDefault="00FC3320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FC3320" w:rsidRDefault="00FC3320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FC3320" w:rsidRDefault="00FC3320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FC3320" w:rsidRDefault="00FC3320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FC3320" w:rsidRDefault="00FC3320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FC3320" w:rsidRDefault="00FC3320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5A6E06" w:rsidRDefault="005A6E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5A6E06" w:rsidRDefault="005A6E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5A6E06" w:rsidRDefault="005A6E06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FC3320" w:rsidRDefault="00FC3320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FC3320" w:rsidRDefault="0073565D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FC3320" w:rsidRDefault="00FC3320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FC3320" w:rsidRDefault="00FC3320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FC3320" w:rsidRDefault="00FC3320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FC3320" w:rsidRDefault="00FC3320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FC3320" w:rsidRDefault="00FC3320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FC3320" w:rsidRDefault="0073565D">
      <w:pPr>
        <w:rPr>
          <w:rFonts w:eastAsia="楷体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FC3320" w:rsidRDefault="0073565D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FC3320" w:rsidRDefault="0073565D" w:rsidP="003B6B63">
      <w:pPr>
        <w:pStyle w:val="a5"/>
        <w:numPr>
          <w:ilvl w:val="0"/>
          <w:numId w:val="2"/>
        </w:numPr>
        <w:spacing w:line="360" w:lineRule="auto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部门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）基本情况</w:t>
      </w:r>
    </w:p>
    <w:p w:rsidR="003E750D" w:rsidRPr="00034596" w:rsidRDefault="003B6B63" w:rsidP="00034596">
      <w:pPr>
        <w:pStyle w:val="a5"/>
        <w:spacing w:line="360" w:lineRule="auto"/>
        <w:ind w:left="284" w:firstLineChars="0" w:firstLine="0"/>
        <w:rPr>
          <w:rFonts w:eastAsia="仿宋_GB2312"/>
          <w:sz w:val="28"/>
          <w:szCs w:val="28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炎陵县商务局内设机构四个股室，分别为：办公室、</w:t>
      </w:r>
      <w:r w:rsidR="003E750D" w:rsidRPr="00034596">
        <w:rPr>
          <w:rFonts w:eastAsia="仿宋_GB2312"/>
          <w:sz w:val="28"/>
          <w:szCs w:val="28"/>
          <w:lang w:eastAsia="zh-CN"/>
        </w:rPr>
        <w:t>招商引资股（贸易股）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、</w:t>
      </w:r>
      <w:r w:rsidR="003E750D" w:rsidRPr="00034596">
        <w:rPr>
          <w:rFonts w:eastAsia="仿宋_GB2312"/>
          <w:sz w:val="28"/>
          <w:szCs w:val="28"/>
          <w:lang w:eastAsia="zh-CN"/>
        </w:rPr>
        <w:t>法规股（行政审批股）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、</w:t>
      </w:r>
      <w:r w:rsidR="003E750D" w:rsidRPr="00034596">
        <w:rPr>
          <w:rFonts w:eastAsia="仿宋_GB2312"/>
          <w:sz w:val="28"/>
          <w:szCs w:val="28"/>
          <w:lang w:eastAsia="zh-CN"/>
        </w:rPr>
        <w:t>商务信息股（电子商务股）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。炎陵县商务局共有编制人数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12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人，其中：行政编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6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名，事业编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6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名，实有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12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人，行政编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7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名，事业编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5</w:t>
      </w:r>
      <w:r w:rsidR="003E750D" w:rsidRPr="00034596">
        <w:rPr>
          <w:rFonts w:eastAsia="仿宋_GB2312" w:hint="eastAsia"/>
          <w:sz w:val="28"/>
          <w:szCs w:val="28"/>
          <w:lang w:eastAsia="zh-CN"/>
        </w:rPr>
        <w:t>名。</w:t>
      </w:r>
    </w:p>
    <w:p w:rsidR="00034596" w:rsidRDefault="0073565D" w:rsidP="00034596">
      <w:pPr>
        <w:pStyle w:val="a5"/>
        <w:numPr>
          <w:ilvl w:val="0"/>
          <w:numId w:val="2"/>
        </w:numPr>
        <w:spacing w:line="360" w:lineRule="auto"/>
        <w:ind w:firstLineChars="0" w:firstLine="640"/>
        <w:rPr>
          <w:rFonts w:ascii="楷体_GB2312" w:eastAsia="楷体_GB2312" w:hAnsi="楷体_GB2312" w:cs="楷体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部门（单位）年度整体支出绩效目标，专项资金绩效目标、其他项目支出（除专项资金以外）绩效目标</w:t>
      </w:r>
    </w:p>
    <w:p w:rsidR="00831A84" w:rsidRPr="00034596" w:rsidRDefault="00316534" w:rsidP="00034596">
      <w:pPr>
        <w:pStyle w:val="a5"/>
        <w:spacing w:line="360" w:lineRule="auto"/>
        <w:ind w:left="63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034596">
        <w:rPr>
          <w:rFonts w:eastAsia="仿宋_GB2312" w:hint="eastAsia"/>
          <w:b/>
          <w:sz w:val="32"/>
          <w:szCs w:val="32"/>
          <w:lang w:eastAsia="zh-CN"/>
        </w:rPr>
        <w:t>部门（单位）年度整体支出绩效目标：</w:t>
      </w:r>
    </w:p>
    <w:p w:rsidR="00831A84" w:rsidRPr="00034596" w:rsidRDefault="00831A84" w:rsidP="00034596">
      <w:pPr>
        <w:pStyle w:val="a5"/>
        <w:spacing w:line="360" w:lineRule="auto"/>
        <w:ind w:leftChars="-232" w:left="1" w:hangingChars="152" w:hanging="488"/>
        <w:rPr>
          <w:rFonts w:eastAsia="仿宋_GB2312"/>
          <w:b/>
          <w:sz w:val="28"/>
          <w:szCs w:val="28"/>
          <w:lang w:eastAsia="zh-CN"/>
        </w:rPr>
      </w:pPr>
      <w:r>
        <w:rPr>
          <w:rFonts w:eastAsia="仿宋_GB2312" w:hint="eastAsia"/>
          <w:b/>
          <w:sz w:val="32"/>
          <w:szCs w:val="32"/>
          <w:lang w:eastAsia="zh-CN"/>
        </w:rPr>
        <w:t xml:space="preserve">  </w:t>
      </w:r>
      <w:r w:rsidRPr="00034596">
        <w:rPr>
          <w:rFonts w:eastAsia="仿宋_GB2312" w:hint="eastAsia"/>
          <w:b/>
          <w:sz w:val="28"/>
          <w:szCs w:val="28"/>
          <w:lang w:eastAsia="zh-CN"/>
        </w:rPr>
        <w:t xml:space="preserve"> </w:t>
      </w:r>
      <w:r w:rsidR="00034596">
        <w:rPr>
          <w:rFonts w:eastAsia="仿宋_GB2312" w:hint="eastAsia"/>
          <w:b/>
          <w:sz w:val="28"/>
          <w:szCs w:val="28"/>
          <w:lang w:eastAsia="zh-CN"/>
        </w:rPr>
        <w:t xml:space="preserve">    </w:t>
      </w:r>
      <w:r w:rsidR="00316534" w:rsidRPr="00034596">
        <w:rPr>
          <w:rFonts w:eastAsia="仿宋_GB2312"/>
          <w:sz w:val="28"/>
          <w:szCs w:val="28"/>
          <w:lang w:eastAsia="zh-CN"/>
        </w:rPr>
        <w:t>1</w:t>
      </w:r>
      <w:r w:rsidR="00034596">
        <w:rPr>
          <w:rFonts w:eastAsia="仿宋_GB2312" w:hint="eastAsia"/>
          <w:sz w:val="28"/>
          <w:szCs w:val="28"/>
          <w:lang w:eastAsia="zh-CN"/>
        </w:rPr>
        <w:t>、进一步突出招商重点。按照“产业项目建设年”活动要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求，重点对接中国</w:t>
      </w:r>
      <w:r w:rsidR="00316534" w:rsidRPr="00034596">
        <w:rPr>
          <w:rFonts w:eastAsia="仿宋_GB2312"/>
          <w:sz w:val="28"/>
          <w:szCs w:val="28"/>
          <w:lang w:eastAsia="zh-CN"/>
        </w:rPr>
        <w:t>500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强、民营</w:t>
      </w:r>
      <w:r w:rsidR="00316534" w:rsidRPr="00034596">
        <w:rPr>
          <w:rFonts w:eastAsia="仿宋_GB2312"/>
          <w:sz w:val="28"/>
          <w:szCs w:val="28"/>
          <w:lang w:eastAsia="zh-CN"/>
        </w:rPr>
        <w:t>500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强、湘商企业等知名龙头企业，重点引进投资强度大、产出效益好、科技含量高的大项目、好项目，围绕我县新材料产业专题、电子信息科技产业专题、旅游文创产业专题、棉纺服装产业专题、新能源产业专题五大专题版块进行重点对接、重点招商。</w:t>
      </w:r>
      <w:r w:rsidR="00316534" w:rsidRPr="00034596">
        <w:rPr>
          <w:rFonts w:eastAsia="仿宋_GB2312"/>
          <w:sz w:val="28"/>
          <w:szCs w:val="28"/>
          <w:lang w:eastAsia="zh-CN"/>
        </w:rPr>
        <w:t xml:space="preserve">   </w:t>
      </w:r>
    </w:p>
    <w:p w:rsidR="00831A84" w:rsidRPr="00034596" w:rsidRDefault="00831A84" w:rsidP="00034596">
      <w:pPr>
        <w:pStyle w:val="a5"/>
        <w:spacing w:line="360" w:lineRule="auto"/>
        <w:ind w:leftChars="-232" w:left="-1" w:hangingChars="173" w:hanging="486"/>
        <w:rPr>
          <w:rFonts w:eastAsia="仿宋_GB2312"/>
          <w:b/>
          <w:sz w:val="28"/>
          <w:szCs w:val="28"/>
          <w:lang w:eastAsia="zh-CN"/>
        </w:rPr>
      </w:pPr>
      <w:r w:rsidRPr="00034596">
        <w:rPr>
          <w:rFonts w:eastAsia="仿宋_GB2312" w:hint="eastAsia"/>
          <w:b/>
          <w:sz w:val="28"/>
          <w:szCs w:val="28"/>
          <w:lang w:eastAsia="zh-CN"/>
        </w:rPr>
        <w:t xml:space="preserve">   </w:t>
      </w:r>
      <w:r w:rsidR="00034596">
        <w:rPr>
          <w:rFonts w:eastAsia="仿宋_GB2312" w:hint="eastAsia"/>
          <w:b/>
          <w:sz w:val="28"/>
          <w:szCs w:val="28"/>
          <w:lang w:eastAsia="zh-CN"/>
        </w:rPr>
        <w:t xml:space="preserve">    </w:t>
      </w:r>
      <w:r w:rsidR="00316534" w:rsidRPr="00034596">
        <w:rPr>
          <w:rFonts w:eastAsia="仿宋_GB2312"/>
          <w:sz w:val="28"/>
          <w:szCs w:val="28"/>
          <w:lang w:eastAsia="zh-CN"/>
        </w:rPr>
        <w:t>2</w:t>
      </w:r>
      <w:r w:rsidRPr="00034596">
        <w:rPr>
          <w:rFonts w:eastAsia="仿宋_GB2312" w:hint="eastAsia"/>
          <w:sz w:val="28"/>
          <w:szCs w:val="28"/>
          <w:lang w:eastAsia="zh-CN"/>
        </w:rPr>
        <w:t>、</w:t>
      </w:r>
      <w:r w:rsidR="00316534" w:rsidRPr="00034596">
        <w:rPr>
          <w:rFonts w:eastAsia="仿宋_GB2312"/>
          <w:sz w:val="28"/>
          <w:szCs w:val="28"/>
          <w:lang w:eastAsia="zh-CN"/>
        </w:rPr>
        <w:t xml:space="preserve"> 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狠抓上会签约项目履约落实，争取早落地，早开工。按照市、县工作目标任务部署，对我县上会签约项目进行倒排，做到“一月一调度</w:t>
      </w:r>
      <w:r w:rsidR="00316534" w:rsidRPr="00034596">
        <w:rPr>
          <w:rFonts w:eastAsia="仿宋_GB2312"/>
          <w:sz w:val="28"/>
          <w:szCs w:val="28"/>
          <w:lang w:eastAsia="zh-CN"/>
        </w:rPr>
        <w:t>,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一季度一督查，半年一通报”，确实做到签约项目底子清，问题明，强化服务，确保早开工，顺利推进。</w:t>
      </w:r>
      <w:r w:rsidR="00316534" w:rsidRPr="00034596">
        <w:rPr>
          <w:rFonts w:eastAsia="仿宋_GB2312"/>
          <w:sz w:val="28"/>
          <w:szCs w:val="28"/>
          <w:lang w:eastAsia="zh-CN"/>
        </w:rPr>
        <w:t xml:space="preserve">   </w:t>
      </w:r>
    </w:p>
    <w:p w:rsidR="00831A84" w:rsidRPr="00034596" w:rsidRDefault="00831A84" w:rsidP="00034596">
      <w:pPr>
        <w:pStyle w:val="a5"/>
        <w:spacing w:line="360" w:lineRule="auto"/>
        <w:ind w:leftChars="-232" w:left="-1" w:hangingChars="173" w:hanging="486"/>
        <w:rPr>
          <w:rFonts w:eastAsia="仿宋_GB2312"/>
          <w:b/>
          <w:sz w:val="28"/>
          <w:szCs w:val="28"/>
          <w:lang w:eastAsia="zh-CN"/>
        </w:rPr>
      </w:pPr>
      <w:r w:rsidRPr="00034596">
        <w:rPr>
          <w:rFonts w:eastAsia="仿宋_GB2312" w:hint="eastAsia"/>
          <w:b/>
          <w:sz w:val="28"/>
          <w:szCs w:val="28"/>
          <w:lang w:eastAsia="zh-CN"/>
        </w:rPr>
        <w:t xml:space="preserve">  </w:t>
      </w:r>
      <w:r w:rsidR="00034596">
        <w:rPr>
          <w:rFonts w:eastAsia="仿宋_GB2312" w:hint="eastAsia"/>
          <w:b/>
          <w:sz w:val="28"/>
          <w:szCs w:val="28"/>
          <w:lang w:eastAsia="zh-CN"/>
        </w:rPr>
        <w:t xml:space="preserve">   </w:t>
      </w:r>
      <w:r w:rsidRPr="00034596">
        <w:rPr>
          <w:rFonts w:eastAsia="仿宋_GB2312" w:hint="eastAsia"/>
          <w:b/>
          <w:sz w:val="28"/>
          <w:szCs w:val="28"/>
          <w:lang w:eastAsia="zh-CN"/>
        </w:rPr>
        <w:t xml:space="preserve"> </w:t>
      </w:r>
      <w:r w:rsidR="00034596">
        <w:rPr>
          <w:rFonts w:eastAsia="仿宋_GB2312" w:hint="eastAsia"/>
          <w:b/>
          <w:sz w:val="28"/>
          <w:szCs w:val="28"/>
          <w:lang w:eastAsia="zh-CN"/>
        </w:rPr>
        <w:t xml:space="preserve"> </w:t>
      </w:r>
      <w:r w:rsidR="00316534" w:rsidRPr="00034596">
        <w:rPr>
          <w:rFonts w:eastAsia="仿宋_GB2312"/>
          <w:sz w:val="28"/>
          <w:szCs w:val="28"/>
          <w:lang w:eastAsia="zh-CN"/>
        </w:rPr>
        <w:t xml:space="preserve">3 </w:t>
      </w:r>
      <w:r w:rsidRPr="00034596">
        <w:rPr>
          <w:rFonts w:eastAsia="仿宋_GB2312" w:hint="eastAsia"/>
          <w:sz w:val="28"/>
          <w:szCs w:val="28"/>
          <w:lang w:eastAsia="zh-CN"/>
        </w:rPr>
        <w:t>、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力争以国家电子商务进农村综合示范创建为抓手，将炎陵县打造成在农村流通、电商扶贫、农业供给侧结构性改革等领域具有特色、经验可复制的示范县。</w:t>
      </w:r>
      <w:r w:rsidR="00316534" w:rsidRPr="00034596">
        <w:rPr>
          <w:rFonts w:eastAsia="仿宋_GB2312"/>
          <w:sz w:val="28"/>
          <w:szCs w:val="28"/>
          <w:lang w:eastAsia="zh-CN"/>
        </w:rPr>
        <w:t xml:space="preserve">      </w:t>
      </w:r>
    </w:p>
    <w:p w:rsidR="00316534" w:rsidRPr="00034596" w:rsidRDefault="00831A84" w:rsidP="00034596">
      <w:pPr>
        <w:pStyle w:val="a5"/>
        <w:spacing w:line="360" w:lineRule="auto"/>
        <w:ind w:leftChars="-300" w:hangingChars="224" w:hanging="630"/>
        <w:rPr>
          <w:rFonts w:eastAsia="仿宋_GB2312"/>
          <w:b/>
          <w:sz w:val="28"/>
          <w:szCs w:val="28"/>
          <w:lang w:eastAsia="zh-CN"/>
        </w:rPr>
      </w:pPr>
      <w:r w:rsidRPr="00034596">
        <w:rPr>
          <w:rFonts w:eastAsia="仿宋_GB2312" w:hint="eastAsia"/>
          <w:b/>
          <w:sz w:val="28"/>
          <w:szCs w:val="28"/>
          <w:lang w:eastAsia="zh-CN"/>
        </w:rPr>
        <w:lastRenderedPageBreak/>
        <w:t xml:space="preserve">    </w:t>
      </w:r>
      <w:r w:rsidR="00034596">
        <w:rPr>
          <w:rFonts w:eastAsia="仿宋_GB2312" w:hint="eastAsia"/>
          <w:b/>
          <w:sz w:val="28"/>
          <w:szCs w:val="28"/>
          <w:lang w:eastAsia="zh-CN"/>
        </w:rPr>
        <w:t xml:space="preserve">    </w:t>
      </w:r>
      <w:r w:rsidR="00316534" w:rsidRPr="00034596">
        <w:rPr>
          <w:rFonts w:eastAsia="仿宋_GB2312"/>
          <w:sz w:val="28"/>
          <w:szCs w:val="28"/>
          <w:lang w:eastAsia="zh-CN"/>
        </w:rPr>
        <w:t xml:space="preserve">4 </w:t>
      </w:r>
      <w:r w:rsidRPr="00034596">
        <w:rPr>
          <w:rFonts w:eastAsia="仿宋_GB2312" w:hint="eastAsia"/>
          <w:sz w:val="28"/>
          <w:szCs w:val="28"/>
          <w:lang w:eastAsia="zh-CN"/>
        </w:rPr>
        <w:t>、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提升企业培育质量、贸易开放度和发展水平，加大对“边贸市场体系项目”的争取力度，加强对“物流仓储”等项目的培育，引导边贸经济、电子商务繁荣发展，确保了成品油市场的有序安全。</w:t>
      </w:r>
      <w:r w:rsidR="00316534" w:rsidRPr="00034596">
        <w:rPr>
          <w:rFonts w:eastAsia="仿宋_GB2312"/>
          <w:sz w:val="28"/>
          <w:szCs w:val="28"/>
          <w:lang w:eastAsia="zh-CN"/>
        </w:rPr>
        <w:t xml:space="preserve">   </w:t>
      </w:r>
    </w:p>
    <w:p w:rsidR="00316534" w:rsidRPr="00034596" w:rsidRDefault="00831A84" w:rsidP="00034596">
      <w:pPr>
        <w:pStyle w:val="a5"/>
        <w:spacing w:line="360" w:lineRule="auto"/>
        <w:ind w:leftChars="-300" w:left="-3" w:hangingChars="224" w:hanging="627"/>
        <w:rPr>
          <w:rFonts w:eastAsia="仿宋_GB2312"/>
          <w:sz w:val="28"/>
          <w:szCs w:val="28"/>
          <w:lang w:eastAsia="zh-CN"/>
        </w:rPr>
      </w:pPr>
      <w:r w:rsidRPr="00034596">
        <w:rPr>
          <w:rFonts w:eastAsia="仿宋_GB2312" w:hint="eastAsia"/>
          <w:sz w:val="28"/>
          <w:szCs w:val="28"/>
          <w:lang w:eastAsia="zh-CN"/>
        </w:rPr>
        <w:t xml:space="preserve">    </w:t>
      </w:r>
      <w:r w:rsidR="00034596">
        <w:rPr>
          <w:rFonts w:eastAsia="仿宋_GB2312" w:hint="eastAsia"/>
          <w:sz w:val="28"/>
          <w:szCs w:val="28"/>
          <w:lang w:eastAsia="zh-CN"/>
        </w:rPr>
        <w:t xml:space="preserve">    </w:t>
      </w:r>
      <w:r w:rsidR="00316534" w:rsidRPr="00034596">
        <w:rPr>
          <w:rFonts w:eastAsia="仿宋_GB2312"/>
          <w:sz w:val="28"/>
          <w:szCs w:val="28"/>
          <w:lang w:eastAsia="zh-CN"/>
        </w:rPr>
        <w:t>5</w:t>
      </w:r>
      <w:r w:rsidRPr="00034596">
        <w:rPr>
          <w:rFonts w:eastAsia="仿宋_GB2312" w:hint="eastAsia"/>
          <w:sz w:val="28"/>
          <w:szCs w:val="28"/>
          <w:lang w:eastAsia="zh-CN"/>
        </w:rPr>
        <w:t>、</w:t>
      </w:r>
      <w:r w:rsidR="00316534" w:rsidRPr="00034596">
        <w:rPr>
          <w:rFonts w:eastAsia="仿宋_GB2312"/>
          <w:sz w:val="28"/>
          <w:szCs w:val="28"/>
          <w:lang w:eastAsia="zh-CN"/>
        </w:rPr>
        <w:t xml:space="preserve"> 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全面从严治党，坚守政治纪律</w:t>
      </w:r>
      <w:r w:rsidR="00316534" w:rsidRPr="00034596">
        <w:rPr>
          <w:rFonts w:eastAsia="仿宋_GB2312"/>
          <w:sz w:val="28"/>
          <w:szCs w:val="28"/>
          <w:lang w:eastAsia="zh-CN"/>
        </w:rPr>
        <w:t>,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加强机关作风建设，增强党员干部的群众观念和群众感情</w:t>
      </w:r>
      <w:r w:rsidR="00316534" w:rsidRPr="00034596">
        <w:rPr>
          <w:rFonts w:eastAsia="仿宋_GB2312"/>
          <w:sz w:val="28"/>
          <w:szCs w:val="28"/>
          <w:lang w:eastAsia="zh-CN"/>
        </w:rPr>
        <w:t>,</w:t>
      </w:r>
      <w:r w:rsidR="00316534" w:rsidRPr="00034596">
        <w:rPr>
          <w:rFonts w:eastAsia="仿宋_GB2312" w:hint="eastAsia"/>
          <w:sz w:val="28"/>
          <w:szCs w:val="28"/>
          <w:lang w:eastAsia="zh-CN"/>
        </w:rPr>
        <w:t>不断提升政务服务质量，开展形式多样的党员学习活动，有效提升了干部职工的整体素质涵养，推进规范化服务型机关建设</w:t>
      </w:r>
    </w:p>
    <w:p w:rsidR="00831A84" w:rsidRPr="00034596" w:rsidRDefault="00831A84" w:rsidP="003B6B63">
      <w:pPr>
        <w:spacing w:line="360" w:lineRule="auto"/>
        <w:rPr>
          <w:rFonts w:ascii="仿宋_GB2312" w:eastAsia="仿宋_GB2312" w:hAnsi="楷体_GB2312" w:cs="楷体_GB2312"/>
          <w:b/>
          <w:sz w:val="28"/>
          <w:szCs w:val="28"/>
          <w:lang w:eastAsia="zh-CN"/>
        </w:rPr>
      </w:pPr>
      <w:r w:rsidRPr="00034596">
        <w:rPr>
          <w:rFonts w:ascii="仿宋_GB2312" w:eastAsia="仿宋_GB2312" w:hAnsi="楷体_GB2312" w:cs="楷体_GB2312" w:hint="eastAsia"/>
          <w:b/>
          <w:sz w:val="28"/>
          <w:szCs w:val="28"/>
          <w:lang w:eastAsia="zh-CN"/>
        </w:rPr>
        <w:t xml:space="preserve">    专项资金绩效目标（招商引资专项）：</w:t>
      </w:r>
    </w:p>
    <w:p w:rsidR="00831A84" w:rsidRPr="00034596" w:rsidRDefault="00831A84" w:rsidP="003B6B63">
      <w:pPr>
        <w:spacing w:line="360" w:lineRule="auto"/>
        <w:rPr>
          <w:rFonts w:eastAsia="仿宋_GB2312"/>
          <w:sz w:val="28"/>
          <w:szCs w:val="28"/>
          <w:lang w:eastAsia="zh-CN"/>
        </w:rPr>
      </w:pPr>
      <w:r w:rsidRPr="00034596">
        <w:rPr>
          <w:rFonts w:eastAsia="仿宋_GB2312" w:hint="eastAsia"/>
          <w:sz w:val="28"/>
          <w:szCs w:val="28"/>
          <w:lang w:eastAsia="zh-CN"/>
        </w:rPr>
        <w:t xml:space="preserve">     </w:t>
      </w:r>
      <w:r w:rsidRPr="00034596">
        <w:rPr>
          <w:rFonts w:eastAsia="仿宋_GB2312" w:hint="eastAsia"/>
          <w:sz w:val="28"/>
          <w:szCs w:val="28"/>
          <w:lang w:eastAsia="zh-CN"/>
        </w:rPr>
        <w:t>聚焦高质量招商引资，紧紧围绕“招商、落地、服务”三大环节，实施招商引资创新提升行动，吸引更多企业来炎陵投资，推动更多更好更优质的项目落地炎陵，为建设新炎陵提供新的动力支撑。加快推进承接产业转移示范区建设，努力提高发展开放经济工作水平，促进全县经济持续快速健康发展，增加县级经济实力。</w:t>
      </w:r>
    </w:p>
    <w:p w:rsidR="00831A84" w:rsidRPr="00034596" w:rsidRDefault="00831A84" w:rsidP="003B6B63">
      <w:pPr>
        <w:spacing w:line="360" w:lineRule="auto"/>
        <w:rPr>
          <w:rFonts w:ascii="仿宋_GB2312" w:eastAsia="仿宋_GB2312" w:hAnsi="楷体_GB2312" w:cs="楷体_GB2312"/>
          <w:b/>
          <w:sz w:val="28"/>
          <w:szCs w:val="28"/>
          <w:lang w:eastAsia="zh-CN"/>
        </w:rPr>
      </w:pPr>
      <w:r w:rsidRPr="00034596">
        <w:rPr>
          <w:rFonts w:ascii="仿宋_GB2312" w:eastAsia="仿宋_GB2312" w:hAnsi="楷体_GB2312" w:cs="楷体_GB2312" w:hint="eastAsia"/>
          <w:b/>
          <w:sz w:val="28"/>
          <w:szCs w:val="28"/>
          <w:lang w:eastAsia="zh-CN"/>
        </w:rPr>
        <w:t xml:space="preserve">   其他项目支出（除专项资金以外）绩效目标</w:t>
      </w:r>
    </w:p>
    <w:p w:rsidR="00831A84" w:rsidRPr="00034596" w:rsidRDefault="00831A84" w:rsidP="003B6B63">
      <w:pPr>
        <w:spacing w:line="360" w:lineRule="auto"/>
        <w:rPr>
          <w:rFonts w:eastAsia="仿宋_GB2312"/>
          <w:sz w:val="28"/>
          <w:szCs w:val="28"/>
          <w:lang w:eastAsia="zh-CN"/>
        </w:rPr>
      </w:pPr>
      <w:r w:rsidRPr="00034596">
        <w:rPr>
          <w:rFonts w:eastAsia="仿宋_GB2312" w:hint="eastAsia"/>
          <w:sz w:val="28"/>
          <w:szCs w:val="28"/>
          <w:lang w:eastAsia="zh-CN"/>
        </w:rPr>
        <w:t xml:space="preserve">   </w:t>
      </w:r>
      <w:r w:rsidRPr="00034596">
        <w:rPr>
          <w:rFonts w:eastAsia="仿宋_GB2312" w:hint="eastAsia"/>
          <w:sz w:val="28"/>
          <w:szCs w:val="28"/>
          <w:lang w:eastAsia="zh-CN"/>
        </w:rPr>
        <w:t>一般公共服务支出绩效目标为提升我县公共服务水平、有利于我县经济的良性发展，壮大我县经济实力；</w:t>
      </w:r>
      <w:r w:rsidR="003F0B8A" w:rsidRPr="00034596">
        <w:rPr>
          <w:rFonts w:eastAsia="仿宋_GB2312" w:hint="eastAsia"/>
          <w:sz w:val="28"/>
          <w:szCs w:val="28"/>
          <w:lang w:eastAsia="zh-CN"/>
        </w:rPr>
        <w:t>城乡社区支出绩效目标为电子商务等应用性项目得到推广、提高县电子商务应用水平；</w:t>
      </w:r>
      <w:r w:rsidRPr="00034596">
        <w:rPr>
          <w:rFonts w:eastAsia="仿宋_GB2312" w:hint="eastAsia"/>
          <w:sz w:val="28"/>
          <w:szCs w:val="28"/>
          <w:lang w:eastAsia="zh-CN"/>
        </w:rPr>
        <w:t>商业服务业等支出支绩效目标为</w:t>
      </w:r>
      <w:r w:rsidR="003F0B8A" w:rsidRPr="00034596">
        <w:rPr>
          <w:rFonts w:eastAsia="仿宋_GB2312" w:hint="eastAsia"/>
          <w:sz w:val="28"/>
          <w:szCs w:val="28"/>
          <w:lang w:eastAsia="zh-CN"/>
        </w:rPr>
        <w:t>提升企业培育质量、贸易开放度和发展水平，加大对“边贸市场体系项目”的争取力度，加强对“物流仓储”等项目的培育，引导边贸经济、电子商务繁荣发展，确保了成品油市场的有序安全</w:t>
      </w:r>
      <w:r w:rsidRPr="00034596">
        <w:rPr>
          <w:rFonts w:eastAsia="仿宋_GB2312" w:hint="eastAsia"/>
          <w:sz w:val="28"/>
          <w:szCs w:val="28"/>
          <w:lang w:eastAsia="zh-CN"/>
        </w:rPr>
        <w:t>。</w:t>
      </w:r>
    </w:p>
    <w:p w:rsidR="00FC3320" w:rsidRDefault="0073565D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二、</w:t>
      </w:r>
      <w:r>
        <w:rPr>
          <w:rFonts w:ascii="Times New Roman" w:eastAsia="黑体" w:hAnsi="Times New Roman"/>
          <w:sz w:val="32"/>
          <w:szCs w:val="32"/>
          <w:lang w:eastAsia="zh-CN"/>
        </w:rPr>
        <w:t>一般公共预算支出情况</w:t>
      </w:r>
    </w:p>
    <w:p w:rsidR="00FC3320" w:rsidRPr="006F6DF4" w:rsidRDefault="0073565D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color w:val="000000" w:themeColor="text1"/>
          <w:sz w:val="32"/>
          <w:szCs w:val="32"/>
          <w:lang w:eastAsia="zh-CN"/>
        </w:rPr>
      </w:pPr>
      <w:r w:rsidRPr="006F6DF4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/>
        </w:rPr>
        <w:t>（一）基本支出情况</w:t>
      </w:r>
    </w:p>
    <w:p w:rsidR="00831A84" w:rsidRPr="00034596" w:rsidRDefault="00831A84" w:rsidP="00034596">
      <w:pPr>
        <w:spacing w:line="360" w:lineRule="auto"/>
        <w:ind w:firstLineChars="150" w:firstLine="420"/>
        <w:rPr>
          <w:rFonts w:ascii="仿宋_GB2312" w:eastAsia="仿宋_GB2312" w:hint="eastAsia"/>
          <w:sz w:val="28"/>
          <w:szCs w:val="28"/>
          <w:lang w:eastAsia="zh-CN"/>
        </w:rPr>
      </w:pPr>
      <w:r w:rsidRPr="00034596">
        <w:rPr>
          <w:rFonts w:ascii="仿宋_GB2312" w:eastAsia="仿宋_GB2312" w:hint="eastAsia"/>
          <w:sz w:val="28"/>
          <w:szCs w:val="28"/>
          <w:lang w:eastAsia="zh-CN"/>
        </w:rPr>
        <w:t>202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t>3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年炎陵县商务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t>局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基本支出合计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t>264.04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万元，按经济科目分类有工资福利支出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t>157.28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万元、商品和服务支出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t>74.38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万元、对个人和家庭的补助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t>32.38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万元。按政府功能科目分类有一般公共服务支出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lastRenderedPageBreak/>
        <w:t>163.59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万元、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t>科学技术支出10.00万元，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社会保障和就业支出</w:t>
      </w:r>
      <w:r w:rsidR="003F0B8A" w:rsidRPr="00034596">
        <w:rPr>
          <w:rFonts w:ascii="仿宋_GB2312" w:eastAsia="仿宋_GB2312" w:hint="eastAsia"/>
          <w:sz w:val="28"/>
          <w:szCs w:val="28"/>
          <w:lang w:eastAsia="zh-CN"/>
        </w:rPr>
        <w:t>49.47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万元、卫生健康支出</w:t>
      </w:r>
      <w:r w:rsidR="006F6DF4" w:rsidRPr="00034596">
        <w:rPr>
          <w:rFonts w:ascii="仿宋_GB2312" w:eastAsia="仿宋_GB2312" w:hint="eastAsia"/>
          <w:sz w:val="28"/>
          <w:szCs w:val="28"/>
          <w:lang w:eastAsia="zh-CN"/>
        </w:rPr>
        <w:t>7.25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万元、商业服务业等支出</w:t>
      </w:r>
      <w:r w:rsidR="006F6DF4" w:rsidRPr="00034596">
        <w:rPr>
          <w:rFonts w:ascii="仿宋_GB2312" w:eastAsia="仿宋_GB2312" w:hint="eastAsia"/>
          <w:sz w:val="28"/>
          <w:szCs w:val="28"/>
          <w:lang w:eastAsia="zh-CN"/>
        </w:rPr>
        <w:t>20.00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万元、住房保障支出</w:t>
      </w:r>
      <w:r w:rsidR="006F6DF4" w:rsidRPr="00034596">
        <w:rPr>
          <w:rFonts w:ascii="仿宋_GB2312" w:eastAsia="仿宋_GB2312" w:hint="eastAsia"/>
          <w:sz w:val="28"/>
          <w:szCs w:val="28"/>
          <w:lang w:eastAsia="zh-CN"/>
        </w:rPr>
        <w:t>13.73</w:t>
      </w:r>
      <w:r w:rsidRPr="00034596">
        <w:rPr>
          <w:rFonts w:ascii="仿宋_GB2312" w:eastAsia="仿宋_GB2312" w:hint="eastAsia"/>
          <w:sz w:val="28"/>
          <w:szCs w:val="28"/>
          <w:lang w:eastAsia="zh-CN"/>
        </w:rPr>
        <w:t>万元。</w:t>
      </w:r>
    </w:p>
    <w:p w:rsidR="00FC3320" w:rsidRPr="00464F22" w:rsidRDefault="0073565D" w:rsidP="003B6B63">
      <w:pPr>
        <w:pStyle w:val="a5"/>
        <w:spacing w:line="360" w:lineRule="auto"/>
        <w:ind w:left="640" w:firstLineChars="0" w:firstLine="0"/>
        <w:rPr>
          <w:rFonts w:ascii="楷体_GB2312" w:eastAsia="楷体_GB2312" w:hAnsi="楷体_GB2312" w:cs="楷体_GB2312"/>
          <w:color w:val="000000" w:themeColor="text1"/>
          <w:sz w:val="32"/>
          <w:szCs w:val="32"/>
          <w:lang w:eastAsia="zh-CN"/>
        </w:rPr>
      </w:pPr>
      <w:r w:rsidRPr="00464F22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/>
        </w:rPr>
        <w:t>（二）项目支出情况</w:t>
      </w:r>
    </w:p>
    <w:p w:rsidR="00831A84" w:rsidRPr="00034596" w:rsidRDefault="00831A84" w:rsidP="00034596">
      <w:pPr>
        <w:spacing w:line="360" w:lineRule="auto"/>
        <w:ind w:firstLineChars="200" w:firstLine="560"/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</w:pP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一是202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3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年度县级预算安排招商引资专项资金支出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79.81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万元情况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（安排预算80万元）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：</w:t>
      </w:r>
    </w:p>
    <w:p w:rsidR="00831A84" w:rsidRPr="00034596" w:rsidRDefault="00831A84" w:rsidP="00034596">
      <w:pPr>
        <w:spacing w:line="360" w:lineRule="auto"/>
        <w:ind w:firstLineChars="200" w:firstLine="560"/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</w:pP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截止绩效评价日，项目资金资金使用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79.81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元，资金</w:t>
      </w:r>
      <w:r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>使用率100%。在项目监督、资金审核拨付等环节严格按照相关政策进行管理检查，检查过程中发现项目没有违规情况；</w:t>
      </w:r>
    </w:p>
    <w:p w:rsidR="00831A84" w:rsidRPr="00034596" w:rsidRDefault="00831A84" w:rsidP="00034596">
      <w:pPr>
        <w:spacing w:line="360" w:lineRule="auto"/>
        <w:ind w:firstLineChars="200" w:firstLine="560"/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</w:pP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二是202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3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年除专项资金以外的其他项目支出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161.65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万元情况：</w:t>
      </w:r>
    </w:p>
    <w:p w:rsidR="00831A84" w:rsidRPr="00034596" w:rsidRDefault="00831A84" w:rsidP="00034596">
      <w:pPr>
        <w:spacing w:line="360" w:lineRule="auto"/>
        <w:ind w:firstLineChars="200" w:firstLine="560"/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</w:pP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截止绩效评价日，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除专项资金以外的其他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项目资金资金使用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165.65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万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元，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 xml:space="preserve">其中：  </w:t>
      </w:r>
    </w:p>
    <w:p w:rsidR="00831A84" w:rsidRPr="00034596" w:rsidRDefault="00831A84" w:rsidP="00034596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</w:pP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（一）一般公共服务支出项目专项资金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17.00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万元：包括一般公共服务支出中的招商引资资金</w:t>
      </w:r>
      <w:r w:rsidR="006F6DF4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17.00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万元，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截止绩效评价日，项目资金资金使用</w:t>
      </w:r>
      <w:r w:rsidR="00D731AB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17.00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万元，资金</w:t>
      </w:r>
      <w:r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>使用率100%。在项目监督、资金审核拨付等环节严格按照相关政策进行管理检查，检查过程中发现项目没有违规情况。</w:t>
      </w:r>
    </w:p>
    <w:p w:rsidR="00FC3320" w:rsidRPr="00034596" w:rsidRDefault="00831A84" w:rsidP="003B6B63">
      <w:pPr>
        <w:spacing w:line="360" w:lineRule="auto"/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</w:pPr>
      <w:r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 xml:space="preserve">   </w:t>
      </w:r>
      <w:r w:rsidR="00464F22"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 xml:space="preserve"> </w:t>
      </w:r>
      <w:r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>（</w:t>
      </w:r>
      <w:r w:rsidR="00464F22"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>二</w:t>
      </w:r>
      <w:r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>）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商业服务业等支出项目专项资金</w:t>
      </w:r>
      <w:r w:rsidR="00D731AB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144.65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万元：包括电子商务进农村资金</w:t>
      </w:r>
      <w:r w:rsidR="00D731AB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114.79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万元；</w:t>
      </w:r>
      <w:r w:rsidR="00D731AB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株财外【2022】135号省级外贸促进资金4.20万元</w:t>
      </w:r>
      <w:r w:rsidR="00400A43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（华斯盛、竹世宝、昊坤公司等）</w:t>
      </w:r>
      <w:r w:rsidR="00D731AB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，湘财外指【2021】54号安排完善贸易投资合作、公共商务信息等服务体系</w:t>
      </w:r>
      <w:r w:rsidR="00400A43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资金5.00万元（龙酃实业公司）；湘财外指【2022】36号文件安排2022年内贸发展资金8.00万元（返朴归真公司）；湘财外指【2023】7号安排娜妹子冷链物流补助资金5.94万元；株财外【2023】3号安排2022年限上企业培育资金6.72万元</w:t>
      </w:r>
      <w:r w:rsidR="00410D41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（12家限上企业）</w:t>
      </w:r>
      <w:r w:rsidR="00464F22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等7个子项目</w:t>
      </w:r>
      <w:r w:rsidR="00400A43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；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截止绩效评价日，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lastRenderedPageBreak/>
        <w:t>项目资金资金使用</w:t>
      </w:r>
      <w:r w:rsidR="00464F22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144.65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万元，资金</w:t>
      </w:r>
      <w:r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>使用率100%。在项目监督、资金审核拨付等环节严格按照相关政策进行管理检查，检查过程中发现项目没有违规情况。</w:t>
      </w:r>
    </w:p>
    <w:p w:rsidR="00FC3320" w:rsidRDefault="0073565D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三、</w:t>
      </w:r>
      <w:r>
        <w:rPr>
          <w:rFonts w:ascii="Times New Roman" w:eastAsia="黑体" w:hAnsi="Times New Roman"/>
          <w:sz w:val="32"/>
          <w:szCs w:val="32"/>
          <w:lang w:eastAsia="zh-CN"/>
        </w:rPr>
        <w:t>政府性基金预算支出情况</w:t>
      </w:r>
    </w:p>
    <w:p w:rsidR="00464F22" w:rsidRPr="006F6DF4" w:rsidRDefault="00464F22" w:rsidP="00464F22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color w:val="000000" w:themeColor="text1"/>
          <w:sz w:val="32"/>
          <w:szCs w:val="32"/>
          <w:lang w:eastAsia="zh-CN"/>
        </w:rPr>
      </w:pPr>
      <w:r w:rsidRPr="006F6DF4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/>
        </w:rPr>
        <w:t>（一）基本支出情况</w:t>
      </w:r>
    </w:p>
    <w:p w:rsidR="00464F22" w:rsidRPr="00034596" w:rsidRDefault="00464F22">
      <w:pPr>
        <w:pStyle w:val="a5"/>
        <w:spacing w:line="520" w:lineRule="exact"/>
        <w:ind w:left="640" w:firstLineChars="0" w:firstLine="0"/>
        <w:rPr>
          <w:rFonts w:eastAsia="仿宋_GB2312"/>
          <w:color w:val="000000" w:themeColor="text1"/>
          <w:sz w:val="28"/>
          <w:szCs w:val="28"/>
          <w:lang w:eastAsia="zh-CN"/>
        </w:rPr>
      </w:pPr>
      <w:r w:rsidRPr="00034596">
        <w:rPr>
          <w:rFonts w:ascii="Times New Roman" w:eastAsia="黑体" w:hAnsi="Times New Roman" w:hint="eastAsia"/>
          <w:sz w:val="28"/>
          <w:szCs w:val="28"/>
          <w:lang w:eastAsia="zh-CN"/>
        </w:rPr>
        <w:t xml:space="preserve"> 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无基本支出情况</w:t>
      </w:r>
    </w:p>
    <w:p w:rsidR="00464F22" w:rsidRPr="00464F22" w:rsidRDefault="00464F22" w:rsidP="00464F22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color w:val="000000" w:themeColor="text1"/>
          <w:sz w:val="32"/>
          <w:szCs w:val="32"/>
          <w:lang w:eastAsia="zh-CN"/>
        </w:rPr>
      </w:pPr>
      <w:r w:rsidRPr="00464F22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/>
        </w:rPr>
        <w:t>（二）项目支出情况</w:t>
      </w:r>
    </w:p>
    <w:p w:rsidR="0021538F" w:rsidRPr="00034596" w:rsidRDefault="0021538F" w:rsidP="003B6B63">
      <w:pPr>
        <w:spacing w:line="360" w:lineRule="auto"/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</w:pPr>
      <w:r>
        <w:rPr>
          <w:rFonts w:eastAsia="仿宋_GB2312" w:hint="eastAsia"/>
          <w:color w:val="000000" w:themeColor="text1"/>
          <w:sz w:val="32"/>
          <w:szCs w:val="32"/>
          <w:lang w:eastAsia="zh-CN"/>
        </w:rPr>
        <w:t xml:space="preserve">   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 xml:space="preserve"> </w:t>
      </w:r>
      <w:r w:rsidR="00464F22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2023年度县级预算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在政府性基金预算</w:t>
      </w:r>
      <w:r w:rsidR="00464F22"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安排项目资金支出215.52万元，包括电子商务金农村示范县物流体系、公共服务体系、培训体系建设项目补贴资金136.40万元；电子商务进农村示范县农产品产后设施化处理设备项目补贴资金78.81万元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等2个子项目。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截止绩效评价日，项目资金资金使用</w:t>
      </w:r>
      <w:r w:rsidRPr="00034596">
        <w:rPr>
          <w:rFonts w:ascii="仿宋_GB2312" w:eastAsia="仿宋_GB2312" w:hint="eastAsia"/>
          <w:color w:val="000000" w:themeColor="text1"/>
          <w:sz w:val="28"/>
          <w:szCs w:val="28"/>
          <w:lang w:eastAsia="zh-CN"/>
        </w:rPr>
        <w:t>215.52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万元，资金</w:t>
      </w:r>
      <w:r w:rsidRPr="00034596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  <w:lang w:eastAsia="zh-CN"/>
        </w:rPr>
        <w:t>使用率100%。在项目监督、资金审核拨付等环节严格按照相关政策进行管理检查，检查过程中发现项目没有违规情况。</w:t>
      </w:r>
    </w:p>
    <w:p w:rsidR="00FC3320" w:rsidRDefault="0073565D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四、国有资本经营预算支出情况</w:t>
      </w:r>
    </w:p>
    <w:p w:rsidR="0021538F" w:rsidRPr="00034596" w:rsidRDefault="0021538F">
      <w:pPr>
        <w:pStyle w:val="a5"/>
        <w:spacing w:line="520" w:lineRule="exact"/>
        <w:ind w:left="640"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</w:t>
      </w: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>无国有资本经营预算支出情况</w:t>
      </w:r>
    </w:p>
    <w:p w:rsidR="00FC3320" w:rsidRDefault="0073565D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/>
          <w:sz w:val="32"/>
          <w:szCs w:val="32"/>
          <w:lang w:eastAsia="zh-CN"/>
        </w:rPr>
        <w:t>社会保险基金预算支出情况</w:t>
      </w:r>
    </w:p>
    <w:p w:rsidR="0021538F" w:rsidRPr="00034596" w:rsidRDefault="0021538F">
      <w:pPr>
        <w:pStyle w:val="a5"/>
        <w:spacing w:line="520" w:lineRule="exact"/>
        <w:ind w:left="640"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  <w:lang w:eastAsia="zh-CN"/>
        </w:rPr>
      </w:pPr>
      <w:r w:rsidRPr="00034596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lang w:eastAsia="zh-CN"/>
        </w:rPr>
        <w:t xml:space="preserve"> 无</w:t>
      </w:r>
      <w:r w:rsidRPr="00034596">
        <w:rPr>
          <w:rFonts w:ascii="仿宋_GB2312" w:eastAsia="仿宋_GB2312" w:hAnsi="仿宋_GB2312" w:cs="仿宋_GB2312"/>
          <w:color w:val="000000" w:themeColor="text1"/>
          <w:sz w:val="28"/>
          <w:szCs w:val="28"/>
          <w:lang w:eastAsia="zh-CN"/>
        </w:rPr>
        <w:t>社会保险基金预算支出情况</w:t>
      </w:r>
    </w:p>
    <w:p w:rsidR="00FC3320" w:rsidRDefault="0073565D" w:rsidP="00034596">
      <w:pPr>
        <w:spacing w:line="360" w:lineRule="auto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  <w:lang w:eastAsia="zh-CN"/>
        </w:rPr>
        <w:t>、部门整体支出绩效情况</w:t>
      </w:r>
    </w:p>
    <w:p w:rsidR="000F37F3" w:rsidRPr="00034596" w:rsidRDefault="000F37F3" w:rsidP="00034596">
      <w:pPr>
        <w:spacing w:line="360" w:lineRule="auto"/>
        <w:ind w:firstLineChars="150" w:firstLine="420"/>
        <w:rPr>
          <w:rFonts w:eastAsia="仿宋_GB2312"/>
          <w:sz w:val="28"/>
          <w:szCs w:val="28"/>
          <w:lang w:eastAsia="zh-CN"/>
        </w:rPr>
      </w:pPr>
      <w:r w:rsidRPr="00034596">
        <w:rPr>
          <w:rFonts w:eastAsia="仿宋_GB2312" w:hint="eastAsia"/>
          <w:sz w:val="28"/>
          <w:szCs w:val="28"/>
          <w:lang w:eastAsia="zh-CN"/>
        </w:rPr>
        <w:t>（一）资金使用、部门决算总体情况</w:t>
      </w:r>
    </w:p>
    <w:p w:rsidR="000F37F3" w:rsidRPr="00034596" w:rsidRDefault="000F37F3" w:rsidP="00034596">
      <w:pPr>
        <w:spacing w:line="360" w:lineRule="auto"/>
        <w:ind w:firstLineChars="150" w:firstLine="420"/>
        <w:rPr>
          <w:rFonts w:eastAsia="仿宋_GB2312"/>
          <w:color w:val="000000" w:themeColor="text1"/>
          <w:sz w:val="28"/>
          <w:szCs w:val="28"/>
          <w:lang w:eastAsia="zh-CN"/>
        </w:rPr>
      </w:pPr>
      <w:r w:rsidRPr="00034596">
        <w:rPr>
          <w:rFonts w:eastAsia="仿宋_GB2312" w:hint="eastAsia"/>
          <w:sz w:val="28"/>
          <w:szCs w:val="28"/>
          <w:lang w:eastAsia="zh-CN"/>
        </w:rPr>
        <w:t>202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3</w:t>
      </w:r>
      <w:r w:rsidRPr="00034596">
        <w:rPr>
          <w:rFonts w:eastAsia="仿宋_GB2312" w:hint="eastAsia"/>
          <w:sz w:val="28"/>
          <w:szCs w:val="28"/>
          <w:lang w:eastAsia="zh-CN"/>
        </w:rPr>
        <w:t>年年末单位资产总额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1578.09</w:t>
      </w:r>
      <w:r w:rsidRPr="00034596">
        <w:rPr>
          <w:rFonts w:eastAsia="仿宋_GB2312" w:hint="eastAsia"/>
          <w:sz w:val="28"/>
          <w:szCs w:val="28"/>
          <w:lang w:eastAsia="zh-CN"/>
        </w:rPr>
        <w:t>万元，其中：固定资产净值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74.58</w:t>
      </w:r>
      <w:r w:rsidRPr="00034596">
        <w:rPr>
          <w:rFonts w:eastAsia="仿宋_GB2312" w:hint="eastAsia"/>
          <w:sz w:val="28"/>
          <w:szCs w:val="28"/>
          <w:lang w:eastAsia="zh-CN"/>
        </w:rPr>
        <w:t>万元；负债总额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1443.31</w:t>
      </w:r>
      <w:r w:rsidRPr="00034596">
        <w:rPr>
          <w:rFonts w:eastAsia="仿宋_GB2312" w:hint="eastAsia"/>
          <w:sz w:val="28"/>
          <w:szCs w:val="28"/>
          <w:lang w:eastAsia="zh-CN"/>
        </w:rPr>
        <w:t>万元（其他应付款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1443.31</w:t>
      </w:r>
      <w:r w:rsidRPr="00034596">
        <w:rPr>
          <w:rFonts w:eastAsia="仿宋_GB2312" w:hint="eastAsia"/>
          <w:sz w:val="28"/>
          <w:szCs w:val="28"/>
          <w:lang w:eastAsia="zh-CN"/>
        </w:rPr>
        <w:t>万元）；净资产总额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134.77</w:t>
      </w:r>
      <w:r w:rsidRPr="00034596">
        <w:rPr>
          <w:rFonts w:eastAsia="仿宋_GB2312" w:hint="eastAsia"/>
          <w:sz w:val="28"/>
          <w:szCs w:val="28"/>
          <w:lang w:eastAsia="zh-CN"/>
        </w:rPr>
        <w:t>万元。</w:t>
      </w:r>
      <w:r w:rsidRPr="00034596">
        <w:rPr>
          <w:rFonts w:eastAsia="仿宋_GB2312" w:hint="eastAsia"/>
          <w:sz w:val="28"/>
          <w:szCs w:val="28"/>
          <w:lang w:eastAsia="zh-CN"/>
        </w:rPr>
        <w:t>202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3</w:t>
      </w:r>
      <w:r w:rsidRPr="00034596">
        <w:rPr>
          <w:rFonts w:eastAsia="仿宋_GB2312" w:hint="eastAsia"/>
          <w:sz w:val="28"/>
          <w:szCs w:val="28"/>
          <w:lang w:eastAsia="zh-CN"/>
        </w:rPr>
        <w:t>年度预算总支出</w:t>
      </w:r>
      <w:r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720.72</w:t>
      </w:r>
      <w:r w:rsidRPr="00034596">
        <w:rPr>
          <w:rFonts w:eastAsia="仿宋_GB2312" w:hint="eastAsia"/>
          <w:sz w:val="28"/>
          <w:szCs w:val="28"/>
          <w:lang w:eastAsia="zh-CN"/>
        </w:rPr>
        <w:t>万元，其中：工资福利支出</w:t>
      </w:r>
      <w:r w:rsidR="00E06AAC"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157.28</w:t>
      </w:r>
      <w:r w:rsidRPr="00034596">
        <w:rPr>
          <w:rFonts w:eastAsia="仿宋_GB2312" w:hint="eastAsia"/>
          <w:sz w:val="28"/>
          <w:szCs w:val="28"/>
          <w:lang w:eastAsia="zh-CN"/>
        </w:rPr>
        <w:t>万元，商品和服务支出</w:t>
      </w:r>
      <w:r w:rsidR="00E06AAC"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171.19</w:t>
      </w:r>
      <w:r w:rsidRPr="00034596">
        <w:rPr>
          <w:rFonts w:eastAsia="仿宋_GB2312" w:hint="eastAsia"/>
          <w:sz w:val="28"/>
          <w:szCs w:val="28"/>
          <w:lang w:eastAsia="zh-CN"/>
        </w:rPr>
        <w:t>万元，对个人和家庭补助支出</w:t>
      </w:r>
      <w:r w:rsidR="00E06AAC"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32.38</w:t>
      </w:r>
      <w:r w:rsidRPr="00034596">
        <w:rPr>
          <w:rFonts w:eastAsia="仿宋_GB2312" w:hint="eastAsia"/>
          <w:sz w:val="28"/>
          <w:szCs w:val="28"/>
          <w:lang w:eastAsia="zh-CN"/>
        </w:rPr>
        <w:t>万元，对企事业单位的补贴</w:t>
      </w:r>
      <w:r w:rsidR="00E06AAC"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359.87</w:t>
      </w:r>
      <w:r w:rsidRPr="00034596">
        <w:rPr>
          <w:rFonts w:eastAsia="仿宋_GB2312" w:hint="eastAsia"/>
          <w:sz w:val="28"/>
          <w:szCs w:val="28"/>
          <w:lang w:eastAsia="zh-CN"/>
        </w:rPr>
        <w:t>万元，其他资本性支出</w:t>
      </w:r>
      <w:r w:rsidRPr="00034596">
        <w:rPr>
          <w:rFonts w:eastAsia="仿宋_GB2312" w:hint="eastAsia"/>
          <w:sz w:val="28"/>
          <w:szCs w:val="28"/>
          <w:lang w:eastAsia="zh-CN"/>
        </w:rPr>
        <w:t>0.00</w:t>
      </w:r>
      <w:r w:rsidRPr="00034596">
        <w:rPr>
          <w:rFonts w:eastAsia="仿宋_GB2312" w:hint="eastAsia"/>
          <w:sz w:val="28"/>
          <w:szCs w:val="28"/>
          <w:lang w:eastAsia="zh-CN"/>
        </w:rPr>
        <w:t>万元。</w:t>
      </w:r>
      <w:r w:rsidR="00E06AAC"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2023</w:t>
      </w:r>
      <w:r w:rsidRPr="00034596">
        <w:rPr>
          <w:rFonts w:eastAsia="仿宋_GB2312" w:hint="eastAsia"/>
          <w:sz w:val="28"/>
          <w:szCs w:val="28"/>
          <w:lang w:eastAsia="zh-CN"/>
        </w:rPr>
        <w:t>年度决算“三公”经费</w:t>
      </w:r>
      <w:r w:rsidR="00E06AAC"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0.40</w:t>
      </w:r>
      <w:r w:rsidRPr="00034596">
        <w:rPr>
          <w:rFonts w:eastAsia="仿宋_GB2312" w:hint="eastAsia"/>
          <w:sz w:val="28"/>
          <w:szCs w:val="28"/>
          <w:lang w:eastAsia="zh-CN"/>
        </w:rPr>
        <w:t>万元，其中：公务接</w:t>
      </w:r>
      <w:r w:rsidRPr="00034596">
        <w:rPr>
          <w:rFonts w:eastAsia="仿宋_GB2312" w:hint="eastAsia"/>
          <w:sz w:val="28"/>
          <w:szCs w:val="28"/>
          <w:lang w:eastAsia="zh-CN"/>
        </w:rPr>
        <w:lastRenderedPageBreak/>
        <w:t>待费</w:t>
      </w:r>
      <w:r w:rsidRPr="00034596">
        <w:rPr>
          <w:rFonts w:eastAsia="仿宋_GB2312" w:hint="eastAsia"/>
          <w:sz w:val="28"/>
          <w:szCs w:val="28"/>
          <w:lang w:eastAsia="zh-CN"/>
        </w:rPr>
        <w:t>0.</w:t>
      </w:r>
      <w:r w:rsidR="00E06AAC"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40</w:t>
      </w:r>
      <w:r w:rsidRPr="00034596">
        <w:rPr>
          <w:rFonts w:eastAsia="仿宋_GB2312" w:hint="eastAsia"/>
          <w:sz w:val="28"/>
          <w:szCs w:val="28"/>
          <w:lang w:eastAsia="zh-CN"/>
        </w:rPr>
        <w:t>万元，公务用车运行维护费</w:t>
      </w:r>
      <w:r w:rsidR="00E06AAC" w:rsidRPr="00034596">
        <w:rPr>
          <w:rFonts w:eastAsia="仿宋_GB2312" w:hint="eastAsia"/>
          <w:color w:val="000000" w:themeColor="text1"/>
          <w:sz w:val="28"/>
          <w:szCs w:val="28"/>
          <w:lang w:eastAsia="zh-CN"/>
        </w:rPr>
        <w:t>0</w:t>
      </w:r>
      <w:r w:rsidRPr="00034596">
        <w:rPr>
          <w:rFonts w:eastAsia="仿宋_GB2312" w:hint="eastAsia"/>
          <w:sz w:val="28"/>
          <w:szCs w:val="28"/>
          <w:lang w:eastAsia="zh-CN"/>
        </w:rPr>
        <w:t>万元，因公出国（境）费用</w:t>
      </w:r>
      <w:r w:rsidRPr="00034596">
        <w:rPr>
          <w:rFonts w:eastAsia="仿宋_GB2312" w:hint="eastAsia"/>
          <w:sz w:val="28"/>
          <w:szCs w:val="28"/>
          <w:lang w:eastAsia="zh-CN"/>
        </w:rPr>
        <w:t>0</w:t>
      </w:r>
      <w:r w:rsidRPr="00034596">
        <w:rPr>
          <w:rFonts w:eastAsia="仿宋_GB2312" w:hint="eastAsia"/>
          <w:sz w:val="28"/>
          <w:szCs w:val="28"/>
          <w:lang w:eastAsia="zh-CN"/>
        </w:rPr>
        <w:t>元。</w:t>
      </w:r>
    </w:p>
    <w:p w:rsidR="00E06AAC" w:rsidRPr="00034596" w:rsidRDefault="00E06AAC" w:rsidP="003B6B63">
      <w:pPr>
        <w:spacing w:line="360" w:lineRule="auto"/>
        <w:ind w:left="105" w:firstLine="420"/>
        <w:rPr>
          <w:rFonts w:eastAsia="仿宋_GB2312"/>
          <w:sz w:val="28"/>
          <w:szCs w:val="28"/>
          <w:lang w:eastAsia="zh-CN"/>
        </w:rPr>
      </w:pPr>
      <w:r w:rsidRPr="00034596">
        <w:rPr>
          <w:rFonts w:eastAsia="仿宋_GB2312" w:hint="eastAsia"/>
          <w:sz w:val="28"/>
          <w:szCs w:val="28"/>
          <w:lang w:eastAsia="zh-CN"/>
        </w:rPr>
        <w:t>（二）整体支出绩效情况</w:t>
      </w:r>
    </w:p>
    <w:p w:rsidR="00E06AAC" w:rsidRPr="00034596" w:rsidRDefault="00E06AAC" w:rsidP="0003459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2023年，在县委、县政府的坚强领导下，我局围绕省委“三高四新”战略定位，立足三园三基地建设任务，以“闯”为基调，以“稳”为基础，扎实推进商务战线各项工作，取得了一定成效：</w:t>
      </w:r>
    </w:p>
    <w:p w:rsidR="00E06AAC" w:rsidRPr="00034596" w:rsidRDefault="00E06AAC" w:rsidP="0003459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 w:rsidRPr="00034596"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CN"/>
        </w:rPr>
        <w:t>1、抓党建，固本强基。</w:t>
      </w: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深入学习贯彻总书记讲话和党的二十大精神，通过党组理论学习中心组专题学习研讨会、干部例会等，组织全体干部职工学原著、悟原理，切实把总书记的批示指示和党的二十大精神融入到各项工作当中。聚焦政治建设、思想建设、作风建设，认真开展“三会一课”“主题党日”等活动，2023年，全局共召开党组会议19次，党组中心组学习14次。坚持党建引领，形成了用制度管理人、用制度约束人、用制度激励人的良好机制。</w:t>
      </w:r>
    </w:p>
    <w:p w:rsidR="00E06AAC" w:rsidRPr="00034596" w:rsidRDefault="00E06AAC" w:rsidP="00034596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 w:rsidRPr="00034596"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CN"/>
        </w:rPr>
        <w:t>2、引项目，成效喜人。</w:t>
      </w: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一是围绕“三基地”建设任务，沿着新材料、新能源、文旅康养产业，开展产业链招商，打造产业集群，优化产业布局。全年新签约引进项目47个，投资额98.078亿元。上报市重点项目19个，总投资额82.63亿元，亿元以上项目24个（其中10亿元以上项目4个），总投资88.28亿元。“三类500强”企业完成3家，履约项目14个，履约率73.68%。二是定期开展“一把手”带队外出招商活动，县委、县政府主要领导开展外出招商活动12次，成效显著。三是大力开展湘商、炎商回归和返乡创业专项行动。全年引进湘商企业项目6个，湘商回株投资新注册企业5个，实际到位资金7.66亿元，完成内联引资66.57亿元。四是开展外资项目攻坚专项行动，引进外资项目1个，到位资金5.34万美元，利用外资成功破零。</w:t>
      </w:r>
    </w:p>
    <w:p w:rsidR="00E06AAC" w:rsidRPr="00034596" w:rsidRDefault="00E06AAC" w:rsidP="0003459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 w:rsidRPr="00034596"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CN"/>
        </w:rPr>
        <w:lastRenderedPageBreak/>
        <w:t>3、促消费，多措并举。</w:t>
      </w:r>
      <w:r w:rsidRPr="00034596">
        <w:rPr>
          <w:rFonts w:ascii="仿宋_GB2312" w:eastAsia="仿宋_GB2312" w:hAnsi="仿宋_GB2312" w:cs="仿宋_GB2312" w:hint="eastAsia"/>
          <w:kern w:val="2"/>
          <w:sz w:val="28"/>
          <w:szCs w:val="28"/>
          <w:lang w:eastAsia="zh-CN"/>
        </w:rPr>
        <w:t>2023年，全县完成社会消费品零售总额412985.8万元，同比增长6.5%</w:t>
      </w:r>
      <w:r w:rsidRPr="0003459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  <w:lang w:eastAsia="zh-CN"/>
        </w:rPr>
        <w:t>。</w:t>
      </w: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一是通过引导、组织企业参加数商兴农“第五届双品网购节”、元宵美食节活动等促消费活动，进一步激发消费潜力，引领消费升级。二是持续开展“一日一店”系列探店活动，通过“线上引流”“线下探店”，让更多消费者知晓本土美食、美物、美景，拓展消费领域。三是包装完善神农夜市，并成功申报为“首批湖南省夜间消费聚集示范区”，让一个文体旅商深度融合的夜间消费集聚区，变成新经济、新业态的孵化床。</w:t>
      </w:r>
    </w:p>
    <w:p w:rsidR="00E06AAC" w:rsidRPr="00034596" w:rsidRDefault="00E06AAC" w:rsidP="00034596">
      <w:pPr>
        <w:spacing w:line="360" w:lineRule="auto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  <w:lang w:eastAsia="zh-CN"/>
        </w:rPr>
      </w:pPr>
      <w:r w:rsidRPr="00034596"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CN"/>
        </w:rPr>
        <w:t>4、强外贸，开拓进取。</w:t>
      </w: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完成进出口总额3.88亿元，增幅8.8%，增幅排名全市第四。一是成功申报省2023年“外贸特色产业集群（新材料）”项目，引导40家新材料企业拓展海外市场，抓实外贸破零与“主体倍增”。二是</w:t>
      </w:r>
      <w:r w:rsidRPr="00034596"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积极促成鑫鑫蕾毛刷、龙翔钽铌等企业将出口业务转移至炎陵，</w:t>
      </w:r>
      <w:r w:rsidRPr="00034596">
        <w:rPr>
          <w:rFonts w:ascii="仿宋_GB2312" w:eastAsia="仿宋_GB2312" w:hAnsi="仿宋_GB2312" w:cs="仿宋_GB2312"/>
          <w:sz w:val="28"/>
          <w:szCs w:val="28"/>
          <w:lang w:eastAsia="zh-CN"/>
        </w:rPr>
        <w:t>全力抓稳业绩回流。</w:t>
      </w: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三是</w:t>
      </w:r>
      <w:r w:rsidRPr="00034596">
        <w:rPr>
          <w:rFonts w:ascii="仿宋_GB2312" w:eastAsia="仿宋_GB2312" w:hAnsi="仿宋_GB2312" w:cs="仿宋_GB2312"/>
          <w:sz w:val="28"/>
          <w:szCs w:val="28"/>
          <w:lang w:eastAsia="zh-CN"/>
        </w:rPr>
        <w:t>积极宣传国内外展会消息，鼓励企业开拓国际市场。欧科亿在莫斯科国际机床展</w:t>
      </w: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上</w:t>
      </w:r>
      <w:r w:rsidRPr="00034596">
        <w:rPr>
          <w:rFonts w:ascii="仿宋_GB2312" w:eastAsia="仿宋_GB2312" w:hAnsi="仿宋_GB2312" w:cs="仿宋_GB2312"/>
          <w:sz w:val="28"/>
          <w:szCs w:val="28"/>
          <w:lang w:eastAsia="zh-CN"/>
        </w:rPr>
        <w:t>，签约1.5亿元的订单，</w:t>
      </w: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创下</w:t>
      </w:r>
      <w:r w:rsidRPr="00034596">
        <w:rPr>
          <w:rFonts w:ascii="仿宋_GB2312" w:eastAsia="仿宋_GB2312" w:hAnsi="仿宋_GB2312" w:cs="仿宋_GB2312"/>
          <w:sz w:val="28"/>
          <w:szCs w:val="28"/>
          <w:lang w:eastAsia="zh-CN"/>
        </w:rPr>
        <w:t>炎陵县外贸企业单次展会、单个客户、单一国家的最大合同先例。</w:t>
      </w:r>
      <w:r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四是加快推进市开放发展“百日攻坚”行动，助力企业引进国内外先进技术服务和高素质专业人才，助力博友纳米公司打开非洲市场。</w:t>
      </w:r>
    </w:p>
    <w:p w:rsidR="00E06AAC" w:rsidRPr="00034596" w:rsidRDefault="00C472CF" w:rsidP="00034596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 w:rsidRPr="00034596"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CN"/>
        </w:rPr>
        <w:t>5、</w:t>
      </w:r>
      <w:r w:rsidR="00E06AAC" w:rsidRPr="00034596"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CN"/>
        </w:rPr>
        <w:t>培主体，统筹推进。</w:t>
      </w:r>
      <w:r w:rsidR="00E06AAC"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一是</w:t>
      </w:r>
      <w:r w:rsidR="00E06AAC" w:rsidRPr="00034596">
        <w:rPr>
          <w:rFonts w:ascii="仿宋_GB2312" w:eastAsia="仿宋_GB2312" w:hAnsi="仿宋_GB2312" w:cs="仿宋_GB2312"/>
          <w:sz w:val="28"/>
          <w:szCs w:val="28"/>
          <w:lang w:eastAsia="zh-CN"/>
        </w:rPr>
        <w:t>开展走访行动，积极</w:t>
      </w:r>
      <w:r w:rsidR="00E06AAC"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宣传政策</w:t>
      </w:r>
      <w:r w:rsidR="00E06AAC" w:rsidRPr="00034596">
        <w:rPr>
          <w:rFonts w:ascii="仿宋_GB2312" w:eastAsia="仿宋_GB2312" w:hAnsi="仿宋_GB2312" w:cs="仿宋_GB2312"/>
          <w:sz w:val="28"/>
          <w:szCs w:val="28"/>
          <w:lang w:eastAsia="zh-CN"/>
        </w:rPr>
        <w:t>，引导企业</w:t>
      </w:r>
      <w:r w:rsidR="00E06AAC"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主动</w:t>
      </w:r>
      <w:r w:rsidR="00E06AAC" w:rsidRPr="00034596">
        <w:rPr>
          <w:rFonts w:ascii="仿宋_GB2312" w:eastAsia="仿宋_GB2312" w:hAnsi="仿宋_GB2312" w:cs="仿宋_GB2312"/>
          <w:sz w:val="28"/>
          <w:szCs w:val="28"/>
          <w:lang w:eastAsia="zh-CN"/>
        </w:rPr>
        <w:t>申报</w:t>
      </w:r>
      <w:r w:rsidR="00E06AAC"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“四上企业”。现已培育市场主体36家，摸底走访企业65家，全县完成商贸“四上”入统11家，其中批发、零售各2家，餐饮7家。二是强化行业指导培训，积极做好五经普工作。</w:t>
      </w:r>
    </w:p>
    <w:p w:rsidR="00E06AAC" w:rsidRPr="00034596" w:rsidRDefault="00C472CF" w:rsidP="00034596">
      <w:pPr>
        <w:spacing w:line="360" w:lineRule="auto"/>
        <w:ind w:firstLineChars="200" w:firstLine="560"/>
        <w:rPr>
          <w:rFonts w:ascii="楷体_GB2312" w:eastAsia="楷体_GB2312" w:hAnsi="楷体_GB2312" w:cs="楷体_GB2312"/>
          <w:sz w:val="28"/>
          <w:szCs w:val="28"/>
          <w:lang w:eastAsia="zh-CN"/>
        </w:rPr>
      </w:pPr>
      <w:r w:rsidRPr="00034596"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CN"/>
        </w:rPr>
        <w:t>6、</w:t>
      </w:r>
      <w:r w:rsidR="00E06AAC" w:rsidRPr="00034596">
        <w:rPr>
          <w:rFonts w:ascii="楷体_GB2312" w:eastAsia="楷体_GB2312" w:hAnsi="楷体_GB2312" w:cs="楷体_GB2312" w:hint="eastAsia"/>
          <w:b/>
          <w:bCs/>
          <w:sz w:val="28"/>
          <w:szCs w:val="28"/>
          <w:lang w:eastAsia="zh-CN"/>
        </w:rPr>
        <w:t>优电商，融合创新。</w:t>
      </w:r>
      <w:r w:rsidR="00E06AAC"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一是通过集群成链、完善功能配套、城乡结合等方式打造炎陵县电商产业生态圈，引入知名电商企业延伸服</w:t>
      </w:r>
      <w:r w:rsidR="00E06AAC" w:rsidRPr="0003459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lastRenderedPageBreak/>
        <w:t>务炎陵。2023年，农产品电商销售额5.93亿元，保持稳步增长态势。二是积极开展普及、技能、创业三级渐进培训活动，开展各类实用层次的电商培训38期，培训900余人次，惠及全县所有乡镇，覆盖率100%。三是开展电商融合创新创业行动，新增电商主体56家、孵化跨境电商企业2家，持续增强电商产业生态与活力。</w:t>
      </w:r>
    </w:p>
    <w:p w:rsidR="00FC3320" w:rsidRDefault="0073565D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七、</w:t>
      </w:r>
      <w:r>
        <w:rPr>
          <w:rFonts w:ascii="Times New Roman" w:eastAsia="黑体" w:hAnsi="Times New Roman"/>
          <w:sz w:val="32"/>
          <w:szCs w:val="32"/>
          <w:lang w:eastAsia="zh-CN"/>
        </w:rPr>
        <w:t>存在的问题及原因分析</w:t>
      </w:r>
    </w:p>
    <w:p w:rsidR="00C472CF" w:rsidRPr="00034596" w:rsidRDefault="00C472CF" w:rsidP="00034596">
      <w:pPr>
        <w:pStyle w:val="a5"/>
        <w:spacing w:line="360" w:lineRule="auto"/>
        <w:ind w:firstLineChars="100" w:firstLine="280"/>
        <w:rPr>
          <w:rFonts w:ascii="宋体" w:hAnsi="宋体" w:cs="宋体"/>
          <w:sz w:val="28"/>
          <w:szCs w:val="28"/>
          <w:lang w:eastAsia="zh-CN"/>
        </w:rPr>
      </w:pPr>
      <w:r w:rsidRPr="00034596">
        <w:rPr>
          <w:rFonts w:ascii="Times New Roman" w:eastAsia="仿宋_GB2312" w:hAnsi="Times New Roman" w:hint="eastAsia"/>
          <w:sz w:val="28"/>
          <w:szCs w:val="28"/>
          <w:lang w:eastAsia="zh-CN"/>
        </w:rPr>
        <w:t>因年初预算支出经费不足，造成年中大批量追加支出预算，造成预决算差距较大。建议县财政能在年初预算中安排单位常年开展的专项经费，以减少决算与年初预算的差异</w:t>
      </w:r>
      <w:r w:rsidRPr="00034596">
        <w:rPr>
          <w:rFonts w:ascii="宋体" w:hAnsi="宋体" w:cs="宋体" w:hint="eastAsia"/>
          <w:sz w:val="28"/>
          <w:szCs w:val="28"/>
          <w:lang w:eastAsia="zh-CN"/>
        </w:rPr>
        <w:t>。</w:t>
      </w:r>
    </w:p>
    <w:p w:rsidR="00FC3320" w:rsidRDefault="0073565D">
      <w:pPr>
        <w:spacing w:line="520" w:lineRule="exact"/>
        <w:ind w:firstLineChars="200" w:firstLine="640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  <w:lang w:eastAsia="zh-CN"/>
        </w:rPr>
        <w:t>、下一步改进措施</w:t>
      </w:r>
    </w:p>
    <w:p w:rsidR="00C472CF" w:rsidRPr="00034596" w:rsidRDefault="00C472CF" w:rsidP="003B6B63">
      <w:pPr>
        <w:shd w:val="clear" w:color="auto" w:fill="FFFFFF"/>
        <w:spacing w:line="360" w:lineRule="auto"/>
        <w:ind w:firstLine="550"/>
        <w:rPr>
          <w:rFonts w:eastAsia="仿宋_GB2312"/>
          <w:sz w:val="28"/>
          <w:szCs w:val="28"/>
          <w:lang w:eastAsia="zh-CN"/>
        </w:rPr>
      </w:pPr>
      <w:r w:rsidRPr="00034596">
        <w:rPr>
          <w:rFonts w:eastAsia="仿宋_GB2312" w:hint="eastAsia"/>
          <w:sz w:val="28"/>
          <w:szCs w:val="28"/>
          <w:lang w:eastAsia="zh-CN"/>
        </w:rPr>
        <w:t>加强监管，进一步完善财务制度，规范财经纪律，坚决把权力关进制度的笼子里，实行会计和报帐员一人一岗，钱、账分离。严格落实专项资金使用管理规定，做到专款专用。同时应及时与财政部门衔接，做好专项资金的预算安排，调增人员基本支出的预算安排。</w:t>
      </w:r>
    </w:p>
    <w:p w:rsidR="00FC3320" w:rsidRDefault="0073565D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  <w:lang w:eastAsia="zh-CN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  <w:lang w:eastAsia="zh-CN"/>
        </w:rPr>
        <w:t>其他需要说明的情况</w:t>
      </w:r>
    </w:p>
    <w:p w:rsidR="00FC3320" w:rsidRPr="00034596" w:rsidRDefault="00CD2E8F">
      <w:pPr>
        <w:spacing w:line="560" w:lineRule="exact"/>
        <w:rPr>
          <w:sz w:val="28"/>
          <w:szCs w:val="28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</w:t>
      </w:r>
      <w:r w:rsidRPr="00034596">
        <w:rPr>
          <w:rFonts w:eastAsia="仿宋_GB2312" w:hint="eastAsia"/>
          <w:sz w:val="28"/>
          <w:szCs w:val="28"/>
          <w:lang w:eastAsia="zh-CN"/>
        </w:rPr>
        <w:t xml:space="preserve">  </w:t>
      </w:r>
      <w:r w:rsidRPr="00034596">
        <w:rPr>
          <w:rFonts w:eastAsia="仿宋_GB2312" w:hint="eastAsia"/>
          <w:sz w:val="28"/>
          <w:szCs w:val="28"/>
          <w:lang w:eastAsia="zh-CN"/>
        </w:rPr>
        <w:t>绩效自评结果为优，无</w:t>
      </w:r>
      <w:r w:rsidRPr="00034596">
        <w:rPr>
          <w:rFonts w:eastAsia="仿宋_GB2312"/>
          <w:sz w:val="28"/>
          <w:szCs w:val="28"/>
          <w:lang w:eastAsia="zh-CN"/>
        </w:rPr>
        <w:t>其他需要说明的情</w:t>
      </w:r>
      <w:r w:rsidRPr="00034596">
        <w:rPr>
          <w:rFonts w:eastAsia="仿宋_GB2312" w:hint="eastAsia"/>
          <w:sz w:val="28"/>
          <w:szCs w:val="28"/>
          <w:lang w:eastAsia="zh-CN"/>
        </w:rPr>
        <w:t>况。</w:t>
      </w:r>
    </w:p>
    <w:sectPr w:rsidR="00FC3320" w:rsidRPr="00034596" w:rsidSect="00FC33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0D" w:rsidRDefault="00AF5F0D">
      <w:r>
        <w:separator/>
      </w:r>
    </w:p>
  </w:endnote>
  <w:endnote w:type="continuationSeparator" w:id="1">
    <w:p w:rsidR="00AF5F0D" w:rsidRDefault="00AF5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20" w:rsidRDefault="00FC3320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0D" w:rsidRDefault="00AF5F0D">
      <w:r>
        <w:separator/>
      </w:r>
    </w:p>
  </w:footnote>
  <w:footnote w:type="continuationSeparator" w:id="1">
    <w:p w:rsidR="00AF5F0D" w:rsidRDefault="00AF5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wYjM2OWEwNDQ4ZmQ3Yzg4MmVhMWNlZTIyZTQ4MWMifQ=="/>
  </w:docVars>
  <w:rsids>
    <w:rsidRoot w:val="00FC3320"/>
    <w:rsid w:val="00034596"/>
    <w:rsid w:val="000F37F3"/>
    <w:rsid w:val="00144391"/>
    <w:rsid w:val="0021538F"/>
    <w:rsid w:val="00316534"/>
    <w:rsid w:val="003B6B63"/>
    <w:rsid w:val="003E750D"/>
    <w:rsid w:val="003F0B8A"/>
    <w:rsid w:val="00400A43"/>
    <w:rsid w:val="00410D41"/>
    <w:rsid w:val="00464F22"/>
    <w:rsid w:val="00486325"/>
    <w:rsid w:val="005A6E06"/>
    <w:rsid w:val="006F6DF4"/>
    <w:rsid w:val="0073565D"/>
    <w:rsid w:val="00803061"/>
    <w:rsid w:val="00823C51"/>
    <w:rsid w:val="00831A84"/>
    <w:rsid w:val="00AF5F0D"/>
    <w:rsid w:val="00C472CF"/>
    <w:rsid w:val="00CD2E8F"/>
    <w:rsid w:val="00D731AB"/>
    <w:rsid w:val="00E06AAC"/>
    <w:rsid w:val="00FA7298"/>
    <w:rsid w:val="00FC3320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C332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C3320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FC332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FC3320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665</Words>
  <Characters>3794</Characters>
  <Application>Microsoft Office Word</Application>
  <DocSecurity>0</DocSecurity>
  <Lines>31</Lines>
  <Paragraphs>8</Paragraphs>
  <ScaleCrop>false</ScaleCrop>
  <Company>微软公司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Administrator</cp:lastModifiedBy>
  <cp:revision>14</cp:revision>
  <dcterms:created xsi:type="dcterms:W3CDTF">2024-08-12T02:40:00Z</dcterms:created>
  <dcterms:modified xsi:type="dcterms:W3CDTF">2024-09-04T08:06:00Z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