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AC0AB">
      <w:pPr>
        <w:spacing w:line="560" w:lineRule="exact"/>
        <w:jc w:val="center"/>
        <w:rPr>
          <w:rFonts w:hint="eastAsia" w:eastAsia="楷体_GB2312"/>
          <w:bCs/>
          <w:kern w:val="0"/>
          <w:sz w:val="32"/>
          <w:szCs w:val="32"/>
        </w:rPr>
      </w:pPr>
      <w:r>
        <w:rPr>
          <w:rFonts w:eastAsia="方正小标宋简体"/>
          <w:bCs/>
          <w:kern w:val="0"/>
          <w:sz w:val="36"/>
          <w:szCs w:val="36"/>
        </w:rPr>
        <w:t>部门整体支出绩效综合评价报告表</w:t>
      </w:r>
      <w:r>
        <w:rPr>
          <w:rFonts w:eastAsia="方正小标宋简体"/>
          <w:bCs/>
          <w:kern w:val="0"/>
          <w:sz w:val="44"/>
          <w:szCs w:val="44"/>
        </w:rPr>
        <w:br w:type="textWrapping"/>
      </w:r>
      <w:r>
        <w:rPr>
          <w:rFonts w:eastAsia="楷体_GB2312"/>
          <w:bCs/>
          <w:kern w:val="0"/>
          <w:sz w:val="32"/>
          <w:szCs w:val="32"/>
        </w:rPr>
        <w:t>（20</w:t>
      </w:r>
      <w:r>
        <w:rPr>
          <w:rFonts w:hint="eastAsia" w:eastAsia="楷体_GB2312"/>
          <w:bCs/>
          <w:kern w:val="0"/>
          <w:sz w:val="32"/>
          <w:szCs w:val="32"/>
        </w:rPr>
        <w:t>2</w:t>
      </w:r>
      <w:r>
        <w:rPr>
          <w:rFonts w:hint="eastAsia" w:eastAsia="楷体_GB2312"/>
          <w:bCs/>
          <w:kern w:val="0"/>
          <w:sz w:val="32"/>
          <w:szCs w:val="32"/>
          <w:lang w:val="en-US" w:eastAsia="zh-CN"/>
        </w:rPr>
        <w:t>3</w:t>
      </w:r>
      <w:r>
        <w:rPr>
          <w:rFonts w:eastAsia="楷体_GB2312"/>
          <w:bCs/>
          <w:kern w:val="0"/>
          <w:sz w:val="32"/>
          <w:szCs w:val="32"/>
        </w:rPr>
        <w:t>年度）</w:t>
      </w:r>
    </w:p>
    <w:p w14:paraId="0F7AA166">
      <w:pPr>
        <w:spacing w:line="560" w:lineRule="exact"/>
        <w:ind w:left="-630" w:leftChars="-300"/>
        <w:jc w:val="left"/>
        <w:rPr>
          <w:rFonts w:eastAsia="楷体_GB2312"/>
          <w:bCs/>
          <w:kern w:val="0"/>
          <w:sz w:val="32"/>
          <w:szCs w:val="32"/>
        </w:rPr>
      </w:pPr>
      <w:r>
        <w:rPr>
          <w:kern w:val="0"/>
          <w:szCs w:val="21"/>
        </w:rPr>
        <w:t>填报单位（盖章）</w:t>
      </w:r>
      <w:r>
        <w:rPr>
          <w:rFonts w:eastAsia="黑体"/>
          <w:kern w:val="0"/>
          <w:szCs w:val="21"/>
        </w:rPr>
        <w:t>：</w:t>
      </w:r>
      <w:r>
        <w:rPr>
          <w:rFonts w:eastAsia="黑体"/>
          <w:kern w:val="0"/>
          <w:szCs w:val="21"/>
        </w:rPr>
        <w:tab/>
      </w:r>
      <w:r>
        <w:rPr>
          <w:rFonts w:hint="eastAsia" w:eastAsia="黑体"/>
          <w:kern w:val="0"/>
          <w:szCs w:val="21"/>
        </w:rPr>
        <w:t>炎陵县审计局</w:t>
      </w:r>
    </w:p>
    <w:tbl>
      <w:tblPr>
        <w:tblStyle w:val="5"/>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1200"/>
        <w:gridCol w:w="585"/>
        <w:gridCol w:w="595"/>
        <w:gridCol w:w="1560"/>
        <w:gridCol w:w="3200"/>
      </w:tblGrid>
      <w:tr w14:paraId="0F92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880" w:type="dxa"/>
            <w:gridSpan w:val="4"/>
            <w:tcBorders>
              <w:top w:val="single" w:color="auto" w:sz="4" w:space="0"/>
              <w:left w:val="single" w:color="auto" w:sz="4" w:space="0"/>
              <w:bottom w:val="single" w:color="auto" w:sz="4" w:space="0"/>
              <w:right w:val="single" w:color="auto" w:sz="4" w:space="0"/>
            </w:tcBorders>
            <w:vAlign w:val="bottom"/>
          </w:tcPr>
          <w:p w14:paraId="7EE32D7D">
            <w:pPr>
              <w:widowControl/>
              <w:spacing w:line="560" w:lineRule="exact"/>
              <w:rPr>
                <w:rFonts w:eastAsia="黑体"/>
                <w:kern w:val="0"/>
                <w:szCs w:val="21"/>
              </w:rPr>
            </w:pPr>
            <w:r>
              <w:rPr>
                <w:kern w:val="0"/>
                <w:szCs w:val="21"/>
              </w:rPr>
              <w:t>部门（单位）名称：</w:t>
            </w:r>
            <w:r>
              <w:rPr>
                <w:rFonts w:eastAsia="黑体"/>
                <w:kern w:val="0"/>
                <w:szCs w:val="21"/>
              </w:rPr>
              <w:t>　</w:t>
            </w:r>
            <w:r>
              <w:rPr>
                <w:rFonts w:hint="eastAsia" w:eastAsia="黑体"/>
                <w:kern w:val="0"/>
                <w:szCs w:val="21"/>
              </w:rPr>
              <w:t>炎陵县审计局</w:t>
            </w:r>
          </w:p>
        </w:tc>
        <w:tc>
          <w:tcPr>
            <w:tcW w:w="4760" w:type="dxa"/>
            <w:gridSpan w:val="2"/>
            <w:tcBorders>
              <w:top w:val="single" w:color="auto" w:sz="4" w:space="0"/>
              <w:left w:val="single" w:color="auto" w:sz="4" w:space="0"/>
              <w:bottom w:val="single" w:color="auto" w:sz="4" w:space="0"/>
              <w:right w:val="single" w:color="auto" w:sz="4" w:space="0"/>
            </w:tcBorders>
            <w:vAlign w:val="bottom"/>
          </w:tcPr>
          <w:p w14:paraId="2D549C0B">
            <w:pPr>
              <w:widowControl/>
              <w:spacing w:line="560" w:lineRule="exact"/>
              <w:rPr>
                <w:rFonts w:hint="eastAsia" w:eastAsia="宋体"/>
                <w:kern w:val="0"/>
                <w:szCs w:val="21"/>
                <w:lang w:eastAsia="zh-CN"/>
              </w:rPr>
            </w:pPr>
            <w:r>
              <w:rPr>
                <w:kern w:val="0"/>
                <w:szCs w:val="21"/>
              </w:rPr>
              <w:t>单位负责人</w:t>
            </w:r>
            <w:r>
              <w:rPr>
                <w:rFonts w:hint="eastAsia"/>
                <w:kern w:val="0"/>
                <w:szCs w:val="21"/>
              </w:rPr>
              <w:t>：</w:t>
            </w:r>
            <w:r>
              <w:rPr>
                <w:rFonts w:hint="eastAsia"/>
                <w:kern w:val="0"/>
                <w:szCs w:val="21"/>
                <w:lang w:eastAsia="zh-CN"/>
              </w:rPr>
              <w:t>刘章平</w:t>
            </w:r>
          </w:p>
        </w:tc>
      </w:tr>
      <w:tr w14:paraId="2E0E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85" w:type="dxa"/>
            <w:gridSpan w:val="3"/>
            <w:tcBorders>
              <w:top w:val="single" w:color="auto" w:sz="4" w:space="0"/>
              <w:left w:val="single" w:color="auto" w:sz="4" w:space="0"/>
              <w:bottom w:val="single" w:color="auto" w:sz="4" w:space="0"/>
              <w:right w:val="single" w:color="auto" w:sz="4" w:space="0"/>
            </w:tcBorders>
            <w:vAlign w:val="bottom"/>
          </w:tcPr>
          <w:p w14:paraId="24AEEA43">
            <w:pPr>
              <w:widowControl/>
              <w:spacing w:line="560" w:lineRule="exact"/>
              <w:rPr>
                <w:kern w:val="0"/>
                <w:szCs w:val="21"/>
              </w:rPr>
            </w:pPr>
            <w:r>
              <w:rPr>
                <w:kern w:val="0"/>
                <w:szCs w:val="21"/>
              </w:rPr>
              <w:t xml:space="preserve">年末职工人数： </w:t>
            </w:r>
            <w:r>
              <w:rPr>
                <w:rFonts w:hint="eastAsia"/>
                <w:kern w:val="0"/>
                <w:szCs w:val="21"/>
                <w:lang w:val="en-US" w:eastAsia="zh-CN"/>
              </w:rPr>
              <w:t>20</w:t>
            </w:r>
            <w:r>
              <w:rPr>
                <w:kern w:val="0"/>
                <w:szCs w:val="21"/>
              </w:rPr>
              <w:t>人（人员编制：</w:t>
            </w:r>
            <w:r>
              <w:rPr>
                <w:rFonts w:hint="eastAsia"/>
                <w:kern w:val="0"/>
                <w:szCs w:val="21"/>
              </w:rPr>
              <w:t>23</w:t>
            </w:r>
            <w:r>
              <w:rPr>
                <w:kern w:val="0"/>
                <w:szCs w:val="21"/>
              </w:rPr>
              <w:t>人）</w:t>
            </w:r>
          </w:p>
        </w:tc>
        <w:tc>
          <w:tcPr>
            <w:tcW w:w="5355" w:type="dxa"/>
            <w:gridSpan w:val="3"/>
            <w:tcBorders>
              <w:top w:val="single" w:color="auto" w:sz="4" w:space="0"/>
              <w:left w:val="single" w:color="auto" w:sz="4" w:space="0"/>
              <w:bottom w:val="single" w:color="auto" w:sz="4" w:space="0"/>
              <w:right w:val="single" w:color="auto" w:sz="4" w:space="0"/>
            </w:tcBorders>
            <w:vAlign w:val="bottom"/>
          </w:tcPr>
          <w:p w14:paraId="09A016FB">
            <w:pPr>
              <w:widowControl/>
              <w:spacing w:line="560" w:lineRule="exact"/>
              <w:rPr>
                <w:kern w:val="0"/>
                <w:szCs w:val="21"/>
              </w:rPr>
            </w:pPr>
            <w:r>
              <w:rPr>
                <w:kern w:val="0"/>
                <w:szCs w:val="21"/>
              </w:rPr>
              <w:t>年末资产总额：</w:t>
            </w:r>
            <w:r>
              <w:rPr>
                <w:rFonts w:hint="eastAsia"/>
                <w:kern w:val="0"/>
                <w:szCs w:val="21"/>
                <w:lang w:val="en-US" w:eastAsia="zh-CN"/>
              </w:rPr>
              <w:t>263.11</w:t>
            </w:r>
            <w:r>
              <w:rPr>
                <w:kern w:val="0"/>
                <w:szCs w:val="21"/>
              </w:rPr>
              <w:t xml:space="preserve"> 万元；负债总额： </w:t>
            </w:r>
            <w:r>
              <w:rPr>
                <w:rFonts w:hint="eastAsia"/>
                <w:kern w:val="0"/>
                <w:szCs w:val="21"/>
                <w:lang w:val="en-US" w:eastAsia="zh-CN"/>
              </w:rPr>
              <w:t>95.99</w:t>
            </w:r>
            <w:r>
              <w:rPr>
                <w:kern w:val="0"/>
                <w:szCs w:val="21"/>
              </w:rPr>
              <w:t xml:space="preserve"> 万元</w:t>
            </w:r>
          </w:p>
        </w:tc>
      </w:tr>
      <w:tr w14:paraId="36AB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2500" w:type="dxa"/>
            <w:vMerge w:val="restart"/>
            <w:tcBorders>
              <w:top w:val="single" w:color="auto" w:sz="4" w:space="0"/>
              <w:left w:val="single" w:color="auto" w:sz="4" w:space="0"/>
              <w:bottom w:val="single" w:color="auto" w:sz="4" w:space="0"/>
              <w:right w:val="single" w:color="auto" w:sz="4" w:space="0"/>
            </w:tcBorders>
            <w:vAlign w:val="center"/>
          </w:tcPr>
          <w:p w14:paraId="2E3AC4A3">
            <w:pPr>
              <w:widowControl/>
              <w:spacing w:line="560" w:lineRule="exact"/>
              <w:jc w:val="center"/>
              <w:rPr>
                <w:kern w:val="0"/>
                <w:szCs w:val="21"/>
              </w:rPr>
            </w:pPr>
            <w:r>
              <w:rPr>
                <w:kern w:val="0"/>
                <w:szCs w:val="21"/>
              </w:rPr>
              <w:t>年度预算收支情况</w:t>
            </w:r>
            <w:r>
              <w:rPr>
                <w:kern w:val="0"/>
                <w:szCs w:val="21"/>
              </w:rPr>
              <w:br w:type="textWrapping"/>
            </w:r>
            <w:r>
              <w:rPr>
                <w:kern w:val="0"/>
                <w:szCs w:val="21"/>
              </w:rPr>
              <w:t>（万元）</w:t>
            </w:r>
          </w:p>
        </w:tc>
        <w:tc>
          <w:tcPr>
            <w:tcW w:w="7140" w:type="dxa"/>
            <w:gridSpan w:val="5"/>
            <w:tcBorders>
              <w:top w:val="single" w:color="auto" w:sz="4" w:space="0"/>
              <w:left w:val="single" w:color="auto" w:sz="4" w:space="0"/>
              <w:bottom w:val="single" w:color="auto" w:sz="4" w:space="0"/>
              <w:right w:val="single" w:color="auto" w:sz="4" w:space="0"/>
            </w:tcBorders>
            <w:vAlign w:val="center"/>
          </w:tcPr>
          <w:p w14:paraId="09D0EF24">
            <w:pPr>
              <w:widowControl/>
              <w:spacing w:line="560" w:lineRule="exact"/>
              <w:jc w:val="left"/>
              <w:rPr>
                <w:rFonts w:hint="default" w:eastAsia="宋体"/>
                <w:kern w:val="0"/>
                <w:szCs w:val="21"/>
                <w:lang w:val="en-US" w:eastAsia="zh-CN"/>
              </w:rPr>
            </w:pPr>
            <w:r>
              <w:rPr>
                <w:kern w:val="0"/>
                <w:szCs w:val="21"/>
              </w:rPr>
              <w:t>年初预算资金：</w:t>
            </w:r>
            <w:r>
              <w:rPr>
                <w:rFonts w:hint="eastAsia"/>
                <w:kern w:val="0"/>
                <w:szCs w:val="21"/>
                <w:lang w:val="en-US" w:eastAsia="zh-CN"/>
              </w:rPr>
              <w:t>335.32万元</w:t>
            </w:r>
          </w:p>
        </w:tc>
      </w:tr>
      <w:tr w14:paraId="3DF8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14:paraId="33035840"/>
        </w:tc>
        <w:tc>
          <w:tcPr>
            <w:tcW w:w="3940" w:type="dxa"/>
            <w:gridSpan w:val="4"/>
            <w:tcBorders>
              <w:top w:val="single" w:color="auto" w:sz="4" w:space="0"/>
              <w:left w:val="single" w:color="auto" w:sz="4" w:space="0"/>
              <w:bottom w:val="single" w:color="auto" w:sz="4" w:space="0"/>
              <w:right w:val="single" w:color="auto" w:sz="4" w:space="0"/>
            </w:tcBorders>
            <w:vAlign w:val="center"/>
          </w:tcPr>
          <w:p w14:paraId="2A5EF94F">
            <w:pPr>
              <w:widowControl/>
              <w:spacing w:line="560" w:lineRule="exact"/>
              <w:jc w:val="left"/>
              <w:rPr>
                <w:rFonts w:hint="default" w:eastAsia="宋体"/>
                <w:kern w:val="0"/>
                <w:szCs w:val="21"/>
                <w:lang w:val="en-US" w:eastAsia="zh-CN"/>
              </w:rPr>
            </w:pPr>
            <w:r>
              <w:rPr>
                <w:kern w:val="0"/>
                <w:szCs w:val="21"/>
              </w:rPr>
              <w:t>年度收入总额：</w:t>
            </w:r>
            <w:r>
              <w:rPr>
                <w:rFonts w:hint="eastAsia"/>
                <w:kern w:val="0"/>
                <w:szCs w:val="21"/>
                <w:lang w:val="en-US" w:eastAsia="zh-CN"/>
              </w:rPr>
              <w:t>619.5万元</w:t>
            </w:r>
          </w:p>
        </w:tc>
        <w:tc>
          <w:tcPr>
            <w:tcW w:w="3200" w:type="dxa"/>
            <w:tcBorders>
              <w:top w:val="single" w:color="auto" w:sz="4" w:space="0"/>
              <w:left w:val="single" w:color="auto" w:sz="4" w:space="0"/>
              <w:bottom w:val="single" w:color="auto" w:sz="4" w:space="0"/>
              <w:right w:val="single" w:color="auto" w:sz="4" w:space="0"/>
            </w:tcBorders>
            <w:vAlign w:val="center"/>
          </w:tcPr>
          <w:p w14:paraId="63B7DE2E">
            <w:pPr>
              <w:widowControl/>
              <w:spacing w:line="560" w:lineRule="exact"/>
              <w:jc w:val="left"/>
              <w:rPr>
                <w:rFonts w:hint="default" w:eastAsia="宋体"/>
                <w:kern w:val="0"/>
                <w:szCs w:val="21"/>
                <w:lang w:val="en-US" w:eastAsia="zh-CN"/>
              </w:rPr>
            </w:pPr>
            <w:r>
              <w:rPr>
                <w:kern w:val="0"/>
                <w:szCs w:val="21"/>
              </w:rPr>
              <w:t>年度支出总额：</w:t>
            </w:r>
            <w:r>
              <w:rPr>
                <w:rFonts w:hint="eastAsia"/>
                <w:kern w:val="0"/>
                <w:szCs w:val="21"/>
                <w:lang w:val="en-US" w:eastAsia="zh-CN"/>
              </w:rPr>
              <w:t>619.5万元</w:t>
            </w:r>
          </w:p>
        </w:tc>
      </w:tr>
      <w:tr w14:paraId="5B29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14:paraId="433DBF10"/>
        </w:tc>
        <w:tc>
          <w:tcPr>
            <w:tcW w:w="3940" w:type="dxa"/>
            <w:gridSpan w:val="4"/>
            <w:tcBorders>
              <w:top w:val="single" w:color="auto" w:sz="4" w:space="0"/>
              <w:left w:val="single" w:color="auto" w:sz="4" w:space="0"/>
              <w:bottom w:val="single" w:color="auto" w:sz="4" w:space="0"/>
              <w:right w:val="single" w:color="auto" w:sz="4" w:space="0"/>
            </w:tcBorders>
            <w:vAlign w:val="center"/>
          </w:tcPr>
          <w:p w14:paraId="59A660AF">
            <w:pPr>
              <w:widowControl/>
              <w:spacing w:line="560" w:lineRule="exact"/>
              <w:ind w:firstLine="105" w:firstLineChars="50"/>
              <w:jc w:val="left"/>
              <w:rPr>
                <w:rFonts w:hint="default" w:eastAsia="宋体"/>
                <w:kern w:val="0"/>
                <w:szCs w:val="21"/>
                <w:lang w:val="en-US" w:eastAsia="zh-CN"/>
              </w:rPr>
            </w:pPr>
            <w:r>
              <w:rPr>
                <w:kern w:val="0"/>
                <w:szCs w:val="21"/>
              </w:rPr>
              <w:t>其中：  公共财政拨款：</w:t>
            </w:r>
            <w:r>
              <w:rPr>
                <w:rFonts w:hint="eastAsia"/>
                <w:kern w:val="0"/>
                <w:szCs w:val="21"/>
                <w:lang w:val="en-US" w:eastAsia="zh-CN"/>
              </w:rPr>
              <w:t>419.86万元</w:t>
            </w:r>
          </w:p>
        </w:tc>
        <w:tc>
          <w:tcPr>
            <w:tcW w:w="3200" w:type="dxa"/>
            <w:tcBorders>
              <w:top w:val="single" w:color="auto" w:sz="4" w:space="0"/>
              <w:left w:val="single" w:color="auto" w:sz="4" w:space="0"/>
              <w:bottom w:val="single" w:color="auto" w:sz="4" w:space="0"/>
              <w:right w:val="single" w:color="auto" w:sz="4" w:space="0"/>
            </w:tcBorders>
            <w:vAlign w:val="center"/>
          </w:tcPr>
          <w:p w14:paraId="22702608">
            <w:pPr>
              <w:widowControl/>
              <w:spacing w:line="560" w:lineRule="exact"/>
              <w:jc w:val="left"/>
              <w:rPr>
                <w:rFonts w:hint="default" w:eastAsia="宋体"/>
                <w:kern w:val="0"/>
                <w:szCs w:val="21"/>
                <w:lang w:val="en-US" w:eastAsia="zh-CN"/>
              </w:rPr>
            </w:pPr>
            <w:r>
              <w:rPr>
                <w:kern w:val="0"/>
                <w:szCs w:val="21"/>
              </w:rPr>
              <w:t>其中： 基本支出：</w:t>
            </w:r>
            <w:r>
              <w:rPr>
                <w:rFonts w:hint="eastAsia"/>
                <w:kern w:val="0"/>
                <w:szCs w:val="21"/>
                <w:lang w:val="en-US" w:eastAsia="zh-CN"/>
              </w:rPr>
              <w:t>619.5万元</w:t>
            </w:r>
          </w:p>
        </w:tc>
      </w:tr>
      <w:tr w14:paraId="2075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14:paraId="06196601"/>
        </w:tc>
        <w:tc>
          <w:tcPr>
            <w:tcW w:w="3940" w:type="dxa"/>
            <w:gridSpan w:val="4"/>
            <w:tcBorders>
              <w:top w:val="single" w:color="auto" w:sz="4" w:space="0"/>
              <w:left w:val="single" w:color="auto" w:sz="4" w:space="0"/>
              <w:bottom w:val="single" w:color="auto" w:sz="4" w:space="0"/>
              <w:right w:val="single" w:color="auto" w:sz="4" w:space="0"/>
            </w:tcBorders>
            <w:vAlign w:val="center"/>
          </w:tcPr>
          <w:p w14:paraId="18865C43">
            <w:pPr>
              <w:widowControl/>
              <w:spacing w:line="560" w:lineRule="exact"/>
              <w:jc w:val="left"/>
              <w:rPr>
                <w:rFonts w:hint="default" w:eastAsia="宋体"/>
                <w:kern w:val="0"/>
                <w:szCs w:val="21"/>
                <w:lang w:val="en-US" w:eastAsia="zh-CN"/>
              </w:rPr>
            </w:pPr>
            <w:r>
              <w:rPr>
                <w:kern w:val="0"/>
                <w:szCs w:val="21"/>
              </w:rPr>
              <w:t xml:space="preserve">         政府性基金拨款：</w:t>
            </w:r>
            <w:r>
              <w:rPr>
                <w:rFonts w:hint="eastAsia"/>
                <w:kern w:val="0"/>
                <w:szCs w:val="21"/>
                <w:lang w:val="en-US" w:eastAsia="zh-CN"/>
              </w:rPr>
              <w:t>199.64万元</w:t>
            </w:r>
          </w:p>
        </w:tc>
        <w:tc>
          <w:tcPr>
            <w:tcW w:w="3200" w:type="dxa"/>
            <w:tcBorders>
              <w:top w:val="single" w:color="auto" w:sz="4" w:space="0"/>
              <w:left w:val="single" w:color="auto" w:sz="4" w:space="0"/>
              <w:bottom w:val="single" w:color="auto" w:sz="4" w:space="0"/>
              <w:right w:val="single" w:color="auto" w:sz="4" w:space="0"/>
            </w:tcBorders>
            <w:vAlign w:val="center"/>
          </w:tcPr>
          <w:p w14:paraId="7B588D41">
            <w:pPr>
              <w:widowControl/>
              <w:spacing w:line="560" w:lineRule="exact"/>
              <w:jc w:val="left"/>
              <w:rPr>
                <w:kern w:val="0"/>
                <w:szCs w:val="21"/>
              </w:rPr>
            </w:pPr>
            <w:r>
              <w:rPr>
                <w:kern w:val="0"/>
                <w:szCs w:val="21"/>
              </w:rPr>
              <w:t xml:space="preserve">       项目支出：</w:t>
            </w:r>
          </w:p>
        </w:tc>
      </w:tr>
      <w:tr w14:paraId="10E2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14:paraId="24F57CD0"/>
        </w:tc>
        <w:tc>
          <w:tcPr>
            <w:tcW w:w="3940" w:type="dxa"/>
            <w:gridSpan w:val="4"/>
            <w:tcBorders>
              <w:top w:val="single" w:color="auto" w:sz="4" w:space="0"/>
              <w:left w:val="single" w:color="auto" w:sz="4" w:space="0"/>
              <w:bottom w:val="single" w:color="auto" w:sz="4" w:space="0"/>
              <w:right w:val="single" w:color="auto" w:sz="4" w:space="0"/>
            </w:tcBorders>
            <w:vAlign w:val="center"/>
          </w:tcPr>
          <w:p w14:paraId="6CE124AC">
            <w:pPr>
              <w:widowControl/>
              <w:spacing w:line="560" w:lineRule="exact"/>
              <w:jc w:val="left"/>
              <w:rPr>
                <w:kern w:val="0"/>
                <w:szCs w:val="21"/>
              </w:rPr>
            </w:pPr>
            <w:r>
              <w:rPr>
                <w:kern w:val="0"/>
                <w:szCs w:val="21"/>
              </w:rPr>
              <w:t>纳入专户管理的非税收入拨款：</w:t>
            </w:r>
          </w:p>
        </w:tc>
        <w:tc>
          <w:tcPr>
            <w:tcW w:w="3200" w:type="dxa"/>
            <w:tcBorders>
              <w:top w:val="single" w:color="auto" w:sz="4" w:space="0"/>
              <w:left w:val="single" w:color="auto" w:sz="4" w:space="0"/>
              <w:bottom w:val="single" w:color="auto" w:sz="4" w:space="0"/>
              <w:right w:val="single" w:color="auto" w:sz="4" w:space="0"/>
            </w:tcBorders>
            <w:vAlign w:val="center"/>
          </w:tcPr>
          <w:p w14:paraId="780F6010">
            <w:pPr>
              <w:widowControl/>
              <w:spacing w:line="560" w:lineRule="exact"/>
              <w:jc w:val="left"/>
              <w:rPr>
                <w:kern w:val="0"/>
                <w:szCs w:val="21"/>
              </w:rPr>
            </w:pPr>
            <w:r>
              <w:rPr>
                <w:kern w:val="0"/>
                <w:szCs w:val="21"/>
              </w:rPr>
              <w:t xml:space="preserve">      </w:t>
            </w:r>
          </w:p>
        </w:tc>
      </w:tr>
      <w:tr w14:paraId="522C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14:paraId="6B50F6AC"/>
        </w:tc>
        <w:tc>
          <w:tcPr>
            <w:tcW w:w="3940" w:type="dxa"/>
            <w:gridSpan w:val="4"/>
            <w:tcBorders>
              <w:top w:val="single" w:color="auto" w:sz="4" w:space="0"/>
              <w:left w:val="single" w:color="auto" w:sz="4" w:space="0"/>
              <w:bottom w:val="single" w:color="auto" w:sz="4" w:space="0"/>
              <w:right w:val="single" w:color="auto" w:sz="4" w:space="0"/>
            </w:tcBorders>
            <w:vAlign w:val="center"/>
          </w:tcPr>
          <w:p w14:paraId="07F4DC09">
            <w:pPr>
              <w:widowControl/>
              <w:spacing w:line="560" w:lineRule="exact"/>
              <w:jc w:val="left"/>
              <w:rPr>
                <w:kern w:val="0"/>
                <w:szCs w:val="21"/>
              </w:rPr>
            </w:pPr>
            <w:r>
              <w:rPr>
                <w:kern w:val="0"/>
                <w:szCs w:val="21"/>
              </w:rPr>
              <w:t xml:space="preserve">                  其他资金：</w:t>
            </w:r>
          </w:p>
        </w:tc>
        <w:tc>
          <w:tcPr>
            <w:tcW w:w="3200" w:type="dxa"/>
            <w:tcBorders>
              <w:top w:val="single" w:color="auto" w:sz="4" w:space="0"/>
              <w:left w:val="single" w:color="auto" w:sz="4" w:space="0"/>
              <w:bottom w:val="single" w:color="auto" w:sz="4" w:space="0"/>
              <w:right w:val="single" w:color="auto" w:sz="4" w:space="0"/>
            </w:tcBorders>
            <w:vAlign w:val="center"/>
          </w:tcPr>
          <w:p w14:paraId="280250A7">
            <w:pPr>
              <w:widowControl/>
              <w:spacing w:line="560" w:lineRule="exact"/>
              <w:jc w:val="left"/>
              <w:rPr>
                <w:kern w:val="0"/>
                <w:szCs w:val="21"/>
              </w:rPr>
            </w:pPr>
          </w:p>
        </w:tc>
      </w:tr>
      <w:tr w14:paraId="095A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14:paraId="4D1E58F8">
            <w:pPr>
              <w:widowControl/>
              <w:spacing w:line="560" w:lineRule="exact"/>
              <w:jc w:val="center"/>
              <w:rPr>
                <w:kern w:val="0"/>
                <w:szCs w:val="21"/>
              </w:rPr>
            </w:pPr>
            <w:r>
              <w:rPr>
                <w:kern w:val="0"/>
                <w:szCs w:val="21"/>
              </w:rPr>
              <w:t>部门职能职责概述</w:t>
            </w:r>
          </w:p>
        </w:tc>
        <w:tc>
          <w:tcPr>
            <w:tcW w:w="7140" w:type="dxa"/>
            <w:gridSpan w:val="5"/>
            <w:tcBorders>
              <w:top w:val="single" w:color="auto" w:sz="4" w:space="0"/>
              <w:left w:val="single" w:color="auto" w:sz="4" w:space="0"/>
              <w:bottom w:val="single" w:color="auto" w:sz="4" w:space="0"/>
              <w:right w:val="single" w:color="auto" w:sz="4" w:space="0"/>
            </w:tcBorders>
            <w:vAlign w:val="center"/>
          </w:tcPr>
          <w:p w14:paraId="6A89EEC7">
            <w:pPr>
              <w:snapToGrid w:val="0"/>
              <w:spacing w:line="360" w:lineRule="exact"/>
              <w:ind w:firstLine="641"/>
              <w:rPr>
                <w:rFonts w:asciiTheme="minorEastAsia" w:hAnsiTheme="minorEastAsia" w:eastAsiaTheme="minorEastAsia"/>
                <w:kern w:val="0"/>
                <w:szCs w:val="21"/>
              </w:rPr>
            </w:pPr>
            <w:r>
              <w:rPr>
                <w:rFonts w:hint="eastAsia" w:asciiTheme="minorEastAsia" w:hAnsiTheme="minorEastAsia" w:eastAsiaTheme="minorEastAsia"/>
                <w:szCs w:val="21"/>
              </w:rPr>
              <w:t>一是依据《中华人民共和国审计法》、《中华人民共和国预算法》的规定，审计监督县本级财政预算执行情况和其他财政收支。二是根据上级审计机关和县委、县政府的安排对全县行政、事业单位，社会团体的财政财务收支及国有企业的财务收支情况进行审计。三是根据县委、县政府的委托，对科级党政领导干部、国有企业的领导人进行任期经济责任审计和领导干部自然资源资产审计。四是审计监督政府部门管理的和其他单位受政府委托管理的社会保障基金、社会捐赠资金以及其他有关基金、资金的财务收支。五是根据《中华人民共和国审计法》对全县政府投资和以县政府投资为主的建设项目进行审计监督。六是审计监督国家法律法规规定的其他事项。</w:t>
            </w:r>
          </w:p>
        </w:tc>
      </w:tr>
      <w:tr w14:paraId="123E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14:paraId="0762D937">
            <w:pPr>
              <w:widowControl/>
              <w:spacing w:line="560" w:lineRule="exact"/>
              <w:jc w:val="center"/>
              <w:rPr>
                <w:kern w:val="0"/>
                <w:szCs w:val="21"/>
              </w:rPr>
            </w:pPr>
            <w:r>
              <w:rPr>
                <w:kern w:val="0"/>
                <w:szCs w:val="21"/>
              </w:rPr>
              <w:t>整体绩效目标</w:t>
            </w:r>
          </w:p>
        </w:tc>
        <w:tc>
          <w:tcPr>
            <w:tcW w:w="7140" w:type="dxa"/>
            <w:gridSpan w:val="5"/>
            <w:tcBorders>
              <w:top w:val="single" w:color="auto" w:sz="4" w:space="0"/>
              <w:left w:val="single" w:color="auto" w:sz="4" w:space="0"/>
              <w:bottom w:val="single" w:color="auto" w:sz="4" w:space="0"/>
              <w:right w:val="single" w:color="auto" w:sz="4" w:space="0"/>
            </w:tcBorders>
            <w:vAlign w:val="center"/>
          </w:tcPr>
          <w:p w14:paraId="6389FC5A">
            <w:pPr>
              <w:spacing w:line="300" w:lineRule="exact"/>
              <w:rPr>
                <w:rFonts w:ascii="宋体" w:hAnsi="宋体" w:cs="宋体"/>
                <w:szCs w:val="21"/>
              </w:rPr>
            </w:pPr>
            <w:r>
              <w:rPr>
                <w:rFonts w:hint="eastAsia" w:ascii="宋体" w:hAnsi="宋体" w:cs="宋体"/>
                <w:szCs w:val="21"/>
              </w:rPr>
              <w:t>1.审计业务工作：完成年初制定的审计项目计划，完成市局下达的审计信息和审计宣传任务，按时完成审计统计和综合工作。</w:t>
            </w:r>
          </w:p>
          <w:p w14:paraId="3E463334">
            <w:pPr>
              <w:spacing w:line="300" w:lineRule="exact"/>
              <w:rPr>
                <w:rFonts w:ascii="宋体" w:hAnsi="宋体" w:cs="宋体"/>
                <w:szCs w:val="21"/>
              </w:rPr>
            </w:pPr>
            <w:r>
              <w:rPr>
                <w:rFonts w:hint="eastAsia" w:ascii="宋体" w:hAnsi="宋体" w:cs="宋体"/>
                <w:szCs w:val="21"/>
              </w:rPr>
              <w:t>2.计算机审计工作：完成5个完全利用AO进行审计的项目，全年至少举行一次AO系统操作培训。</w:t>
            </w:r>
          </w:p>
          <w:p w14:paraId="05F76E18">
            <w:pPr>
              <w:spacing w:line="300" w:lineRule="exact"/>
              <w:rPr>
                <w:rFonts w:ascii="宋体" w:hAnsi="宋体" w:cs="宋体"/>
                <w:szCs w:val="21"/>
              </w:rPr>
            </w:pPr>
            <w:r>
              <w:rPr>
                <w:rFonts w:hint="eastAsia" w:ascii="宋体" w:hAnsi="宋体" w:cs="宋体"/>
                <w:szCs w:val="21"/>
              </w:rPr>
              <w:t>3.工作质量方面：制定审计方案，下达审计通知，审计证据充分，审计工作底稿完整，执行审计复核，出具审计报告征求意见稿，按规定进行会议审定，并出具结论性文书。4.队伍建设：一是抓实学习教育。深入推进“不忘初心、牢记使命”主题教育，用党的创新理论武装干部头脑，指导新时期审计改革创新发展。二是抓好制度建设。结合实际，进一步完善了党建、质量控制、投资审计等制度，汇编成册，以制度管人。三是抓强干部培训。以多样化形式加大审计干部的培训力度。提高审计干部的综合素质。</w:t>
            </w:r>
          </w:p>
          <w:p w14:paraId="448A0C71">
            <w:pPr>
              <w:spacing w:line="360" w:lineRule="exact"/>
              <w:rPr>
                <w:rFonts w:ascii="宋体" w:hAnsi="宋体" w:cs="宋体"/>
                <w:szCs w:val="21"/>
              </w:rPr>
            </w:pPr>
          </w:p>
        </w:tc>
      </w:tr>
      <w:tr w14:paraId="2E20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4" w:hRule="atLeast"/>
          <w:jc w:val="center"/>
        </w:trPr>
        <w:tc>
          <w:tcPr>
            <w:tcW w:w="2500" w:type="dxa"/>
            <w:vMerge w:val="restart"/>
            <w:tcBorders>
              <w:top w:val="single" w:color="auto" w:sz="4" w:space="0"/>
              <w:left w:val="single" w:color="auto" w:sz="4" w:space="0"/>
              <w:bottom w:val="single" w:color="auto" w:sz="4" w:space="0"/>
              <w:right w:val="single" w:color="auto" w:sz="4" w:space="0"/>
            </w:tcBorders>
            <w:vAlign w:val="center"/>
          </w:tcPr>
          <w:p w14:paraId="6D6A07D6">
            <w:pPr>
              <w:widowControl/>
              <w:spacing w:line="560" w:lineRule="exact"/>
              <w:jc w:val="center"/>
              <w:rPr>
                <w:kern w:val="0"/>
                <w:szCs w:val="21"/>
              </w:rPr>
            </w:pPr>
            <w:r>
              <w:rPr>
                <w:kern w:val="0"/>
                <w:szCs w:val="21"/>
              </w:rPr>
              <w:t>部门整体支出</w:t>
            </w:r>
          </w:p>
          <w:p w14:paraId="7D525C50">
            <w:pPr>
              <w:widowControl/>
              <w:spacing w:line="560" w:lineRule="exact"/>
              <w:jc w:val="center"/>
              <w:rPr>
                <w:kern w:val="0"/>
                <w:szCs w:val="21"/>
              </w:rPr>
            </w:pPr>
            <w:r>
              <w:rPr>
                <w:kern w:val="0"/>
                <w:szCs w:val="21"/>
              </w:rPr>
              <w:t>年度绩效指标</w:t>
            </w:r>
          </w:p>
        </w:tc>
        <w:tc>
          <w:tcPr>
            <w:tcW w:w="1200" w:type="dxa"/>
            <w:tcBorders>
              <w:top w:val="single" w:color="auto" w:sz="4" w:space="0"/>
              <w:left w:val="single" w:color="auto" w:sz="4" w:space="0"/>
              <w:bottom w:val="single" w:color="auto" w:sz="4" w:space="0"/>
              <w:right w:val="single" w:color="auto" w:sz="4" w:space="0"/>
            </w:tcBorders>
            <w:vAlign w:val="center"/>
          </w:tcPr>
          <w:p w14:paraId="67E52C17">
            <w:pPr>
              <w:widowControl/>
              <w:spacing w:line="560" w:lineRule="exact"/>
              <w:jc w:val="center"/>
              <w:rPr>
                <w:kern w:val="0"/>
                <w:szCs w:val="21"/>
              </w:rPr>
            </w:pPr>
            <w:r>
              <w:rPr>
                <w:kern w:val="0"/>
                <w:szCs w:val="21"/>
              </w:rPr>
              <w:t>产出指标</w:t>
            </w:r>
          </w:p>
        </w:tc>
        <w:tc>
          <w:tcPr>
            <w:tcW w:w="5940" w:type="dxa"/>
            <w:gridSpan w:val="4"/>
            <w:tcBorders>
              <w:top w:val="single" w:color="auto" w:sz="4" w:space="0"/>
              <w:left w:val="single" w:color="auto" w:sz="4" w:space="0"/>
              <w:bottom w:val="single" w:color="auto" w:sz="4" w:space="0"/>
              <w:right w:val="single" w:color="auto" w:sz="4" w:space="0"/>
            </w:tcBorders>
            <w:vAlign w:val="center"/>
          </w:tcPr>
          <w:p w14:paraId="0C3CF298">
            <w:pPr>
              <w:snapToGrid w:val="0"/>
              <w:spacing w:line="360" w:lineRule="exact"/>
              <w:jc w:val="left"/>
              <w:rPr>
                <w:rFonts w:ascii="宋体" w:hAnsi="宋体"/>
                <w:szCs w:val="21"/>
              </w:rPr>
            </w:pPr>
            <w:r>
              <w:rPr>
                <w:rFonts w:hint="eastAsia" w:ascii="宋体" w:hAnsi="宋体"/>
                <w:szCs w:val="21"/>
              </w:rPr>
              <w:t>指标1（部门重点支出占部门整体支出的比例）：1</w:t>
            </w:r>
            <w:r>
              <w:rPr>
                <w:rFonts w:hint="eastAsia" w:ascii="宋体" w:hAnsi="宋体"/>
                <w:szCs w:val="21"/>
                <w:lang w:val="en-US" w:eastAsia="zh-CN"/>
              </w:rPr>
              <w:t>8.37</w:t>
            </w:r>
            <w:r>
              <w:rPr>
                <w:rFonts w:hint="eastAsia" w:ascii="宋体" w:hAnsi="宋体"/>
                <w:szCs w:val="21"/>
              </w:rPr>
              <w:t>%</w:t>
            </w:r>
          </w:p>
          <w:p w14:paraId="2A4E361B">
            <w:pPr>
              <w:snapToGrid w:val="0"/>
              <w:spacing w:line="360" w:lineRule="exact"/>
              <w:jc w:val="left"/>
              <w:rPr>
                <w:rFonts w:ascii="宋体" w:hAnsi="宋体"/>
                <w:szCs w:val="21"/>
              </w:rPr>
            </w:pPr>
            <w:r>
              <w:rPr>
                <w:rFonts w:hint="eastAsia" w:ascii="宋体" w:hAnsi="宋体"/>
                <w:szCs w:val="21"/>
              </w:rPr>
              <w:t>指标2（三公经费增减率）：公务接待费下降</w:t>
            </w:r>
            <w:r>
              <w:rPr>
                <w:rFonts w:hint="eastAsia" w:ascii="宋体" w:hAnsi="宋体"/>
                <w:szCs w:val="21"/>
                <w:lang w:val="en-US" w:eastAsia="zh-CN"/>
              </w:rPr>
              <w:t>51.11</w:t>
            </w:r>
            <w:r>
              <w:rPr>
                <w:rFonts w:hint="eastAsia" w:ascii="宋体" w:hAnsi="宋体"/>
                <w:szCs w:val="21"/>
              </w:rPr>
              <w:t>%</w:t>
            </w:r>
          </w:p>
          <w:p w14:paraId="763D02E1">
            <w:pPr>
              <w:snapToGrid w:val="0"/>
              <w:spacing w:line="360" w:lineRule="exact"/>
              <w:jc w:val="left"/>
              <w:rPr>
                <w:rFonts w:ascii="宋体" w:hAnsi="宋体"/>
                <w:szCs w:val="21"/>
              </w:rPr>
            </w:pPr>
            <w:r>
              <w:rPr>
                <w:rFonts w:hint="eastAsia" w:ascii="宋体" w:hAnsi="宋体"/>
                <w:szCs w:val="21"/>
              </w:rPr>
              <w:t>指标3（部门整体支出支付进度）：100%</w:t>
            </w:r>
          </w:p>
          <w:p w14:paraId="5118C848">
            <w:pPr>
              <w:snapToGrid w:val="0"/>
              <w:spacing w:line="360" w:lineRule="exact"/>
              <w:jc w:val="left"/>
              <w:rPr>
                <w:rFonts w:ascii="宋体" w:hAnsi="宋体"/>
                <w:szCs w:val="21"/>
              </w:rPr>
            </w:pPr>
            <w:r>
              <w:rPr>
                <w:rFonts w:hint="eastAsia" w:ascii="宋体" w:hAnsi="宋体"/>
                <w:szCs w:val="21"/>
              </w:rPr>
              <w:t>指标4（结转结余资金增减率）：0%</w:t>
            </w:r>
          </w:p>
          <w:p w14:paraId="3C5023CE">
            <w:pPr>
              <w:snapToGrid w:val="0"/>
              <w:spacing w:line="360" w:lineRule="exact"/>
              <w:jc w:val="left"/>
              <w:rPr>
                <w:rFonts w:ascii="宋体" w:hAnsi="宋体"/>
                <w:szCs w:val="21"/>
              </w:rPr>
            </w:pPr>
            <w:r>
              <w:rPr>
                <w:rFonts w:hint="eastAsia" w:ascii="宋体" w:hAnsi="宋体"/>
                <w:szCs w:val="21"/>
              </w:rPr>
              <w:t>指标5（部门预决算和三公经费预决算公开）：已公开</w:t>
            </w:r>
          </w:p>
          <w:p w14:paraId="69E2AB11">
            <w:pPr>
              <w:snapToGrid w:val="0"/>
              <w:spacing w:line="360" w:lineRule="exact"/>
              <w:jc w:val="left"/>
              <w:rPr>
                <w:rFonts w:ascii="宋体" w:hAnsi="宋体"/>
                <w:szCs w:val="21"/>
              </w:rPr>
            </w:pPr>
            <w:r>
              <w:rPr>
                <w:rFonts w:hint="eastAsia" w:ascii="宋体" w:hAnsi="宋体"/>
                <w:szCs w:val="21"/>
              </w:rPr>
              <w:t>指标6（政府采购执行率）：100%</w:t>
            </w:r>
          </w:p>
          <w:p w14:paraId="4007B13B">
            <w:pPr>
              <w:snapToGrid w:val="0"/>
              <w:spacing w:line="360" w:lineRule="exact"/>
              <w:jc w:val="left"/>
              <w:rPr>
                <w:kern w:val="0"/>
                <w:szCs w:val="21"/>
              </w:rPr>
            </w:pPr>
            <w:r>
              <w:rPr>
                <w:rFonts w:hint="eastAsia" w:ascii="宋体" w:hAnsi="宋体"/>
                <w:szCs w:val="21"/>
              </w:rPr>
              <w:t>指标7（重点工作办结率）：100%</w:t>
            </w:r>
          </w:p>
        </w:tc>
      </w:tr>
      <w:tr w14:paraId="46C1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3"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14:paraId="67E7CF7A"/>
        </w:tc>
        <w:tc>
          <w:tcPr>
            <w:tcW w:w="1200" w:type="dxa"/>
            <w:tcBorders>
              <w:top w:val="single" w:color="auto" w:sz="4" w:space="0"/>
              <w:left w:val="single" w:color="auto" w:sz="4" w:space="0"/>
              <w:bottom w:val="single" w:color="auto" w:sz="4" w:space="0"/>
              <w:right w:val="single" w:color="auto" w:sz="4" w:space="0"/>
            </w:tcBorders>
            <w:vAlign w:val="center"/>
          </w:tcPr>
          <w:p w14:paraId="34E38B7F">
            <w:pPr>
              <w:widowControl/>
              <w:spacing w:line="560" w:lineRule="exact"/>
              <w:jc w:val="center"/>
              <w:rPr>
                <w:kern w:val="0"/>
                <w:szCs w:val="21"/>
              </w:rPr>
            </w:pPr>
            <w:r>
              <w:rPr>
                <w:kern w:val="0"/>
                <w:szCs w:val="21"/>
              </w:rPr>
              <w:t>效益指标</w:t>
            </w:r>
          </w:p>
        </w:tc>
        <w:tc>
          <w:tcPr>
            <w:tcW w:w="5940" w:type="dxa"/>
            <w:gridSpan w:val="4"/>
            <w:tcBorders>
              <w:top w:val="single" w:color="auto" w:sz="4" w:space="0"/>
              <w:left w:val="single" w:color="auto" w:sz="4" w:space="0"/>
              <w:bottom w:val="nil"/>
              <w:right w:val="single" w:color="auto" w:sz="4" w:space="0"/>
            </w:tcBorders>
          </w:tcPr>
          <w:p w14:paraId="44190375">
            <w:pPr>
              <w:pStyle w:val="8"/>
              <w:widowControl/>
              <w:spacing w:line="520" w:lineRule="exact"/>
              <w:ind w:firstLine="0" w:firstLineChars="0"/>
              <w:jc w:val="left"/>
              <w:rPr>
                <w:rFonts w:hint="default" w:ascii="宋体" w:hAnsi="宋体" w:cs="宋体"/>
                <w:szCs w:val="21"/>
                <w:lang w:val="en-US" w:eastAsia="zh-CN"/>
              </w:rPr>
            </w:pPr>
            <w:r>
              <w:rPr>
                <w:rFonts w:hint="eastAsia" w:ascii="宋体" w:hAnsi="宋体" w:cs="宋体"/>
                <w:szCs w:val="21"/>
                <w:lang w:val="en-US" w:eastAsia="zh-CN"/>
              </w:rPr>
              <w:t>2023年，审计机关坚持以习近平新时代中国特色社会主义思想为指导，认真落实党中央、国务院关于审计工作的重大决策部署，坚持稳中求进工作总基调，立足“审计监督首先是经济监督”定位，依法忠实履行监督职责，较好地发挥了审计在党和国家监督体系中的重要作用。2023年共完成审计项目111个（其中财政预算执行和财政财务审计7个，专项审计5个，经济责任审计4个，自然资源资产离任审计2个，政府投资项目决算审计3个，主要领导交办审计项目4个，配合审计3个，投资项目结算审计83个）。送审38386.86万元，审核金额35304.66万元，核减国有投资建设项目投资额3082.2万元，有效控制国有投资建设项目成本，提高资金使用效益。发现问题63个，提出处理建议35条，督促归还财政资金4000余万元，移送问题线索4条。</w:t>
            </w:r>
          </w:p>
          <w:p w14:paraId="0A29B771">
            <w:pPr>
              <w:snapToGrid w:val="0"/>
              <w:spacing w:line="276" w:lineRule="auto"/>
              <w:ind w:firstLine="420" w:firstLineChars="200"/>
              <w:jc w:val="left"/>
              <w:rPr>
                <w:rFonts w:ascii="宋体" w:hAnsi="宋体"/>
                <w:kern w:val="0"/>
                <w:szCs w:val="21"/>
              </w:rPr>
            </w:pPr>
          </w:p>
        </w:tc>
      </w:tr>
      <w:tr w14:paraId="4CFD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7" w:hRule="atLeast"/>
          <w:jc w:val="center"/>
        </w:trPr>
        <w:tc>
          <w:tcPr>
            <w:tcW w:w="2500" w:type="dxa"/>
            <w:vMerge w:val="restart"/>
            <w:tcBorders>
              <w:top w:val="single" w:color="auto" w:sz="4" w:space="0"/>
              <w:left w:val="single" w:color="auto" w:sz="4" w:space="0"/>
              <w:bottom w:val="single" w:color="auto" w:sz="4" w:space="0"/>
              <w:right w:val="single" w:color="auto" w:sz="4" w:space="0"/>
            </w:tcBorders>
            <w:vAlign w:val="center"/>
          </w:tcPr>
          <w:p w14:paraId="01F15105">
            <w:pPr>
              <w:widowControl/>
              <w:spacing w:line="560" w:lineRule="exact"/>
              <w:jc w:val="center"/>
              <w:rPr>
                <w:b/>
                <w:bCs/>
                <w:kern w:val="0"/>
                <w:szCs w:val="21"/>
              </w:rPr>
            </w:pPr>
            <w:r>
              <w:rPr>
                <w:b/>
                <w:bCs/>
                <w:kern w:val="0"/>
                <w:szCs w:val="21"/>
              </w:rPr>
              <w:t>单位自评情况分析及</w:t>
            </w:r>
            <w:r>
              <w:rPr>
                <w:rFonts w:hint="eastAsia"/>
                <w:b/>
                <w:bCs/>
                <w:kern w:val="0"/>
                <w:szCs w:val="21"/>
              </w:rPr>
              <w:t xml:space="preserve">  </w:t>
            </w:r>
            <w:r>
              <w:rPr>
                <w:b/>
                <w:bCs/>
                <w:kern w:val="0"/>
                <w:szCs w:val="21"/>
              </w:rPr>
              <w:t>结论</w:t>
            </w:r>
          </w:p>
        </w:tc>
        <w:tc>
          <w:tcPr>
            <w:tcW w:w="7140" w:type="dxa"/>
            <w:gridSpan w:val="5"/>
            <w:tcBorders>
              <w:top w:val="single" w:color="auto" w:sz="4" w:space="0"/>
              <w:left w:val="single" w:color="auto" w:sz="4" w:space="0"/>
              <w:bottom w:val="single" w:color="auto" w:sz="4" w:space="0"/>
              <w:right w:val="single" w:color="auto" w:sz="4" w:space="0"/>
            </w:tcBorders>
          </w:tcPr>
          <w:p w14:paraId="2954CA63">
            <w:pPr>
              <w:keepNext w:val="0"/>
              <w:keepLines w:val="0"/>
              <w:pageBreakBefore w:val="0"/>
              <w:widowControl w:val="0"/>
              <w:kinsoku/>
              <w:wordWrap/>
              <w:overflowPunct/>
              <w:topLinePunct w:val="0"/>
              <w:bidi w:val="0"/>
              <w:snapToGrid w:val="0"/>
              <w:spacing w:line="500" w:lineRule="exact"/>
              <w:ind w:firstLine="420" w:firstLineChars="200"/>
              <w:textAlignment w:val="auto"/>
              <w:rPr>
                <w:b/>
                <w:bCs/>
                <w:kern w:val="0"/>
                <w:sz w:val="24"/>
              </w:rPr>
            </w:pPr>
            <w:r>
              <w:rPr>
                <w:rFonts w:hint="eastAsia" w:ascii="宋体" w:hAnsi="宋体" w:cs="宋体"/>
                <w:kern w:val="0"/>
                <w:szCs w:val="21"/>
              </w:rPr>
              <w:t>1、支出情况分析：202</w:t>
            </w:r>
            <w:r>
              <w:rPr>
                <w:rFonts w:hint="eastAsia" w:ascii="宋体" w:hAnsi="宋体" w:cs="宋体"/>
                <w:kern w:val="0"/>
                <w:szCs w:val="21"/>
                <w:lang w:val="en-US" w:eastAsia="zh-CN"/>
              </w:rPr>
              <w:t>3</w:t>
            </w:r>
            <w:r>
              <w:rPr>
                <w:rFonts w:hint="eastAsia" w:ascii="宋体" w:hAnsi="宋体" w:cs="宋体"/>
                <w:kern w:val="0"/>
                <w:szCs w:val="21"/>
              </w:rPr>
              <w:t>年度收入</w:t>
            </w:r>
            <w:r>
              <w:rPr>
                <w:rFonts w:hint="eastAsia" w:ascii="宋体" w:hAnsi="宋体" w:cs="宋体"/>
                <w:kern w:val="0"/>
                <w:szCs w:val="21"/>
                <w:lang w:val="en-US" w:eastAsia="zh-CN"/>
              </w:rPr>
              <w:t>619.5万元</w:t>
            </w:r>
            <w:r>
              <w:rPr>
                <w:rFonts w:hint="eastAsia" w:ascii="宋体" w:hAnsi="宋体" w:cs="宋体"/>
                <w:kern w:val="0"/>
                <w:szCs w:val="21"/>
              </w:rPr>
              <w:t>元，比上年收入</w:t>
            </w:r>
            <w:r>
              <w:rPr>
                <w:rFonts w:hint="eastAsia" w:ascii="宋体" w:hAnsi="宋体" w:cs="宋体"/>
                <w:kern w:val="0"/>
                <w:szCs w:val="21"/>
                <w:lang w:val="en-US" w:eastAsia="zh-CN"/>
              </w:rPr>
              <w:t>527.97万</w:t>
            </w:r>
            <w:r>
              <w:rPr>
                <w:rFonts w:hint="eastAsia" w:ascii="宋体" w:hAnsi="宋体" w:cs="宋体"/>
                <w:kern w:val="0"/>
                <w:szCs w:val="21"/>
              </w:rPr>
              <w:t>元增加</w:t>
            </w:r>
            <w:r>
              <w:rPr>
                <w:rFonts w:hint="eastAsia" w:ascii="宋体" w:hAnsi="宋体" w:cs="宋体"/>
                <w:kern w:val="0"/>
                <w:szCs w:val="21"/>
                <w:lang w:val="en-US" w:eastAsia="zh-CN"/>
              </w:rPr>
              <w:t>91.73万</w:t>
            </w:r>
            <w:r>
              <w:rPr>
                <w:rFonts w:hint="eastAsia" w:ascii="宋体" w:hAnsi="宋体" w:cs="宋体"/>
                <w:kern w:val="0"/>
                <w:szCs w:val="21"/>
              </w:rPr>
              <w:t>元，增长了</w:t>
            </w:r>
            <w:r>
              <w:rPr>
                <w:rFonts w:hint="eastAsia" w:ascii="宋体" w:hAnsi="宋体" w:cs="宋体"/>
                <w:kern w:val="0"/>
                <w:szCs w:val="21"/>
                <w:lang w:val="en-US" w:eastAsia="zh-CN"/>
              </w:rPr>
              <w:t>17.33</w:t>
            </w:r>
            <w:r>
              <w:rPr>
                <w:rFonts w:hint="eastAsia" w:ascii="宋体" w:hAnsi="宋体" w:cs="宋体"/>
                <w:kern w:val="0"/>
                <w:szCs w:val="21"/>
              </w:rPr>
              <w:t>%。增加的主要原因是</w:t>
            </w:r>
            <w:r>
              <w:rPr>
                <w:rFonts w:hint="eastAsia" w:ascii="宋体" w:hAnsi="宋体" w:cs="宋体"/>
                <w:kern w:val="0"/>
                <w:szCs w:val="21"/>
                <w:lang w:eastAsia="zh-CN"/>
              </w:rPr>
              <w:t>委托第三方的审计经费，</w:t>
            </w:r>
            <w:r>
              <w:rPr>
                <w:rFonts w:hint="eastAsia" w:ascii="宋体" w:hAnsi="宋体" w:cs="宋体"/>
                <w:kern w:val="0"/>
                <w:szCs w:val="21"/>
              </w:rPr>
              <w:t>抚恤金支出</w:t>
            </w:r>
            <w:r>
              <w:rPr>
                <w:rFonts w:hint="eastAsia" w:ascii="宋体" w:hAnsi="宋体" w:cs="宋体"/>
                <w:kern w:val="0"/>
                <w:szCs w:val="21"/>
                <w:lang w:eastAsia="zh-CN"/>
              </w:rPr>
              <w:t>。</w:t>
            </w:r>
          </w:p>
        </w:tc>
      </w:tr>
      <w:tr w14:paraId="3990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14:paraId="6C8895F1"/>
        </w:tc>
        <w:tc>
          <w:tcPr>
            <w:tcW w:w="7140" w:type="dxa"/>
            <w:gridSpan w:val="5"/>
            <w:tcBorders>
              <w:top w:val="single" w:color="auto" w:sz="4" w:space="0"/>
              <w:left w:val="single" w:color="auto" w:sz="4" w:space="0"/>
              <w:bottom w:val="single" w:color="auto" w:sz="4" w:space="0"/>
              <w:right w:val="single" w:color="auto" w:sz="4" w:space="0"/>
            </w:tcBorders>
          </w:tcPr>
          <w:p w14:paraId="0078B9F6">
            <w:pPr>
              <w:pStyle w:val="8"/>
              <w:keepNext w:val="0"/>
              <w:keepLines w:val="0"/>
              <w:pageBreakBefore w:val="0"/>
              <w:widowControl/>
              <w:kinsoku/>
              <w:wordWrap/>
              <w:overflowPunct/>
              <w:topLinePunct w:val="0"/>
              <w:autoSpaceDE/>
              <w:autoSpaceDN/>
              <w:bidi w:val="0"/>
              <w:adjustRightInd/>
              <w:snapToGrid/>
              <w:spacing w:line="420" w:lineRule="exact"/>
              <w:ind w:firstLine="0" w:firstLineChars="0"/>
              <w:jc w:val="left"/>
              <w:textAlignment w:val="auto"/>
              <w:rPr>
                <w:kern w:val="0"/>
                <w:sz w:val="24"/>
              </w:rPr>
            </w:pPr>
            <w:r>
              <w:rPr>
                <w:rFonts w:hint="eastAsia" w:ascii="宋体" w:hAnsi="宋体" w:cs="宋体"/>
                <w:kern w:val="0"/>
                <w:szCs w:val="21"/>
              </w:rPr>
              <w:t>2、绩效目标完成情况分析：</w:t>
            </w:r>
            <w:r>
              <w:rPr>
                <w:rFonts w:hint="eastAsia" w:ascii="宋体" w:hAnsi="宋体" w:cs="宋体"/>
                <w:szCs w:val="21"/>
                <w:lang w:val="en-US" w:eastAsia="zh-CN"/>
              </w:rPr>
              <w:t>2023年共完成审计项目111个（其中财政预算执行和财政财务审计7个，专项审计5个，经济责任审计4个，自然资源资产离任审计2个，政府投资项目决算审计3个，主要领导交办审计项目4个，配合审计3个，投资项目结算审计83个）。送审38386.86万元，审核金额35304.66万元，核减国有投资建设项目投资额3082.2万元，有效控制国有投资建设项目成本，提高资金使用效益。发现问题63个，提出处理建议35条，督促归还财政资金4000余万元，移送问题线索4条。</w:t>
            </w:r>
          </w:p>
        </w:tc>
      </w:tr>
      <w:tr w14:paraId="1433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14:paraId="3BAAF7F6"/>
        </w:tc>
        <w:tc>
          <w:tcPr>
            <w:tcW w:w="7140" w:type="dxa"/>
            <w:gridSpan w:val="5"/>
            <w:tcBorders>
              <w:top w:val="single" w:color="auto" w:sz="4" w:space="0"/>
              <w:left w:val="single" w:color="auto" w:sz="4" w:space="0"/>
              <w:bottom w:val="single" w:color="auto" w:sz="4" w:space="0"/>
              <w:right w:val="single" w:color="auto" w:sz="4" w:space="0"/>
            </w:tcBorders>
          </w:tcPr>
          <w:p w14:paraId="256CE5F0">
            <w:pPr>
              <w:keepNext w:val="0"/>
              <w:keepLines w:val="0"/>
              <w:pageBreakBefore w:val="0"/>
              <w:kinsoku/>
              <w:wordWrap/>
              <w:overflowPunct/>
              <w:topLinePunct w:val="0"/>
              <w:autoSpaceDE/>
              <w:autoSpaceDN/>
              <w:bidi w:val="0"/>
              <w:adjustRightInd/>
              <w:snapToGrid/>
              <w:spacing w:line="420" w:lineRule="exact"/>
              <w:textAlignment w:val="auto"/>
              <w:rPr>
                <w:kern w:val="0"/>
                <w:sz w:val="24"/>
              </w:rPr>
            </w:pPr>
            <w:r>
              <w:rPr>
                <w:rFonts w:hint="eastAsia" w:ascii="宋体" w:hAnsi="宋体" w:cs="宋体"/>
                <w:kern w:val="0"/>
                <w:szCs w:val="21"/>
              </w:rPr>
              <w:t>3、自我评价结论：20</w:t>
            </w:r>
            <w:r>
              <w:rPr>
                <w:rFonts w:hint="eastAsia" w:ascii="宋体" w:hAnsi="宋体" w:cs="宋体"/>
                <w:kern w:val="0"/>
                <w:szCs w:val="21"/>
                <w:lang w:val="en-US" w:eastAsia="zh-CN"/>
              </w:rPr>
              <w:t>23</w:t>
            </w:r>
            <w:r>
              <w:rPr>
                <w:rFonts w:hint="eastAsia" w:ascii="宋体" w:hAnsi="宋体" w:cs="宋体"/>
                <w:kern w:val="0"/>
                <w:szCs w:val="21"/>
              </w:rPr>
              <w:t>年度本单位各项指标完成良好，自评为优秀。</w:t>
            </w:r>
          </w:p>
        </w:tc>
      </w:tr>
      <w:tr w14:paraId="01B0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14:paraId="0B38D043">
            <w:pPr>
              <w:widowControl/>
              <w:spacing w:line="560" w:lineRule="exact"/>
              <w:jc w:val="center"/>
              <w:rPr>
                <w:kern w:val="0"/>
                <w:szCs w:val="21"/>
              </w:rPr>
            </w:pPr>
            <w:r>
              <w:rPr>
                <w:kern w:val="0"/>
                <w:szCs w:val="21"/>
              </w:rPr>
              <w:t>存在的问题</w:t>
            </w:r>
          </w:p>
        </w:tc>
        <w:tc>
          <w:tcPr>
            <w:tcW w:w="7140" w:type="dxa"/>
            <w:gridSpan w:val="5"/>
            <w:tcBorders>
              <w:top w:val="single" w:color="auto" w:sz="4" w:space="0"/>
              <w:left w:val="single" w:color="auto" w:sz="4" w:space="0"/>
              <w:bottom w:val="single" w:color="auto" w:sz="4" w:space="0"/>
              <w:right w:val="single" w:color="auto" w:sz="4" w:space="0"/>
            </w:tcBorders>
            <w:vAlign w:val="bottom"/>
          </w:tcPr>
          <w:p w14:paraId="31EF2B6F">
            <w:pPr>
              <w:pStyle w:val="8"/>
              <w:keepNext w:val="0"/>
              <w:keepLines w:val="0"/>
              <w:pageBreakBefore w:val="0"/>
              <w:widowControl/>
              <w:kinsoku/>
              <w:wordWrap/>
              <w:overflowPunct/>
              <w:topLinePunct w:val="0"/>
              <w:autoSpaceDE/>
              <w:autoSpaceDN/>
              <w:bidi w:val="0"/>
              <w:adjustRightInd/>
              <w:snapToGrid/>
              <w:spacing w:line="420" w:lineRule="exact"/>
              <w:ind w:firstLine="0" w:firstLineChars="0"/>
              <w:jc w:val="left"/>
              <w:textAlignment w:val="auto"/>
              <w:rPr>
                <w:rFonts w:hint="eastAsia" w:ascii="宋体" w:hAnsi="宋体" w:cs="宋体"/>
                <w:szCs w:val="21"/>
                <w:lang w:val="en-US" w:eastAsia="zh-CN"/>
              </w:rPr>
            </w:pPr>
            <w:r>
              <w:rPr>
                <w:rFonts w:hint="default" w:ascii="宋体" w:hAnsi="宋体" w:cs="宋体"/>
                <w:szCs w:val="21"/>
                <w:lang w:val="en-US" w:eastAsia="zh-CN"/>
              </w:rPr>
              <w:t>预算编制的合理性需要提高，预算执行力度还要进一步加强。</w:t>
            </w:r>
          </w:p>
          <w:p w14:paraId="7F8FE002">
            <w:pPr>
              <w:pStyle w:val="8"/>
              <w:keepNext w:val="0"/>
              <w:keepLines w:val="0"/>
              <w:pageBreakBefore w:val="0"/>
              <w:widowControl/>
              <w:kinsoku/>
              <w:wordWrap/>
              <w:overflowPunct/>
              <w:topLinePunct w:val="0"/>
              <w:autoSpaceDE/>
              <w:autoSpaceDN/>
              <w:bidi w:val="0"/>
              <w:adjustRightInd/>
              <w:snapToGrid/>
              <w:spacing w:line="420" w:lineRule="exact"/>
              <w:ind w:firstLine="0" w:firstLineChars="0"/>
              <w:jc w:val="left"/>
              <w:textAlignment w:val="auto"/>
              <w:rPr>
                <w:kern w:val="0"/>
                <w:szCs w:val="21"/>
              </w:rPr>
            </w:pPr>
            <w:r>
              <w:rPr>
                <w:rFonts w:hint="default" w:ascii="宋体" w:hAnsi="宋体" w:cs="宋体"/>
                <w:szCs w:val="21"/>
                <w:lang w:val="en-US" w:eastAsia="zh-CN"/>
              </w:rPr>
              <w:t>审计任务重与力量不足的矛盾日益突出，审计项目多，抽调出去的人员多，参与审计项目的人员少，需要向社会聘请专业技术人员参与审计，这样就导致我局在行政事业类</w:t>
            </w:r>
            <w:r>
              <w:rPr>
                <w:rFonts w:hint="eastAsia" w:ascii="宋体" w:hAnsi="宋体" w:cs="宋体"/>
                <w:szCs w:val="21"/>
                <w:lang w:val="en-US" w:eastAsia="zh-CN"/>
              </w:rPr>
              <w:t>经费</w:t>
            </w:r>
            <w:r>
              <w:rPr>
                <w:rFonts w:hint="default" w:ascii="宋体" w:hAnsi="宋体" w:cs="宋体"/>
                <w:szCs w:val="21"/>
                <w:lang w:val="en-US" w:eastAsia="zh-CN"/>
              </w:rPr>
              <w:t>的支出数增加。</w:t>
            </w:r>
          </w:p>
        </w:tc>
      </w:tr>
      <w:tr w14:paraId="013CD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14:paraId="42BC17BC">
            <w:pPr>
              <w:widowControl/>
              <w:spacing w:line="560" w:lineRule="exact"/>
              <w:jc w:val="center"/>
              <w:rPr>
                <w:kern w:val="0"/>
                <w:szCs w:val="21"/>
              </w:rPr>
            </w:pPr>
            <w:r>
              <w:rPr>
                <w:kern w:val="0"/>
                <w:szCs w:val="21"/>
              </w:rPr>
              <w:t>改进措施与建议</w:t>
            </w:r>
          </w:p>
        </w:tc>
        <w:tc>
          <w:tcPr>
            <w:tcW w:w="7140" w:type="dxa"/>
            <w:gridSpan w:val="5"/>
            <w:tcBorders>
              <w:top w:val="single" w:color="auto" w:sz="4" w:space="0"/>
              <w:left w:val="single" w:color="auto" w:sz="4" w:space="0"/>
              <w:bottom w:val="single" w:color="auto" w:sz="4" w:space="0"/>
              <w:right w:val="single" w:color="auto" w:sz="4" w:space="0"/>
            </w:tcBorders>
            <w:vAlign w:val="bottom"/>
          </w:tcPr>
          <w:p w14:paraId="2B68833B">
            <w:pPr>
              <w:keepNext w:val="0"/>
              <w:keepLines w:val="0"/>
              <w:pageBreakBefore w:val="0"/>
              <w:kinsoku/>
              <w:wordWrap/>
              <w:overflowPunct/>
              <w:topLinePunct w:val="0"/>
              <w:autoSpaceDE/>
              <w:autoSpaceDN/>
              <w:bidi w:val="0"/>
              <w:adjustRightInd/>
              <w:snapToGrid/>
              <w:spacing w:line="420" w:lineRule="exact"/>
              <w:textAlignment w:val="auto"/>
              <w:rPr>
                <w:kern w:val="0"/>
                <w:szCs w:val="21"/>
              </w:rPr>
            </w:pPr>
            <w:r>
              <w:rPr>
                <w:rFonts w:hint="eastAsia" w:ascii="宋体" w:hAnsi="宋体"/>
                <w:kern w:val="0"/>
                <w:szCs w:val="21"/>
              </w:rPr>
              <w:t>一是合理安排收支预算，严格预算管理。按照“以收定支，量入为出，保证重点，兼顾一般”的原则，科学合理编制部门预算，使预算更加切合实际。进一步细化预算，严格执行，增强预算约束意识，提高科学化、精细化预算管理水平。二是规范财务行为，提高会计基础工作质量。严格执行财经纪律和各项财经政策，自觉接受财政、纪检监察等职能部门的监督，做到有法可依，有章可循，实现管理的规范化、制度化。进一步健全机关各项财务制度，严格财经手续，完善经费使用内部控制制度，加强对原始票据的合法性、完整性审核，做到票据合法规范，手续完备。三是建设阳光财务，提高资金效益。</w:t>
            </w:r>
            <w:r>
              <w:rPr>
                <w:rFonts w:hint="eastAsia" w:ascii="宋体" w:hAnsi="宋体"/>
                <w:bCs/>
                <w:kern w:val="0"/>
                <w:szCs w:val="21"/>
              </w:rPr>
              <w:t>进一步完善财政预决算、“三公经费”及重大专项公开工作。使重大项目管理制度更加科学合理，程序更加规范透明，分配更加公平公正，资金更加安全高效。鉴于</w:t>
            </w:r>
            <w:r>
              <w:rPr>
                <w:rFonts w:hint="default" w:ascii="宋体" w:hAnsi="宋体" w:cs="Times New Roman"/>
                <w:bCs/>
                <w:kern w:val="0"/>
                <w:szCs w:val="21"/>
                <w:lang w:val="en-US" w:eastAsia="zh-CN"/>
              </w:rPr>
              <w:t>审计任务日趋繁重，财政部门根据审计工作开展实际情况，适当增加预算。</w:t>
            </w:r>
          </w:p>
        </w:tc>
      </w:tr>
      <w:tr w14:paraId="2279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14:paraId="781BC998">
            <w:pPr>
              <w:widowControl/>
              <w:spacing w:line="560" w:lineRule="exact"/>
              <w:jc w:val="center"/>
              <w:rPr>
                <w:kern w:val="0"/>
                <w:szCs w:val="21"/>
              </w:rPr>
            </w:pPr>
            <w:r>
              <w:rPr>
                <w:rFonts w:hint="eastAsia"/>
                <w:kern w:val="0"/>
                <w:szCs w:val="21"/>
              </w:rPr>
              <w:t>归口管理业务股室</w:t>
            </w:r>
            <w:r>
              <w:rPr>
                <w:kern w:val="0"/>
                <w:szCs w:val="21"/>
              </w:rPr>
              <w:t>审核意见</w:t>
            </w:r>
          </w:p>
        </w:tc>
        <w:tc>
          <w:tcPr>
            <w:tcW w:w="7140" w:type="dxa"/>
            <w:gridSpan w:val="5"/>
            <w:tcBorders>
              <w:top w:val="single" w:color="auto" w:sz="4" w:space="0"/>
              <w:left w:val="single" w:color="auto" w:sz="4" w:space="0"/>
              <w:bottom w:val="single" w:color="auto" w:sz="4" w:space="0"/>
              <w:right w:val="single" w:color="auto" w:sz="4" w:space="0"/>
            </w:tcBorders>
            <w:vAlign w:val="bottom"/>
          </w:tcPr>
          <w:p w14:paraId="4085868A">
            <w:pPr>
              <w:spacing w:line="700" w:lineRule="exact"/>
              <w:ind w:firstLine="4680" w:firstLineChars="1950"/>
              <w:jc w:val="right"/>
              <w:rPr>
                <w:kern w:val="0"/>
                <w:szCs w:val="21"/>
              </w:rPr>
            </w:pPr>
            <w:r>
              <w:rPr>
                <w:kern w:val="0"/>
                <w:sz w:val="24"/>
              </w:rPr>
              <w:t xml:space="preserve">（盖章）                                     </w:t>
            </w:r>
            <w:r>
              <w:rPr>
                <w:kern w:val="0"/>
                <w:sz w:val="24"/>
              </w:rPr>
              <w:br w:type="textWrapping"/>
            </w:r>
            <w:r>
              <w:rPr>
                <w:kern w:val="0"/>
                <w:sz w:val="24"/>
              </w:rPr>
              <w:t xml:space="preserve">                                        年    月    日</w:t>
            </w:r>
          </w:p>
        </w:tc>
      </w:tr>
    </w:tbl>
    <w:p w14:paraId="19DFBDA0">
      <w:pPr>
        <w:widowControl/>
        <w:tabs>
          <w:tab w:val="left" w:pos="1333"/>
          <w:tab w:val="left" w:pos="3793"/>
          <w:tab w:val="left" w:pos="5853"/>
        </w:tabs>
        <w:spacing w:line="560" w:lineRule="exact"/>
        <w:ind w:firstLine="315" w:firstLineChars="150"/>
        <w:jc w:val="left"/>
        <w:sectPr>
          <w:footerReference r:id="rId3" w:type="default"/>
          <w:pgSz w:w="11906" w:h="16838"/>
          <w:pgMar w:top="1440" w:right="1797" w:bottom="1440" w:left="1797" w:header="851" w:footer="1474" w:gutter="0"/>
          <w:pgNumType w:fmt="numberInDash"/>
          <w:cols w:space="720" w:num="1"/>
          <w:docGrid w:type="linesAndChars" w:linePitch="312" w:charSpace="0"/>
        </w:sectPr>
      </w:pPr>
      <w:r>
        <w:rPr>
          <w:kern w:val="0"/>
          <w:szCs w:val="21"/>
        </w:rPr>
        <w:t>填报人：</w:t>
      </w:r>
      <w:r>
        <w:rPr>
          <w:rFonts w:hint="eastAsia"/>
          <w:kern w:val="0"/>
          <w:szCs w:val="21"/>
          <w:lang w:eastAsia="zh-CN"/>
        </w:rPr>
        <w:t>谭志</w:t>
      </w:r>
      <w:r>
        <w:rPr>
          <w:kern w:val="0"/>
          <w:szCs w:val="21"/>
        </w:rPr>
        <w:t xml:space="preserve">     联系电话：</w:t>
      </w:r>
      <w:r>
        <w:rPr>
          <w:rFonts w:hint="eastAsia"/>
          <w:kern w:val="0"/>
          <w:szCs w:val="21"/>
          <w:lang w:val="en-US" w:eastAsia="zh-CN"/>
        </w:rPr>
        <w:t>13975357109</w:t>
      </w:r>
      <w:r>
        <w:rPr>
          <w:kern w:val="0"/>
          <w:szCs w:val="21"/>
        </w:rPr>
        <w:t xml:space="preserve">      </w:t>
      </w:r>
      <w:r>
        <w:rPr>
          <w:rFonts w:hint="eastAsia"/>
          <w:kern w:val="0"/>
          <w:szCs w:val="21"/>
        </w:rPr>
        <w:t>　　</w:t>
      </w:r>
      <w:r>
        <w:rPr>
          <w:kern w:val="0"/>
          <w:szCs w:val="21"/>
        </w:rPr>
        <w:t>填报日期：</w:t>
      </w:r>
      <w:r>
        <w:rPr>
          <w:rFonts w:hint="eastAsia"/>
        </w:rPr>
        <w:t>202</w:t>
      </w:r>
      <w:r>
        <w:rPr>
          <w:rFonts w:hint="eastAsia"/>
          <w:lang w:val="en-US" w:eastAsia="zh-CN"/>
        </w:rPr>
        <w:t>4</w:t>
      </w:r>
      <w:r>
        <w:rPr>
          <w:rFonts w:hint="eastAsia"/>
        </w:rPr>
        <w:t>年10月</w:t>
      </w:r>
      <w:r>
        <w:rPr>
          <w:rFonts w:hint="eastAsia"/>
          <w:lang w:val="en-US" w:eastAsia="zh-CN"/>
        </w:rPr>
        <w:t>16</w:t>
      </w:r>
      <w:r>
        <w:rPr>
          <w:rFonts w:hint="eastAsia"/>
        </w:rPr>
        <w:t>日</w:t>
      </w:r>
    </w:p>
    <w:p w14:paraId="59CEDDF9">
      <w:pPr>
        <w:spacing w:line="560" w:lineRule="exact"/>
        <w:jc w:val="center"/>
        <w:rPr>
          <w:rFonts w:eastAsia="方正小标宋简体"/>
          <w:sz w:val="36"/>
          <w:szCs w:val="36"/>
        </w:rPr>
      </w:pPr>
      <w:bookmarkStart w:id="0" w:name="_GoBack"/>
      <w:bookmarkEnd w:id="0"/>
      <w:r>
        <w:rPr>
          <w:rFonts w:eastAsia="方正小标宋简体"/>
          <w:sz w:val="36"/>
          <w:szCs w:val="36"/>
        </w:rPr>
        <w:t>部门整体支出绩效评价指标评分表</w:t>
      </w:r>
    </w:p>
    <w:p w14:paraId="388C823E">
      <w:pPr>
        <w:spacing w:line="560" w:lineRule="exact"/>
        <w:jc w:val="center"/>
        <w:rPr>
          <w:rFonts w:eastAsia="方正小标宋简体"/>
          <w:sz w:val="36"/>
          <w:szCs w:val="36"/>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775"/>
        <w:gridCol w:w="426"/>
        <w:gridCol w:w="1334"/>
        <w:gridCol w:w="794"/>
        <w:gridCol w:w="4140"/>
        <w:gridCol w:w="3432"/>
        <w:gridCol w:w="2107"/>
      </w:tblGrid>
      <w:tr w14:paraId="2EE2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blHeader/>
          <w:jc w:val="center"/>
        </w:trPr>
        <w:tc>
          <w:tcPr>
            <w:tcW w:w="796" w:type="dxa"/>
            <w:tcBorders>
              <w:top w:val="single" w:color="auto" w:sz="4" w:space="0"/>
              <w:left w:val="single" w:color="auto" w:sz="4" w:space="0"/>
              <w:bottom w:val="single" w:color="auto" w:sz="4" w:space="0"/>
              <w:right w:val="single" w:color="auto" w:sz="4" w:space="0"/>
            </w:tcBorders>
            <w:vAlign w:val="center"/>
          </w:tcPr>
          <w:p w14:paraId="60F6949E">
            <w:pPr>
              <w:widowControl/>
              <w:jc w:val="center"/>
              <w:rPr>
                <w:rFonts w:eastAsia="黑体"/>
                <w:bCs/>
                <w:kern w:val="0"/>
                <w:szCs w:val="21"/>
              </w:rPr>
            </w:pPr>
            <w:r>
              <w:rPr>
                <w:rFonts w:eastAsia="黑体"/>
                <w:bCs/>
                <w:kern w:val="0"/>
                <w:szCs w:val="21"/>
              </w:rPr>
              <w:t>一级指标</w:t>
            </w:r>
          </w:p>
        </w:tc>
        <w:tc>
          <w:tcPr>
            <w:tcW w:w="775" w:type="dxa"/>
            <w:tcBorders>
              <w:top w:val="single" w:color="auto" w:sz="4" w:space="0"/>
              <w:left w:val="single" w:color="auto" w:sz="4" w:space="0"/>
              <w:bottom w:val="single" w:color="auto" w:sz="4" w:space="0"/>
              <w:right w:val="single" w:color="auto" w:sz="4" w:space="0"/>
            </w:tcBorders>
            <w:vAlign w:val="center"/>
          </w:tcPr>
          <w:p w14:paraId="5B527FC4">
            <w:pPr>
              <w:widowControl/>
              <w:jc w:val="center"/>
              <w:rPr>
                <w:rFonts w:eastAsia="黑体"/>
                <w:bCs/>
                <w:kern w:val="0"/>
                <w:szCs w:val="21"/>
              </w:rPr>
            </w:pPr>
            <w:r>
              <w:rPr>
                <w:rFonts w:eastAsia="黑体"/>
                <w:bCs/>
                <w:kern w:val="0"/>
                <w:szCs w:val="21"/>
              </w:rPr>
              <w:t>二级指标</w:t>
            </w:r>
          </w:p>
        </w:tc>
        <w:tc>
          <w:tcPr>
            <w:tcW w:w="426" w:type="dxa"/>
            <w:tcBorders>
              <w:top w:val="single" w:color="auto" w:sz="4" w:space="0"/>
              <w:left w:val="single" w:color="auto" w:sz="4" w:space="0"/>
              <w:bottom w:val="single" w:color="auto" w:sz="4" w:space="0"/>
              <w:right w:val="single" w:color="auto" w:sz="4" w:space="0"/>
            </w:tcBorders>
            <w:vAlign w:val="center"/>
          </w:tcPr>
          <w:p w14:paraId="77E7D7EA">
            <w:pPr>
              <w:widowControl/>
              <w:jc w:val="center"/>
              <w:rPr>
                <w:rFonts w:eastAsia="黑体"/>
                <w:bCs/>
                <w:kern w:val="0"/>
                <w:szCs w:val="21"/>
              </w:rPr>
            </w:pPr>
            <w:r>
              <w:rPr>
                <w:rFonts w:eastAsia="黑体"/>
                <w:bCs/>
                <w:kern w:val="0"/>
                <w:szCs w:val="21"/>
              </w:rPr>
              <w:t>值</w:t>
            </w:r>
          </w:p>
        </w:tc>
        <w:tc>
          <w:tcPr>
            <w:tcW w:w="1334" w:type="dxa"/>
            <w:tcBorders>
              <w:top w:val="single" w:color="auto" w:sz="4" w:space="0"/>
              <w:left w:val="single" w:color="auto" w:sz="4" w:space="0"/>
              <w:bottom w:val="single" w:color="auto" w:sz="4" w:space="0"/>
              <w:right w:val="single" w:color="auto" w:sz="4" w:space="0"/>
            </w:tcBorders>
            <w:vAlign w:val="center"/>
          </w:tcPr>
          <w:p w14:paraId="72B2FD4B">
            <w:pPr>
              <w:widowControl/>
              <w:jc w:val="center"/>
              <w:rPr>
                <w:rFonts w:eastAsia="黑体"/>
                <w:bCs/>
                <w:kern w:val="0"/>
                <w:szCs w:val="21"/>
              </w:rPr>
            </w:pPr>
            <w:r>
              <w:rPr>
                <w:rFonts w:eastAsia="黑体"/>
                <w:bCs/>
                <w:kern w:val="0"/>
                <w:szCs w:val="21"/>
              </w:rPr>
              <w:t>三级指标</w:t>
            </w:r>
          </w:p>
        </w:tc>
        <w:tc>
          <w:tcPr>
            <w:tcW w:w="794" w:type="dxa"/>
            <w:tcBorders>
              <w:top w:val="single" w:color="auto" w:sz="4" w:space="0"/>
              <w:left w:val="single" w:color="auto" w:sz="4" w:space="0"/>
              <w:bottom w:val="single" w:color="auto" w:sz="4" w:space="0"/>
              <w:right w:val="single" w:color="auto" w:sz="4" w:space="0"/>
            </w:tcBorders>
            <w:vAlign w:val="center"/>
          </w:tcPr>
          <w:p w14:paraId="1B791E39">
            <w:pPr>
              <w:widowControl/>
              <w:jc w:val="center"/>
              <w:rPr>
                <w:rFonts w:eastAsia="黑体"/>
                <w:bCs/>
                <w:kern w:val="0"/>
                <w:szCs w:val="21"/>
              </w:rPr>
            </w:pPr>
            <w:r>
              <w:rPr>
                <w:rFonts w:eastAsia="黑体"/>
                <w:bCs/>
                <w:kern w:val="0"/>
                <w:szCs w:val="21"/>
              </w:rPr>
              <w:t>分值</w:t>
            </w:r>
          </w:p>
        </w:tc>
        <w:tc>
          <w:tcPr>
            <w:tcW w:w="4140" w:type="dxa"/>
            <w:tcBorders>
              <w:top w:val="single" w:color="auto" w:sz="4" w:space="0"/>
              <w:left w:val="single" w:color="auto" w:sz="4" w:space="0"/>
              <w:bottom w:val="single" w:color="auto" w:sz="4" w:space="0"/>
              <w:right w:val="single" w:color="auto" w:sz="4" w:space="0"/>
            </w:tcBorders>
            <w:vAlign w:val="center"/>
          </w:tcPr>
          <w:p w14:paraId="169D2279">
            <w:pPr>
              <w:widowControl/>
              <w:jc w:val="center"/>
              <w:rPr>
                <w:rFonts w:eastAsia="黑体"/>
                <w:bCs/>
                <w:kern w:val="0"/>
                <w:szCs w:val="21"/>
              </w:rPr>
            </w:pPr>
            <w:r>
              <w:rPr>
                <w:rFonts w:eastAsia="黑体"/>
                <w:bCs/>
                <w:kern w:val="0"/>
                <w:szCs w:val="21"/>
              </w:rPr>
              <w:t>评价标准</w:t>
            </w:r>
          </w:p>
        </w:tc>
        <w:tc>
          <w:tcPr>
            <w:tcW w:w="3432" w:type="dxa"/>
            <w:tcBorders>
              <w:top w:val="single" w:color="auto" w:sz="4" w:space="0"/>
              <w:left w:val="single" w:color="auto" w:sz="4" w:space="0"/>
              <w:bottom w:val="single" w:color="auto" w:sz="4" w:space="0"/>
              <w:right w:val="single" w:color="auto" w:sz="4" w:space="0"/>
            </w:tcBorders>
            <w:vAlign w:val="center"/>
          </w:tcPr>
          <w:p w14:paraId="07EBC677">
            <w:pPr>
              <w:widowControl/>
              <w:jc w:val="center"/>
              <w:rPr>
                <w:rFonts w:eastAsia="黑体"/>
                <w:bCs/>
                <w:kern w:val="0"/>
                <w:szCs w:val="21"/>
              </w:rPr>
            </w:pPr>
            <w:r>
              <w:rPr>
                <w:rFonts w:eastAsia="黑体"/>
                <w:bCs/>
                <w:kern w:val="0"/>
                <w:szCs w:val="21"/>
              </w:rPr>
              <w:t>备注</w:t>
            </w:r>
          </w:p>
        </w:tc>
        <w:tc>
          <w:tcPr>
            <w:tcW w:w="2107" w:type="dxa"/>
            <w:tcBorders>
              <w:top w:val="single" w:color="auto" w:sz="4" w:space="0"/>
              <w:left w:val="single" w:color="auto" w:sz="4" w:space="0"/>
              <w:bottom w:val="single" w:color="auto" w:sz="4" w:space="0"/>
              <w:right w:val="single" w:color="auto" w:sz="4" w:space="0"/>
            </w:tcBorders>
            <w:vAlign w:val="center"/>
          </w:tcPr>
          <w:p w14:paraId="4A5D7F37">
            <w:pPr>
              <w:widowControl/>
              <w:jc w:val="center"/>
              <w:rPr>
                <w:rFonts w:eastAsia="黑体"/>
                <w:bCs/>
                <w:kern w:val="0"/>
                <w:szCs w:val="21"/>
              </w:rPr>
            </w:pPr>
            <w:r>
              <w:rPr>
                <w:rFonts w:eastAsia="黑体"/>
                <w:bCs/>
                <w:kern w:val="0"/>
                <w:szCs w:val="21"/>
              </w:rPr>
              <w:t>评价得分</w:t>
            </w:r>
          </w:p>
          <w:p w14:paraId="77E55DCC">
            <w:pPr>
              <w:widowControl/>
              <w:jc w:val="center"/>
              <w:rPr>
                <w:rFonts w:eastAsia="黑体"/>
                <w:bCs/>
                <w:kern w:val="0"/>
                <w:szCs w:val="21"/>
              </w:rPr>
            </w:pPr>
            <w:r>
              <w:rPr>
                <w:rFonts w:eastAsia="黑体"/>
                <w:bCs/>
                <w:kern w:val="0"/>
                <w:szCs w:val="21"/>
              </w:rPr>
              <w:t>（要求列出计算过程和评分依据）</w:t>
            </w:r>
          </w:p>
        </w:tc>
      </w:tr>
      <w:tr w14:paraId="58C6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4581272B">
            <w:pPr>
              <w:widowControl/>
              <w:jc w:val="center"/>
              <w:rPr>
                <w:rFonts w:eastAsia="仿宋_GB2312"/>
                <w:kern w:val="0"/>
                <w:szCs w:val="21"/>
              </w:rPr>
            </w:pPr>
            <w:r>
              <w:rPr>
                <w:rFonts w:eastAsia="仿宋_GB2312"/>
                <w:kern w:val="0"/>
                <w:szCs w:val="21"/>
              </w:rPr>
              <w:t>投    入</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14:paraId="445286E4">
            <w:pPr>
              <w:widowControl/>
              <w:jc w:val="center"/>
              <w:rPr>
                <w:rFonts w:eastAsia="仿宋_GB2312"/>
                <w:kern w:val="0"/>
                <w:szCs w:val="21"/>
              </w:rPr>
            </w:pPr>
            <w:r>
              <w:rPr>
                <w:rFonts w:eastAsia="仿宋_GB2312"/>
                <w:kern w:val="0"/>
                <w:szCs w:val="21"/>
              </w:rPr>
              <w:t>目标设定</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14:paraId="72911D1C">
            <w:pPr>
              <w:widowControl/>
              <w:jc w:val="center"/>
              <w:rPr>
                <w:rFonts w:eastAsia="仿宋_GB2312"/>
                <w:kern w:val="0"/>
                <w:szCs w:val="21"/>
              </w:rPr>
            </w:pPr>
            <w:r>
              <w:rPr>
                <w:rFonts w:eastAsia="仿宋_GB2312"/>
                <w:kern w:val="0"/>
                <w:szCs w:val="21"/>
              </w:rPr>
              <w:t>8</w:t>
            </w:r>
          </w:p>
        </w:tc>
        <w:tc>
          <w:tcPr>
            <w:tcW w:w="1334" w:type="dxa"/>
            <w:tcBorders>
              <w:top w:val="single" w:color="auto" w:sz="4" w:space="0"/>
              <w:left w:val="single" w:color="auto" w:sz="4" w:space="0"/>
              <w:bottom w:val="single" w:color="auto" w:sz="4" w:space="0"/>
              <w:right w:val="single" w:color="auto" w:sz="4" w:space="0"/>
            </w:tcBorders>
            <w:vAlign w:val="center"/>
          </w:tcPr>
          <w:p w14:paraId="0F2C758E">
            <w:pPr>
              <w:widowControl/>
              <w:jc w:val="center"/>
              <w:rPr>
                <w:rFonts w:eastAsia="仿宋_GB2312"/>
                <w:kern w:val="0"/>
                <w:szCs w:val="21"/>
              </w:rPr>
            </w:pPr>
            <w:r>
              <w:rPr>
                <w:rFonts w:eastAsia="仿宋_GB2312"/>
                <w:kern w:val="0"/>
                <w:szCs w:val="21"/>
              </w:rPr>
              <w:t>绩效目标合理性</w:t>
            </w:r>
          </w:p>
        </w:tc>
        <w:tc>
          <w:tcPr>
            <w:tcW w:w="794" w:type="dxa"/>
            <w:tcBorders>
              <w:top w:val="single" w:color="auto" w:sz="4" w:space="0"/>
              <w:left w:val="single" w:color="auto" w:sz="4" w:space="0"/>
              <w:bottom w:val="single" w:color="auto" w:sz="4" w:space="0"/>
              <w:right w:val="single" w:color="auto" w:sz="4" w:space="0"/>
            </w:tcBorders>
            <w:vAlign w:val="center"/>
          </w:tcPr>
          <w:p w14:paraId="2416C4FE">
            <w:pPr>
              <w:widowControl/>
              <w:jc w:val="center"/>
              <w:rPr>
                <w:rFonts w:eastAsia="仿宋_GB2312"/>
                <w:kern w:val="0"/>
                <w:szCs w:val="21"/>
              </w:rPr>
            </w:pPr>
            <w:r>
              <w:rPr>
                <w:rFonts w:eastAsia="仿宋_GB2312"/>
                <w:kern w:val="0"/>
                <w:szCs w:val="21"/>
              </w:rPr>
              <w:t>3</w:t>
            </w:r>
          </w:p>
        </w:tc>
        <w:tc>
          <w:tcPr>
            <w:tcW w:w="4140" w:type="dxa"/>
            <w:tcBorders>
              <w:top w:val="single" w:color="auto" w:sz="4" w:space="0"/>
              <w:left w:val="single" w:color="auto" w:sz="4" w:space="0"/>
              <w:bottom w:val="single" w:color="auto" w:sz="4" w:space="0"/>
              <w:right w:val="single" w:color="auto" w:sz="4" w:space="0"/>
            </w:tcBorders>
            <w:vAlign w:val="center"/>
          </w:tcPr>
          <w:p w14:paraId="2B8EAAEF">
            <w:pPr>
              <w:widowControl/>
              <w:jc w:val="left"/>
              <w:rPr>
                <w:rFonts w:eastAsia="仿宋_GB2312"/>
                <w:kern w:val="0"/>
                <w:szCs w:val="21"/>
              </w:rPr>
            </w:pPr>
            <w:r>
              <w:rPr>
                <w:rFonts w:eastAsia="仿宋_GB2312"/>
                <w:kern w:val="0"/>
                <w:szCs w:val="21"/>
              </w:rPr>
              <w:t>①符合国家法律法规、国民经济和社会发展总体规划，计1分；</w:t>
            </w:r>
          </w:p>
          <w:p w14:paraId="61F4D443">
            <w:pPr>
              <w:widowControl/>
              <w:jc w:val="left"/>
              <w:rPr>
                <w:rFonts w:eastAsia="仿宋_GB2312"/>
                <w:kern w:val="0"/>
                <w:szCs w:val="21"/>
              </w:rPr>
            </w:pPr>
            <w:r>
              <w:rPr>
                <w:rFonts w:eastAsia="仿宋_GB2312"/>
                <w:kern w:val="0"/>
                <w:szCs w:val="21"/>
              </w:rPr>
              <w:t>②符合部门“三定”方案确定的职责，计1分；</w:t>
            </w:r>
          </w:p>
          <w:p w14:paraId="4D39CD05">
            <w:pPr>
              <w:widowControl/>
              <w:jc w:val="left"/>
              <w:rPr>
                <w:rFonts w:eastAsia="仿宋_GB2312"/>
                <w:kern w:val="0"/>
                <w:szCs w:val="21"/>
              </w:rPr>
            </w:pPr>
            <w:r>
              <w:rPr>
                <w:rFonts w:eastAsia="仿宋_GB2312"/>
                <w:kern w:val="0"/>
                <w:szCs w:val="21"/>
              </w:rPr>
              <w:t>③符合部门制定的中长期实施规划，计1分。</w:t>
            </w:r>
          </w:p>
        </w:tc>
        <w:tc>
          <w:tcPr>
            <w:tcW w:w="3432" w:type="dxa"/>
            <w:tcBorders>
              <w:top w:val="single" w:color="auto" w:sz="4" w:space="0"/>
              <w:left w:val="single" w:color="auto" w:sz="4" w:space="0"/>
              <w:bottom w:val="single" w:color="auto" w:sz="4" w:space="0"/>
              <w:right w:val="single" w:color="auto" w:sz="4" w:space="0"/>
            </w:tcBorders>
            <w:vAlign w:val="center"/>
          </w:tcPr>
          <w:p w14:paraId="795D0D25">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vAlign w:val="center"/>
          </w:tcPr>
          <w:p w14:paraId="6B641790">
            <w:pPr>
              <w:widowControl/>
              <w:jc w:val="left"/>
              <w:rPr>
                <w:kern w:val="0"/>
                <w:szCs w:val="21"/>
              </w:rPr>
            </w:pPr>
            <w:r>
              <w:rPr>
                <w:rFonts w:hint="eastAsia" w:ascii="宋体" w:cs="宋体"/>
                <w:kern w:val="0"/>
                <w:sz w:val="24"/>
              </w:rPr>
              <w:t>3分（①+②+③）</w:t>
            </w:r>
          </w:p>
        </w:tc>
      </w:tr>
      <w:tr w14:paraId="524C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6"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14:paraId="24970B89">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5B1547E1">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0E5E75C4">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14:paraId="5E01FC6C">
            <w:pPr>
              <w:widowControl/>
              <w:jc w:val="center"/>
              <w:rPr>
                <w:rFonts w:eastAsia="仿宋_GB2312"/>
                <w:kern w:val="0"/>
                <w:szCs w:val="21"/>
              </w:rPr>
            </w:pPr>
            <w:r>
              <w:rPr>
                <w:rFonts w:eastAsia="仿宋_GB2312"/>
                <w:kern w:val="0"/>
                <w:szCs w:val="21"/>
              </w:rPr>
              <w:t>绩效指标明确性</w:t>
            </w:r>
          </w:p>
        </w:tc>
        <w:tc>
          <w:tcPr>
            <w:tcW w:w="794" w:type="dxa"/>
            <w:tcBorders>
              <w:top w:val="single" w:color="auto" w:sz="4" w:space="0"/>
              <w:left w:val="single" w:color="auto" w:sz="4" w:space="0"/>
              <w:bottom w:val="single" w:color="auto" w:sz="4" w:space="0"/>
              <w:right w:val="single" w:color="auto" w:sz="4" w:space="0"/>
            </w:tcBorders>
            <w:vAlign w:val="center"/>
          </w:tcPr>
          <w:p w14:paraId="68F05F57">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vAlign w:val="center"/>
          </w:tcPr>
          <w:p w14:paraId="31330B96">
            <w:pPr>
              <w:widowControl/>
              <w:jc w:val="left"/>
              <w:rPr>
                <w:rFonts w:eastAsia="仿宋_GB2312"/>
                <w:kern w:val="0"/>
                <w:szCs w:val="21"/>
              </w:rPr>
            </w:pPr>
            <w:r>
              <w:rPr>
                <w:rFonts w:eastAsia="仿宋_GB2312"/>
                <w:kern w:val="0"/>
                <w:szCs w:val="21"/>
              </w:rPr>
              <w:t>①将部门整体的绩效目标细化分解为具体的工作任务，计1分；</w:t>
            </w:r>
          </w:p>
          <w:p w14:paraId="3D66962B">
            <w:pPr>
              <w:widowControl/>
              <w:jc w:val="left"/>
              <w:rPr>
                <w:rFonts w:eastAsia="仿宋_GB2312"/>
                <w:kern w:val="0"/>
                <w:szCs w:val="21"/>
              </w:rPr>
            </w:pPr>
            <w:r>
              <w:rPr>
                <w:rFonts w:eastAsia="仿宋_GB2312"/>
                <w:kern w:val="0"/>
                <w:szCs w:val="21"/>
              </w:rPr>
              <w:t>②通过清晰、可衡量的指标值予以体现，计1分；</w:t>
            </w:r>
          </w:p>
          <w:p w14:paraId="6F6BB5B4">
            <w:pPr>
              <w:widowControl/>
              <w:jc w:val="left"/>
              <w:rPr>
                <w:rFonts w:eastAsia="仿宋_GB2312"/>
                <w:kern w:val="0"/>
                <w:szCs w:val="21"/>
              </w:rPr>
            </w:pPr>
            <w:r>
              <w:rPr>
                <w:rFonts w:eastAsia="仿宋_GB2312"/>
                <w:kern w:val="0"/>
                <w:szCs w:val="21"/>
              </w:rPr>
              <w:t>③绩效指标与部门年度的任务数和计划数相对应，计1分；</w:t>
            </w:r>
          </w:p>
          <w:p w14:paraId="5429B2CC">
            <w:pPr>
              <w:widowControl/>
              <w:jc w:val="left"/>
              <w:rPr>
                <w:rFonts w:eastAsia="仿宋_GB2312"/>
                <w:kern w:val="0"/>
                <w:szCs w:val="21"/>
              </w:rPr>
            </w:pPr>
            <w:r>
              <w:rPr>
                <w:rFonts w:eastAsia="仿宋_GB2312"/>
                <w:kern w:val="0"/>
                <w:szCs w:val="21"/>
              </w:rPr>
              <w:t>④绩效目标和指标与本年度部门预算资金相匹配，计2分。</w:t>
            </w:r>
          </w:p>
        </w:tc>
        <w:tc>
          <w:tcPr>
            <w:tcW w:w="3432" w:type="dxa"/>
            <w:tcBorders>
              <w:top w:val="single" w:color="auto" w:sz="4" w:space="0"/>
              <w:left w:val="single" w:color="auto" w:sz="4" w:space="0"/>
              <w:bottom w:val="single" w:color="auto" w:sz="4" w:space="0"/>
              <w:right w:val="single" w:color="auto" w:sz="4" w:space="0"/>
            </w:tcBorders>
            <w:vAlign w:val="center"/>
          </w:tcPr>
          <w:p w14:paraId="30CE8A30">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vAlign w:val="center"/>
          </w:tcPr>
          <w:p w14:paraId="7EFD2AAF">
            <w:pPr>
              <w:widowControl/>
              <w:jc w:val="left"/>
              <w:rPr>
                <w:kern w:val="0"/>
                <w:szCs w:val="21"/>
              </w:rPr>
            </w:pPr>
            <w:r>
              <w:rPr>
                <w:rFonts w:hint="eastAsia" w:ascii="宋体" w:cs="宋体"/>
                <w:kern w:val="0"/>
                <w:sz w:val="24"/>
              </w:rPr>
              <w:t>5分（①+②+③+④）</w:t>
            </w:r>
          </w:p>
        </w:tc>
      </w:tr>
      <w:tr w14:paraId="728A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9"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14:paraId="14E89A6A">
            <w:pPr>
              <w:rPr>
                <w:szCs w:val="21"/>
              </w:rPr>
            </w:pPr>
          </w:p>
        </w:tc>
        <w:tc>
          <w:tcPr>
            <w:tcW w:w="775" w:type="dxa"/>
            <w:vMerge w:val="restart"/>
            <w:tcBorders>
              <w:top w:val="single" w:color="auto" w:sz="4" w:space="0"/>
              <w:left w:val="single" w:color="auto" w:sz="4" w:space="0"/>
              <w:bottom w:val="single" w:color="auto" w:sz="4" w:space="0"/>
              <w:right w:val="single" w:color="auto" w:sz="4" w:space="0"/>
            </w:tcBorders>
            <w:vAlign w:val="center"/>
          </w:tcPr>
          <w:p w14:paraId="438401A8">
            <w:pPr>
              <w:widowControl/>
              <w:jc w:val="center"/>
              <w:rPr>
                <w:rFonts w:eastAsia="仿宋_GB2312"/>
                <w:kern w:val="0"/>
                <w:szCs w:val="21"/>
              </w:rPr>
            </w:pPr>
            <w:r>
              <w:rPr>
                <w:rFonts w:eastAsia="仿宋_GB2312"/>
                <w:kern w:val="0"/>
                <w:szCs w:val="21"/>
              </w:rPr>
              <w:t>预算配置</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14:paraId="4AEA20FD">
            <w:pPr>
              <w:widowControl/>
              <w:jc w:val="center"/>
              <w:rPr>
                <w:rFonts w:eastAsia="仿宋_GB2312"/>
                <w:kern w:val="0"/>
                <w:szCs w:val="21"/>
              </w:rPr>
            </w:pPr>
            <w:r>
              <w:rPr>
                <w:rFonts w:eastAsia="仿宋_GB2312"/>
                <w:kern w:val="0"/>
                <w:szCs w:val="21"/>
              </w:rPr>
              <w:t>12</w:t>
            </w:r>
          </w:p>
        </w:tc>
        <w:tc>
          <w:tcPr>
            <w:tcW w:w="1334" w:type="dxa"/>
            <w:tcBorders>
              <w:top w:val="single" w:color="auto" w:sz="4" w:space="0"/>
              <w:left w:val="single" w:color="auto" w:sz="4" w:space="0"/>
              <w:bottom w:val="single" w:color="auto" w:sz="4" w:space="0"/>
              <w:right w:val="single" w:color="auto" w:sz="4" w:space="0"/>
            </w:tcBorders>
            <w:vAlign w:val="center"/>
          </w:tcPr>
          <w:p w14:paraId="38027064">
            <w:pPr>
              <w:widowControl/>
              <w:jc w:val="center"/>
              <w:rPr>
                <w:rFonts w:eastAsia="仿宋_GB2312"/>
                <w:kern w:val="0"/>
                <w:szCs w:val="21"/>
              </w:rPr>
            </w:pPr>
            <w:r>
              <w:rPr>
                <w:rFonts w:eastAsia="仿宋_GB2312"/>
                <w:kern w:val="0"/>
                <w:szCs w:val="21"/>
              </w:rPr>
              <w:t>财政供养人员</w:t>
            </w:r>
            <w:r>
              <w:rPr>
                <w:rFonts w:eastAsia="仿宋_GB2312"/>
                <w:kern w:val="0"/>
                <w:szCs w:val="21"/>
              </w:rPr>
              <w:br w:type="textWrapping"/>
            </w:r>
            <w:r>
              <w:rPr>
                <w:rFonts w:eastAsia="仿宋_GB2312"/>
                <w:kern w:val="0"/>
                <w:szCs w:val="21"/>
              </w:rPr>
              <w:t>控制率</w:t>
            </w:r>
          </w:p>
        </w:tc>
        <w:tc>
          <w:tcPr>
            <w:tcW w:w="794" w:type="dxa"/>
            <w:tcBorders>
              <w:top w:val="single" w:color="auto" w:sz="4" w:space="0"/>
              <w:left w:val="single" w:color="auto" w:sz="4" w:space="0"/>
              <w:bottom w:val="single" w:color="auto" w:sz="4" w:space="0"/>
              <w:right w:val="single" w:color="auto" w:sz="4" w:space="0"/>
            </w:tcBorders>
            <w:vAlign w:val="center"/>
          </w:tcPr>
          <w:p w14:paraId="5B8489D4">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14:paraId="4E91EDAA">
            <w:pPr>
              <w:widowControl/>
              <w:jc w:val="left"/>
              <w:rPr>
                <w:rFonts w:eastAsia="仿宋_GB2312"/>
                <w:kern w:val="0"/>
                <w:szCs w:val="21"/>
              </w:rPr>
            </w:pPr>
            <w:r>
              <w:rPr>
                <w:rFonts w:eastAsia="仿宋_GB2312"/>
                <w:kern w:val="0"/>
                <w:szCs w:val="21"/>
              </w:rPr>
              <w:t>以100%为标准。在职人员控制率</w:t>
            </w:r>
            <w:r>
              <w:rPr>
                <w:kern w:val="0"/>
                <w:szCs w:val="21"/>
              </w:rPr>
              <w:t>≦</w:t>
            </w:r>
            <w:r>
              <w:rPr>
                <w:rFonts w:eastAsia="仿宋_GB2312"/>
                <w:kern w:val="0"/>
                <w:szCs w:val="21"/>
              </w:rPr>
              <w:t>100%，计4分；每超过一个百分点扣0.4分，扣完为止。</w:t>
            </w:r>
          </w:p>
        </w:tc>
        <w:tc>
          <w:tcPr>
            <w:tcW w:w="3432" w:type="dxa"/>
            <w:tcBorders>
              <w:top w:val="single" w:color="auto" w:sz="4" w:space="0"/>
              <w:left w:val="single" w:color="auto" w:sz="4" w:space="0"/>
              <w:bottom w:val="single" w:color="auto" w:sz="4" w:space="0"/>
              <w:right w:val="single" w:color="auto" w:sz="4" w:space="0"/>
            </w:tcBorders>
            <w:vAlign w:val="center"/>
          </w:tcPr>
          <w:p w14:paraId="7B89D622">
            <w:pPr>
              <w:widowControl/>
              <w:jc w:val="left"/>
              <w:rPr>
                <w:rFonts w:eastAsia="仿宋_GB2312"/>
                <w:kern w:val="0"/>
                <w:szCs w:val="21"/>
              </w:rPr>
            </w:pPr>
            <w:r>
              <w:rPr>
                <w:rFonts w:eastAsia="仿宋_GB2312"/>
                <w:kern w:val="0"/>
                <w:szCs w:val="21"/>
              </w:rPr>
              <w:t>在职人员控制率=（在职人员数/编制数）×100%，在职人员数：部门（单位）实际在职人数，以财政部门确定的部门决算编制口径为准。</w:t>
            </w:r>
            <w:r>
              <w:rPr>
                <w:rFonts w:eastAsia="仿宋_GB2312"/>
                <w:kern w:val="0"/>
                <w:szCs w:val="21"/>
              </w:rPr>
              <w:br w:type="textWrapping"/>
            </w:r>
            <w:r>
              <w:rPr>
                <w:rFonts w:eastAsia="仿宋_GB2312"/>
                <w:kern w:val="0"/>
                <w:szCs w:val="21"/>
              </w:rPr>
              <w:t>编制数：机构编制部门核定批复的部门（单位）的人员编制数。</w:t>
            </w:r>
          </w:p>
        </w:tc>
        <w:tc>
          <w:tcPr>
            <w:tcW w:w="2107" w:type="dxa"/>
            <w:tcBorders>
              <w:top w:val="single" w:color="auto" w:sz="4" w:space="0"/>
              <w:left w:val="single" w:color="auto" w:sz="4" w:space="0"/>
              <w:bottom w:val="single" w:color="auto" w:sz="4" w:space="0"/>
              <w:right w:val="single" w:color="auto" w:sz="4" w:space="0"/>
            </w:tcBorders>
            <w:vAlign w:val="center"/>
          </w:tcPr>
          <w:p w14:paraId="4FC01822">
            <w:pPr>
              <w:widowControl/>
              <w:jc w:val="left"/>
              <w:rPr>
                <w:kern w:val="0"/>
                <w:szCs w:val="21"/>
              </w:rPr>
            </w:pPr>
            <w:r>
              <w:rPr>
                <w:kern w:val="0"/>
                <w:szCs w:val="21"/>
              </w:rPr>
              <w:t>　</w:t>
            </w:r>
            <w:r>
              <w:rPr>
                <w:rFonts w:hint="eastAsia" w:ascii="宋体" w:cs="宋体"/>
                <w:kern w:val="0"/>
                <w:sz w:val="24"/>
              </w:rPr>
              <w:t>4分（</w:t>
            </w:r>
            <w:r>
              <w:rPr>
                <w:rFonts w:hint="eastAsia" w:ascii="宋体" w:cs="宋体"/>
                <w:kern w:val="0"/>
                <w:sz w:val="24"/>
                <w:lang w:val="en-US" w:eastAsia="zh-CN"/>
              </w:rPr>
              <w:t>20</w:t>
            </w:r>
            <w:r>
              <w:rPr>
                <w:rFonts w:hint="eastAsia" w:ascii="宋体" w:cs="宋体"/>
                <w:kern w:val="0"/>
                <w:sz w:val="24"/>
              </w:rPr>
              <w:t>人/23人*100%=8</w:t>
            </w:r>
            <w:r>
              <w:rPr>
                <w:rFonts w:hint="eastAsia" w:ascii="宋体" w:cs="宋体"/>
                <w:kern w:val="0"/>
                <w:sz w:val="24"/>
                <w:lang w:val="en-US" w:eastAsia="zh-CN"/>
              </w:rPr>
              <w:t>6</w:t>
            </w:r>
            <w:r>
              <w:rPr>
                <w:rFonts w:hint="eastAsia" w:ascii="宋体" w:cs="宋体"/>
                <w:kern w:val="0"/>
                <w:sz w:val="24"/>
              </w:rPr>
              <w:t>%）</w:t>
            </w:r>
          </w:p>
        </w:tc>
      </w:tr>
      <w:tr w14:paraId="3A02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7"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14:paraId="65692133">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53711B15">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41234131">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14:paraId="5646C30F">
            <w:pPr>
              <w:widowControl/>
              <w:jc w:val="center"/>
              <w:rPr>
                <w:rFonts w:eastAsia="仿宋_GB2312"/>
                <w:kern w:val="0"/>
                <w:szCs w:val="21"/>
              </w:rPr>
            </w:pPr>
            <w:r>
              <w:rPr>
                <w:rFonts w:eastAsia="仿宋_GB2312"/>
                <w:kern w:val="0"/>
                <w:szCs w:val="21"/>
              </w:rPr>
              <w:t>“三公经费”</w:t>
            </w:r>
            <w:r>
              <w:rPr>
                <w:rFonts w:eastAsia="仿宋_GB2312"/>
                <w:kern w:val="0"/>
                <w:szCs w:val="21"/>
              </w:rPr>
              <w:br w:type="textWrapping"/>
            </w:r>
            <w:r>
              <w:rPr>
                <w:rFonts w:eastAsia="仿宋_GB2312"/>
                <w:kern w:val="0"/>
                <w:szCs w:val="21"/>
              </w:rPr>
              <w:t>变动率</w:t>
            </w:r>
          </w:p>
        </w:tc>
        <w:tc>
          <w:tcPr>
            <w:tcW w:w="794" w:type="dxa"/>
            <w:tcBorders>
              <w:top w:val="single" w:color="auto" w:sz="4" w:space="0"/>
              <w:left w:val="single" w:color="auto" w:sz="4" w:space="0"/>
              <w:bottom w:val="single" w:color="auto" w:sz="4" w:space="0"/>
              <w:right w:val="single" w:color="auto" w:sz="4" w:space="0"/>
            </w:tcBorders>
            <w:vAlign w:val="center"/>
          </w:tcPr>
          <w:p w14:paraId="494176FF">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14:paraId="66129E95">
            <w:pPr>
              <w:widowControl/>
              <w:jc w:val="left"/>
              <w:rPr>
                <w:rFonts w:eastAsia="仿宋_GB2312"/>
                <w:kern w:val="0"/>
                <w:szCs w:val="21"/>
              </w:rPr>
            </w:pPr>
            <w:r>
              <w:rPr>
                <w:rFonts w:eastAsia="仿宋_GB2312"/>
                <w:kern w:val="0"/>
                <w:szCs w:val="21"/>
              </w:rPr>
              <w:t>“三公经费”变动率</w:t>
            </w:r>
            <w:r>
              <w:rPr>
                <w:kern w:val="0"/>
                <w:szCs w:val="21"/>
              </w:rPr>
              <w:t>≦</w:t>
            </w:r>
            <w:r>
              <w:rPr>
                <w:rFonts w:eastAsia="仿宋_GB2312"/>
                <w:kern w:val="0"/>
                <w:szCs w:val="21"/>
              </w:rPr>
              <w:t>0,计4分；“三公经费”变动率＞0，每超过一个百分点扣0.4分，扣完为止。</w:t>
            </w:r>
          </w:p>
        </w:tc>
        <w:tc>
          <w:tcPr>
            <w:tcW w:w="3432" w:type="dxa"/>
            <w:tcBorders>
              <w:top w:val="single" w:color="auto" w:sz="4" w:space="0"/>
              <w:left w:val="single" w:color="auto" w:sz="4" w:space="0"/>
              <w:bottom w:val="single" w:color="auto" w:sz="4" w:space="0"/>
              <w:right w:val="single" w:color="auto" w:sz="4" w:space="0"/>
            </w:tcBorders>
            <w:vAlign w:val="center"/>
          </w:tcPr>
          <w:p w14:paraId="233C198D">
            <w:pPr>
              <w:widowControl/>
              <w:jc w:val="left"/>
              <w:rPr>
                <w:rFonts w:eastAsia="仿宋_GB2312"/>
                <w:kern w:val="0"/>
                <w:szCs w:val="21"/>
              </w:rPr>
            </w:pPr>
            <w:r>
              <w:rPr>
                <w:rFonts w:eastAsia="仿宋_GB2312"/>
                <w:kern w:val="0"/>
                <w:szCs w:val="21"/>
              </w:rPr>
              <w:t>“三公经费”变动率=[（本年度“三公经费”总额-上年度“三公经费”总额）/上年度“三公经费”总额]×100%。</w:t>
            </w:r>
            <w:r>
              <w:rPr>
                <w:rFonts w:eastAsia="仿宋_GB2312"/>
                <w:kern w:val="0"/>
                <w:szCs w:val="21"/>
              </w:rPr>
              <w:br w:type="textWrapping"/>
            </w:r>
            <w:r>
              <w:rPr>
                <w:rFonts w:eastAsia="仿宋_GB2312"/>
                <w:kern w:val="0"/>
                <w:szCs w:val="21"/>
              </w:rPr>
              <w:t>“三公经费”：指政府部门人员因公出国（境）经费、公务车购置及运行费、公务招待费产生的消费。</w:t>
            </w:r>
          </w:p>
        </w:tc>
        <w:tc>
          <w:tcPr>
            <w:tcW w:w="2107" w:type="dxa"/>
            <w:tcBorders>
              <w:top w:val="single" w:color="auto" w:sz="4" w:space="0"/>
              <w:left w:val="single" w:color="auto" w:sz="4" w:space="0"/>
              <w:bottom w:val="single" w:color="auto" w:sz="4" w:space="0"/>
              <w:right w:val="single" w:color="auto" w:sz="4" w:space="0"/>
            </w:tcBorders>
            <w:vAlign w:val="center"/>
          </w:tcPr>
          <w:p w14:paraId="761B32EC">
            <w:pPr>
              <w:widowControl/>
              <w:jc w:val="left"/>
              <w:rPr>
                <w:kern w:val="0"/>
                <w:szCs w:val="21"/>
              </w:rPr>
            </w:pPr>
            <w:r>
              <w:rPr>
                <w:kern w:val="0"/>
                <w:szCs w:val="21"/>
              </w:rPr>
              <w:t>　</w:t>
            </w:r>
            <w:r>
              <w:rPr>
                <w:rFonts w:hint="eastAsia" w:ascii="宋体" w:cs="宋体"/>
                <w:kern w:val="0"/>
                <w:sz w:val="24"/>
              </w:rPr>
              <w:t>4分[（</w:t>
            </w:r>
            <w:r>
              <w:rPr>
                <w:rFonts w:hint="eastAsia" w:ascii="宋体" w:cs="宋体"/>
                <w:kern w:val="0"/>
                <w:sz w:val="24"/>
                <w:lang w:val="en-US" w:eastAsia="zh-CN"/>
              </w:rPr>
              <w:t>0.44</w:t>
            </w:r>
            <w:r>
              <w:rPr>
                <w:rFonts w:hint="eastAsia" w:ascii="宋体" w:cs="宋体"/>
                <w:kern w:val="0"/>
                <w:sz w:val="24"/>
              </w:rPr>
              <w:t>万元-</w:t>
            </w:r>
            <w:r>
              <w:rPr>
                <w:rFonts w:hint="eastAsia" w:ascii="宋体" w:cs="宋体"/>
                <w:kern w:val="0"/>
                <w:sz w:val="24"/>
                <w:lang w:val="en-US" w:eastAsia="zh-CN"/>
              </w:rPr>
              <w:t>0.9</w:t>
            </w:r>
            <w:r>
              <w:rPr>
                <w:rFonts w:hint="eastAsia" w:ascii="宋体" w:cs="宋体"/>
                <w:kern w:val="0"/>
                <w:sz w:val="24"/>
              </w:rPr>
              <w:t>万元）/</w:t>
            </w:r>
            <w:r>
              <w:rPr>
                <w:rFonts w:hint="eastAsia" w:ascii="宋体" w:cs="宋体"/>
                <w:kern w:val="0"/>
                <w:sz w:val="24"/>
                <w:lang w:val="en-US" w:eastAsia="zh-CN"/>
              </w:rPr>
              <w:t>0.9</w:t>
            </w:r>
            <w:r>
              <w:rPr>
                <w:rFonts w:hint="eastAsia" w:ascii="宋体" w:cs="宋体"/>
                <w:kern w:val="0"/>
                <w:sz w:val="24"/>
              </w:rPr>
              <w:t>万元*100%＝-</w:t>
            </w:r>
            <w:r>
              <w:rPr>
                <w:rFonts w:hint="eastAsia" w:ascii="宋体" w:cs="宋体"/>
                <w:kern w:val="0"/>
                <w:sz w:val="24"/>
                <w:lang w:val="en-US" w:eastAsia="zh-CN"/>
              </w:rPr>
              <w:t>51.11</w:t>
            </w:r>
            <w:r>
              <w:rPr>
                <w:rFonts w:hint="eastAsia" w:ascii="宋体" w:cs="宋体"/>
                <w:kern w:val="0"/>
                <w:sz w:val="24"/>
              </w:rPr>
              <w:t>%]</w:t>
            </w:r>
          </w:p>
        </w:tc>
      </w:tr>
      <w:tr w14:paraId="57E1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9"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14:paraId="3A7851CB">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06B153AF">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2BA54404">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14:paraId="626628BD">
            <w:pPr>
              <w:widowControl/>
              <w:jc w:val="center"/>
              <w:rPr>
                <w:rFonts w:eastAsia="仿宋_GB2312"/>
                <w:kern w:val="0"/>
                <w:szCs w:val="21"/>
              </w:rPr>
            </w:pPr>
            <w:r>
              <w:rPr>
                <w:rFonts w:eastAsia="仿宋_GB2312"/>
                <w:kern w:val="0"/>
                <w:szCs w:val="21"/>
              </w:rPr>
              <w:t>重点支出</w:t>
            </w:r>
            <w:r>
              <w:rPr>
                <w:rFonts w:eastAsia="仿宋_GB2312"/>
                <w:kern w:val="0"/>
                <w:szCs w:val="21"/>
              </w:rPr>
              <w:br w:type="textWrapping"/>
            </w:r>
            <w:r>
              <w:rPr>
                <w:rFonts w:eastAsia="仿宋_GB2312"/>
                <w:kern w:val="0"/>
                <w:szCs w:val="21"/>
              </w:rPr>
              <w:t>安排率</w:t>
            </w:r>
          </w:p>
        </w:tc>
        <w:tc>
          <w:tcPr>
            <w:tcW w:w="794" w:type="dxa"/>
            <w:tcBorders>
              <w:top w:val="single" w:color="auto" w:sz="4" w:space="0"/>
              <w:left w:val="single" w:color="auto" w:sz="4" w:space="0"/>
              <w:bottom w:val="single" w:color="auto" w:sz="4" w:space="0"/>
              <w:right w:val="single" w:color="auto" w:sz="4" w:space="0"/>
            </w:tcBorders>
            <w:vAlign w:val="center"/>
          </w:tcPr>
          <w:p w14:paraId="6B57BDEA">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14:paraId="6F24A8C7">
            <w:pPr>
              <w:widowControl/>
              <w:jc w:val="left"/>
              <w:rPr>
                <w:rFonts w:eastAsia="仿宋_GB2312"/>
                <w:kern w:val="0"/>
                <w:szCs w:val="21"/>
              </w:rPr>
            </w:pPr>
            <w:r>
              <w:rPr>
                <w:rFonts w:eastAsia="仿宋_GB2312"/>
                <w:kern w:val="0"/>
                <w:szCs w:val="21"/>
              </w:rPr>
              <w:t>重点支出安排率≥90%，计4分；</w:t>
            </w:r>
            <w:r>
              <w:rPr>
                <w:rFonts w:eastAsia="仿宋_GB2312"/>
                <w:kern w:val="0"/>
                <w:szCs w:val="21"/>
              </w:rPr>
              <w:br w:type="textWrapping"/>
            </w:r>
            <w:r>
              <w:rPr>
                <w:rFonts w:eastAsia="仿宋_GB2312"/>
                <w:kern w:val="0"/>
                <w:szCs w:val="21"/>
              </w:rPr>
              <w:t>80%（含）-90%，计3分；</w:t>
            </w:r>
            <w:r>
              <w:rPr>
                <w:rFonts w:eastAsia="仿宋_GB2312"/>
                <w:kern w:val="0"/>
                <w:szCs w:val="21"/>
              </w:rPr>
              <w:br w:type="textWrapping"/>
            </w:r>
            <w:r>
              <w:rPr>
                <w:rFonts w:eastAsia="仿宋_GB2312"/>
                <w:kern w:val="0"/>
                <w:szCs w:val="21"/>
              </w:rPr>
              <w:t>70%（含）-80%，计2分；</w:t>
            </w:r>
            <w:r>
              <w:rPr>
                <w:rFonts w:eastAsia="仿宋_GB2312"/>
                <w:kern w:val="0"/>
                <w:szCs w:val="21"/>
              </w:rPr>
              <w:br w:type="textWrapping"/>
            </w:r>
            <w:r>
              <w:rPr>
                <w:rFonts w:eastAsia="仿宋_GB2312"/>
                <w:kern w:val="0"/>
                <w:szCs w:val="21"/>
              </w:rPr>
              <w:t>60%（含）-70%，计1分；</w:t>
            </w:r>
            <w:r>
              <w:rPr>
                <w:rFonts w:eastAsia="仿宋_GB2312"/>
                <w:kern w:val="0"/>
                <w:szCs w:val="21"/>
              </w:rPr>
              <w:br w:type="textWrapping"/>
            </w:r>
            <w:r>
              <w:rPr>
                <w:rFonts w:eastAsia="仿宋_GB2312"/>
                <w:kern w:val="0"/>
                <w:szCs w:val="21"/>
              </w:rPr>
              <w:t>低于60%不得分。</w:t>
            </w:r>
          </w:p>
        </w:tc>
        <w:tc>
          <w:tcPr>
            <w:tcW w:w="3432" w:type="dxa"/>
            <w:tcBorders>
              <w:top w:val="single" w:color="auto" w:sz="4" w:space="0"/>
              <w:left w:val="single" w:color="auto" w:sz="4" w:space="0"/>
              <w:bottom w:val="single" w:color="auto" w:sz="4" w:space="0"/>
              <w:right w:val="single" w:color="auto" w:sz="4" w:space="0"/>
            </w:tcBorders>
            <w:vAlign w:val="center"/>
          </w:tcPr>
          <w:p w14:paraId="64A8EB9A">
            <w:pPr>
              <w:widowControl/>
              <w:jc w:val="left"/>
              <w:rPr>
                <w:rFonts w:eastAsia="仿宋_GB2312"/>
                <w:kern w:val="0"/>
                <w:szCs w:val="21"/>
              </w:rPr>
            </w:pPr>
            <w:r>
              <w:rPr>
                <w:rFonts w:eastAsia="仿宋_GB2312"/>
                <w:kern w:val="0"/>
                <w:szCs w:val="21"/>
              </w:rPr>
              <w:t>重点支出安排率=（重点项目支出/项目总支出）×100%</w:t>
            </w:r>
            <w:r>
              <w:rPr>
                <w:rFonts w:eastAsia="仿宋_GB2312"/>
                <w:kern w:val="0"/>
                <w:szCs w:val="21"/>
              </w:rPr>
              <w:br w:type="textWrapping"/>
            </w:r>
            <w:r>
              <w:rPr>
                <w:rFonts w:eastAsia="仿宋_GB2312"/>
                <w:kern w:val="0"/>
                <w:szCs w:val="21"/>
              </w:rPr>
              <w:t>重点项目支出：市委、市政府确定的为民办实事和部门重点工程与重点工作支出。</w:t>
            </w:r>
            <w:r>
              <w:rPr>
                <w:rFonts w:eastAsia="仿宋_GB2312"/>
                <w:kern w:val="0"/>
                <w:szCs w:val="21"/>
              </w:rPr>
              <w:br w:type="textWrapping"/>
            </w:r>
            <w:r>
              <w:rPr>
                <w:rFonts w:eastAsia="仿宋_GB2312"/>
                <w:kern w:val="0"/>
                <w:szCs w:val="21"/>
              </w:rPr>
              <w:t>项目总支出：部门（单位）年度预算安排的项目支出总额。</w:t>
            </w:r>
          </w:p>
        </w:tc>
        <w:tc>
          <w:tcPr>
            <w:tcW w:w="2107" w:type="dxa"/>
            <w:tcBorders>
              <w:top w:val="single" w:color="auto" w:sz="4" w:space="0"/>
              <w:left w:val="single" w:color="auto" w:sz="4" w:space="0"/>
              <w:bottom w:val="single" w:color="auto" w:sz="4" w:space="0"/>
              <w:right w:val="single" w:color="auto" w:sz="4" w:space="0"/>
            </w:tcBorders>
            <w:vAlign w:val="center"/>
          </w:tcPr>
          <w:p w14:paraId="6B61893E">
            <w:pPr>
              <w:widowControl/>
              <w:jc w:val="left"/>
              <w:rPr>
                <w:kern w:val="0"/>
                <w:szCs w:val="21"/>
              </w:rPr>
            </w:pPr>
            <w:r>
              <w:rPr>
                <w:kern w:val="0"/>
                <w:szCs w:val="21"/>
              </w:rPr>
              <w:t>　</w:t>
            </w:r>
            <w:r>
              <w:rPr>
                <w:rFonts w:hint="eastAsia" w:ascii="宋体" w:cs="宋体"/>
                <w:kern w:val="0"/>
                <w:sz w:val="24"/>
              </w:rPr>
              <w:t>4分（</w:t>
            </w:r>
            <w:r>
              <w:rPr>
                <w:rFonts w:hint="eastAsia" w:ascii="宋体" w:cs="宋体"/>
                <w:kern w:val="0"/>
                <w:sz w:val="24"/>
                <w:lang w:val="en-US" w:eastAsia="zh-CN"/>
              </w:rPr>
              <w:t>113.82</w:t>
            </w:r>
            <w:r>
              <w:rPr>
                <w:rFonts w:hint="eastAsia" w:ascii="宋体" w:cs="宋体"/>
                <w:kern w:val="0"/>
                <w:sz w:val="24"/>
              </w:rPr>
              <w:t>万元/100万元）*100%＝</w:t>
            </w:r>
            <w:r>
              <w:rPr>
                <w:rFonts w:hint="eastAsia" w:ascii="宋体" w:cs="宋体"/>
                <w:kern w:val="0"/>
                <w:sz w:val="24"/>
                <w:lang w:val="en-US" w:eastAsia="zh-CN"/>
              </w:rPr>
              <w:t>113.82</w:t>
            </w:r>
            <w:r>
              <w:rPr>
                <w:rFonts w:hint="eastAsia" w:ascii="宋体" w:cs="宋体"/>
                <w:kern w:val="0"/>
                <w:sz w:val="24"/>
              </w:rPr>
              <w:t>%</w:t>
            </w:r>
          </w:p>
        </w:tc>
      </w:tr>
      <w:tr w14:paraId="7E22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3"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7776B13E">
            <w:pPr>
              <w:widowControl/>
              <w:jc w:val="center"/>
              <w:rPr>
                <w:rFonts w:eastAsia="仿宋_GB2312"/>
                <w:kern w:val="0"/>
                <w:szCs w:val="21"/>
              </w:rPr>
            </w:pPr>
            <w:r>
              <w:rPr>
                <w:rFonts w:eastAsia="仿宋_GB2312"/>
                <w:kern w:val="0"/>
                <w:szCs w:val="21"/>
              </w:rPr>
              <w:t>过    程</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14:paraId="3E969FE7">
            <w:pPr>
              <w:widowControl/>
              <w:jc w:val="center"/>
              <w:rPr>
                <w:rFonts w:eastAsia="仿宋_GB2312"/>
                <w:kern w:val="0"/>
                <w:szCs w:val="21"/>
              </w:rPr>
            </w:pPr>
            <w:r>
              <w:rPr>
                <w:rFonts w:eastAsia="仿宋_GB2312"/>
                <w:kern w:val="0"/>
                <w:szCs w:val="21"/>
              </w:rPr>
              <w:t>预算执行</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14:paraId="19EC8153">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vAlign w:val="center"/>
          </w:tcPr>
          <w:p w14:paraId="74E39757">
            <w:pPr>
              <w:widowControl/>
              <w:jc w:val="center"/>
              <w:rPr>
                <w:rFonts w:eastAsia="仿宋_GB2312"/>
                <w:kern w:val="0"/>
                <w:szCs w:val="21"/>
              </w:rPr>
            </w:pPr>
            <w:r>
              <w:rPr>
                <w:rFonts w:eastAsia="仿宋_GB2312"/>
                <w:kern w:val="0"/>
                <w:szCs w:val="21"/>
              </w:rPr>
              <w:t>预算调整率</w:t>
            </w:r>
          </w:p>
        </w:tc>
        <w:tc>
          <w:tcPr>
            <w:tcW w:w="794" w:type="dxa"/>
            <w:tcBorders>
              <w:top w:val="single" w:color="auto" w:sz="4" w:space="0"/>
              <w:left w:val="single" w:color="auto" w:sz="4" w:space="0"/>
              <w:bottom w:val="single" w:color="auto" w:sz="4" w:space="0"/>
              <w:right w:val="single" w:color="auto" w:sz="4" w:space="0"/>
            </w:tcBorders>
            <w:vAlign w:val="center"/>
          </w:tcPr>
          <w:p w14:paraId="69FC816D">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14:paraId="33B24E74">
            <w:pPr>
              <w:widowControl/>
              <w:jc w:val="left"/>
              <w:rPr>
                <w:rFonts w:eastAsia="仿宋_GB2312"/>
                <w:kern w:val="0"/>
                <w:szCs w:val="21"/>
              </w:rPr>
            </w:pPr>
            <w:r>
              <w:rPr>
                <w:rFonts w:eastAsia="仿宋_GB2312"/>
                <w:kern w:val="0"/>
                <w:szCs w:val="21"/>
              </w:rPr>
              <w:t>预算调整率=0，计4分；</w:t>
            </w:r>
            <w:r>
              <w:rPr>
                <w:rFonts w:eastAsia="仿宋_GB2312"/>
                <w:kern w:val="0"/>
                <w:szCs w:val="21"/>
              </w:rPr>
              <w:br w:type="textWrapping"/>
            </w:r>
            <w:r>
              <w:rPr>
                <w:rFonts w:eastAsia="仿宋_GB2312"/>
                <w:kern w:val="0"/>
                <w:szCs w:val="21"/>
              </w:rPr>
              <w:t>0-10%（含），计3分；</w:t>
            </w:r>
            <w:r>
              <w:rPr>
                <w:rFonts w:eastAsia="仿宋_GB2312"/>
                <w:kern w:val="0"/>
                <w:szCs w:val="21"/>
              </w:rPr>
              <w:br w:type="textWrapping"/>
            </w:r>
            <w:r>
              <w:rPr>
                <w:rFonts w:eastAsia="仿宋_GB2312"/>
                <w:kern w:val="0"/>
                <w:szCs w:val="21"/>
              </w:rPr>
              <w:t>10-20%（含），计2分；</w:t>
            </w:r>
            <w:r>
              <w:rPr>
                <w:rFonts w:eastAsia="仿宋_GB2312"/>
                <w:kern w:val="0"/>
                <w:szCs w:val="21"/>
              </w:rPr>
              <w:br w:type="textWrapping"/>
            </w:r>
            <w:r>
              <w:rPr>
                <w:rFonts w:eastAsia="仿宋_GB2312"/>
                <w:kern w:val="0"/>
                <w:szCs w:val="21"/>
              </w:rPr>
              <w:t>20-30%（含），计1分；</w:t>
            </w:r>
            <w:r>
              <w:rPr>
                <w:rFonts w:eastAsia="仿宋_GB2312"/>
                <w:kern w:val="0"/>
                <w:szCs w:val="21"/>
              </w:rPr>
              <w:br w:type="textWrapping"/>
            </w:r>
            <w:r>
              <w:rPr>
                <w:rFonts w:eastAsia="仿宋_GB2312"/>
                <w:kern w:val="0"/>
                <w:szCs w:val="21"/>
              </w:rPr>
              <w:t>大于30%不得分。</w:t>
            </w:r>
          </w:p>
        </w:tc>
        <w:tc>
          <w:tcPr>
            <w:tcW w:w="3432" w:type="dxa"/>
            <w:tcBorders>
              <w:top w:val="single" w:color="auto" w:sz="4" w:space="0"/>
              <w:left w:val="single" w:color="auto" w:sz="4" w:space="0"/>
              <w:bottom w:val="single" w:color="auto" w:sz="4" w:space="0"/>
              <w:right w:val="single" w:color="auto" w:sz="4" w:space="0"/>
            </w:tcBorders>
            <w:vAlign w:val="center"/>
          </w:tcPr>
          <w:p w14:paraId="77135B12">
            <w:pPr>
              <w:widowControl/>
              <w:jc w:val="left"/>
              <w:rPr>
                <w:rFonts w:eastAsia="仿宋_GB2312"/>
                <w:kern w:val="0"/>
                <w:szCs w:val="21"/>
              </w:rPr>
            </w:pPr>
            <w:r>
              <w:rPr>
                <w:rFonts w:eastAsia="仿宋_GB2312"/>
                <w:kern w:val="0"/>
                <w:szCs w:val="21"/>
              </w:rPr>
              <w:t>预算调整率=（预算调整数/预算数）×100%。</w:t>
            </w:r>
            <w:r>
              <w:rPr>
                <w:rFonts w:eastAsia="仿宋_GB2312"/>
                <w:kern w:val="0"/>
                <w:szCs w:val="21"/>
              </w:rPr>
              <w:br w:type="textWrapping"/>
            </w:r>
            <w:r>
              <w:rPr>
                <w:rFonts w:eastAsia="仿宋_GB2312"/>
                <w:kern w:val="0"/>
                <w:szCs w:val="21"/>
              </w:rPr>
              <w:t>预算调整数：部门（单位）在本年度内涉及预算的追加、追减或结构调整的资金总和（因落实国家政策，发生不可抗力、上级部门或本级党委政府临时交办而产生的调整除外）。</w:t>
            </w:r>
          </w:p>
        </w:tc>
        <w:tc>
          <w:tcPr>
            <w:tcW w:w="2107" w:type="dxa"/>
            <w:tcBorders>
              <w:top w:val="single" w:color="auto" w:sz="4" w:space="0"/>
              <w:left w:val="single" w:color="auto" w:sz="4" w:space="0"/>
              <w:bottom w:val="single" w:color="auto" w:sz="4" w:space="0"/>
              <w:right w:val="single" w:color="auto" w:sz="4" w:space="0"/>
            </w:tcBorders>
            <w:vAlign w:val="center"/>
          </w:tcPr>
          <w:p w14:paraId="1F446E52">
            <w:pPr>
              <w:widowControl/>
              <w:jc w:val="left"/>
              <w:rPr>
                <w:kern w:val="0"/>
                <w:szCs w:val="21"/>
              </w:rPr>
            </w:pPr>
            <w:r>
              <w:rPr>
                <w:kern w:val="0"/>
                <w:szCs w:val="21"/>
              </w:rPr>
              <w:t>　</w:t>
            </w:r>
            <w:r>
              <w:rPr>
                <w:rFonts w:hint="eastAsia"/>
                <w:kern w:val="0"/>
                <w:szCs w:val="21"/>
              </w:rPr>
              <w:t>4分</w:t>
            </w:r>
          </w:p>
        </w:tc>
      </w:tr>
      <w:tr w14:paraId="5B3C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14:paraId="6A9A293B"/>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67ADDB31"/>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4B402BF8"/>
        </w:tc>
        <w:tc>
          <w:tcPr>
            <w:tcW w:w="1334" w:type="dxa"/>
            <w:tcBorders>
              <w:top w:val="single" w:color="auto" w:sz="4" w:space="0"/>
              <w:left w:val="single" w:color="auto" w:sz="4" w:space="0"/>
              <w:bottom w:val="single" w:color="auto" w:sz="4" w:space="0"/>
              <w:right w:val="single" w:color="auto" w:sz="4" w:space="0"/>
            </w:tcBorders>
            <w:vAlign w:val="center"/>
          </w:tcPr>
          <w:p w14:paraId="06EE3D75">
            <w:pPr>
              <w:widowControl/>
              <w:jc w:val="center"/>
              <w:rPr>
                <w:rFonts w:eastAsia="仿宋_GB2312"/>
                <w:kern w:val="0"/>
                <w:szCs w:val="21"/>
              </w:rPr>
            </w:pPr>
            <w:r>
              <w:rPr>
                <w:rFonts w:eastAsia="仿宋_GB2312"/>
                <w:kern w:val="0"/>
                <w:szCs w:val="21"/>
              </w:rPr>
              <w:t>支出进度</w:t>
            </w:r>
          </w:p>
        </w:tc>
        <w:tc>
          <w:tcPr>
            <w:tcW w:w="794" w:type="dxa"/>
            <w:tcBorders>
              <w:top w:val="single" w:color="auto" w:sz="4" w:space="0"/>
              <w:left w:val="single" w:color="auto" w:sz="4" w:space="0"/>
              <w:bottom w:val="single" w:color="auto" w:sz="4" w:space="0"/>
              <w:right w:val="single" w:color="auto" w:sz="4" w:space="0"/>
            </w:tcBorders>
            <w:vAlign w:val="center"/>
          </w:tcPr>
          <w:p w14:paraId="6F8C24DA">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14:paraId="235ADB02">
            <w:pPr>
              <w:widowControl/>
              <w:jc w:val="left"/>
              <w:rPr>
                <w:rFonts w:eastAsia="仿宋_GB2312"/>
                <w:kern w:val="0"/>
                <w:szCs w:val="21"/>
              </w:rPr>
            </w:pPr>
            <w:r>
              <w:rPr>
                <w:rFonts w:eastAsia="仿宋_GB2312"/>
                <w:kern w:val="0"/>
                <w:szCs w:val="21"/>
              </w:rPr>
              <w:t>单位基本支出和业务性专项应按季度使用，项目资金的支出应与实施进度一致。每发现一项资金未按进度支出使用扣0.5分，扣完为止。</w:t>
            </w:r>
          </w:p>
        </w:tc>
        <w:tc>
          <w:tcPr>
            <w:tcW w:w="3432" w:type="dxa"/>
            <w:tcBorders>
              <w:top w:val="single" w:color="auto" w:sz="4" w:space="0"/>
              <w:left w:val="single" w:color="auto" w:sz="4" w:space="0"/>
              <w:bottom w:val="single" w:color="auto" w:sz="4" w:space="0"/>
              <w:right w:val="single" w:color="auto" w:sz="4" w:space="0"/>
            </w:tcBorders>
            <w:vAlign w:val="center"/>
          </w:tcPr>
          <w:p w14:paraId="69EBBA05">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vAlign w:val="center"/>
          </w:tcPr>
          <w:p w14:paraId="2DF5F0BD">
            <w:pPr>
              <w:widowControl/>
              <w:jc w:val="left"/>
              <w:rPr>
                <w:kern w:val="0"/>
                <w:szCs w:val="21"/>
              </w:rPr>
            </w:pPr>
            <w:r>
              <w:rPr>
                <w:kern w:val="0"/>
                <w:szCs w:val="21"/>
              </w:rPr>
              <w:t>　</w:t>
            </w:r>
            <w:r>
              <w:rPr>
                <w:rFonts w:hint="eastAsia"/>
                <w:kern w:val="0"/>
                <w:szCs w:val="21"/>
              </w:rPr>
              <w:t>4分</w:t>
            </w:r>
          </w:p>
        </w:tc>
      </w:tr>
      <w:tr w14:paraId="461D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9"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14:paraId="2AF186BA">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779B42A2">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4D4099DF">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14:paraId="6CBD3C69">
            <w:pPr>
              <w:widowControl/>
              <w:jc w:val="center"/>
              <w:rPr>
                <w:rFonts w:eastAsia="仿宋_GB2312"/>
                <w:kern w:val="0"/>
                <w:szCs w:val="21"/>
              </w:rPr>
            </w:pPr>
            <w:r>
              <w:rPr>
                <w:rFonts w:eastAsia="仿宋_GB2312"/>
                <w:kern w:val="0"/>
                <w:szCs w:val="21"/>
              </w:rPr>
              <w:t>资金结余</w:t>
            </w:r>
          </w:p>
        </w:tc>
        <w:tc>
          <w:tcPr>
            <w:tcW w:w="794" w:type="dxa"/>
            <w:tcBorders>
              <w:top w:val="single" w:color="auto" w:sz="4" w:space="0"/>
              <w:left w:val="single" w:color="auto" w:sz="4" w:space="0"/>
              <w:bottom w:val="single" w:color="auto" w:sz="4" w:space="0"/>
              <w:right w:val="single" w:color="auto" w:sz="4" w:space="0"/>
            </w:tcBorders>
            <w:vAlign w:val="center"/>
          </w:tcPr>
          <w:p w14:paraId="1DC88AF9">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14:paraId="0A5724FA">
            <w:pPr>
              <w:widowControl/>
              <w:jc w:val="left"/>
              <w:rPr>
                <w:rFonts w:eastAsia="仿宋_GB2312"/>
                <w:kern w:val="0"/>
                <w:szCs w:val="21"/>
              </w:rPr>
            </w:pPr>
            <w:r>
              <w:rPr>
                <w:rFonts w:eastAsia="仿宋_GB2312"/>
                <w:kern w:val="0"/>
                <w:szCs w:val="21"/>
              </w:rPr>
              <w:t>当年无结余，4分；</w:t>
            </w:r>
            <w:r>
              <w:rPr>
                <w:rFonts w:eastAsia="仿宋_GB2312"/>
                <w:kern w:val="0"/>
                <w:szCs w:val="21"/>
              </w:rPr>
              <w:br w:type="textWrapping"/>
            </w:r>
            <w:r>
              <w:rPr>
                <w:rFonts w:eastAsia="仿宋_GB2312"/>
                <w:kern w:val="0"/>
                <w:szCs w:val="21"/>
              </w:rPr>
              <w:t>当年有结余，但不超过上年结转，3分；</w:t>
            </w:r>
            <w:r>
              <w:rPr>
                <w:rFonts w:eastAsia="仿宋_GB2312"/>
                <w:kern w:val="0"/>
                <w:szCs w:val="21"/>
              </w:rPr>
              <w:br w:type="textWrapping"/>
            </w:r>
            <w:r>
              <w:rPr>
                <w:rFonts w:eastAsia="仿宋_GB2312"/>
                <w:kern w:val="0"/>
                <w:szCs w:val="21"/>
              </w:rPr>
              <w:t>当年结余超过上年结转，不得分。</w:t>
            </w:r>
          </w:p>
        </w:tc>
        <w:tc>
          <w:tcPr>
            <w:tcW w:w="3432" w:type="dxa"/>
            <w:tcBorders>
              <w:top w:val="single" w:color="auto" w:sz="4" w:space="0"/>
              <w:left w:val="single" w:color="auto" w:sz="4" w:space="0"/>
              <w:bottom w:val="single" w:color="auto" w:sz="4" w:space="0"/>
              <w:right w:val="single" w:color="auto" w:sz="4" w:space="0"/>
            </w:tcBorders>
            <w:vAlign w:val="center"/>
          </w:tcPr>
          <w:p w14:paraId="605CD3EC">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vAlign w:val="center"/>
          </w:tcPr>
          <w:p w14:paraId="5B7800C6">
            <w:pPr>
              <w:widowControl/>
              <w:jc w:val="left"/>
              <w:rPr>
                <w:kern w:val="0"/>
                <w:szCs w:val="21"/>
              </w:rPr>
            </w:pPr>
            <w:r>
              <w:rPr>
                <w:kern w:val="0"/>
                <w:szCs w:val="21"/>
              </w:rPr>
              <w:t>　</w:t>
            </w:r>
            <w:r>
              <w:rPr>
                <w:rFonts w:hint="eastAsia"/>
                <w:kern w:val="0"/>
                <w:szCs w:val="21"/>
              </w:rPr>
              <w:t>4分（当年结余为0）</w:t>
            </w:r>
          </w:p>
        </w:tc>
      </w:tr>
      <w:tr w14:paraId="2D7B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14:paraId="1AF261C0">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2A6198E5">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6AE23B1A">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14:paraId="665F1D3D">
            <w:pPr>
              <w:widowControl/>
              <w:jc w:val="center"/>
              <w:rPr>
                <w:rFonts w:eastAsia="仿宋_GB2312"/>
                <w:kern w:val="0"/>
                <w:szCs w:val="21"/>
              </w:rPr>
            </w:pPr>
            <w:r>
              <w:rPr>
                <w:rFonts w:eastAsia="仿宋_GB2312"/>
                <w:kern w:val="0"/>
                <w:szCs w:val="21"/>
              </w:rPr>
              <w:t>“三公经费”</w:t>
            </w:r>
            <w:r>
              <w:rPr>
                <w:rFonts w:eastAsia="仿宋_GB2312"/>
                <w:kern w:val="0"/>
                <w:szCs w:val="21"/>
              </w:rPr>
              <w:br w:type="textWrapping"/>
            </w:r>
            <w:r>
              <w:rPr>
                <w:rFonts w:eastAsia="仿宋_GB2312"/>
                <w:kern w:val="0"/>
                <w:szCs w:val="21"/>
              </w:rPr>
              <w:t>控制率</w:t>
            </w:r>
          </w:p>
        </w:tc>
        <w:tc>
          <w:tcPr>
            <w:tcW w:w="794" w:type="dxa"/>
            <w:tcBorders>
              <w:top w:val="single" w:color="auto" w:sz="4" w:space="0"/>
              <w:left w:val="single" w:color="auto" w:sz="4" w:space="0"/>
              <w:bottom w:val="single" w:color="auto" w:sz="4" w:space="0"/>
              <w:right w:val="single" w:color="auto" w:sz="4" w:space="0"/>
            </w:tcBorders>
            <w:vAlign w:val="center"/>
          </w:tcPr>
          <w:p w14:paraId="14115ED8">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14:paraId="217A8631">
            <w:pPr>
              <w:widowControl/>
              <w:jc w:val="left"/>
              <w:rPr>
                <w:rFonts w:eastAsia="仿宋_GB2312"/>
                <w:kern w:val="0"/>
                <w:szCs w:val="21"/>
              </w:rPr>
            </w:pPr>
            <w:r>
              <w:rPr>
                <w:rFonts w:eastAsia="仿宋_GB2312"/>
                <w:kern w:val="0"/>
                <w:szCs w:val="21"/>
              </w:rPr>
              <w:t>以100%为标准。三公经费控制率</w:t>
            </w:r>
            <w:r>
              <w:rPr>
                <w:kern w:val="0"/>
                <w:szCs w:val="21"/>
              </w:rPr>
              <w:t>≦</w:t>
            </w:r>
            <w:r>
              <w:rPr>
                <w:rFonts w:eastAsia="仿宋_GB2312"/>
                <w:kern w:val="0"/>
                <w:szCs w:val="21"/>
              </w:rPr>
              <w:t>100%，计4分；每超过一个百分点扣1分，扣完为止。</w:t>
            </w:r>
          </w:p>
        </w:tc>
        <w:tc>
          <w:tcPr>
            <w:tcW w:w="3432" w:type="dxa"/>
            <w:tcBorders>
              <w:top w:val="single" w:color="auto" w:sz="4" w:space="0"/>
              <w:left w:val="single" w:color="auto" w:sz="4" w:space="0"/>
              <w:bottom w:val="single" w:color="auto" w:sz="4" w:space="0"/>
              <w:right w:val="single" w:color="auto" w:sz="4" w:space="0"/>
            </w:tcBorders>
            <w:vAlign w:val="center"/>
          </w:tcPr>
          <w:p w14:paraId="697826EB">
            <w:pPr>
              <w:widowControl/>
              <w:jc w:val="left"/>
              <w:rPr>
                <w:rFonts w:eastAsia="仿宋_GB2312"/>
                <w:kern w:val="0"/>
                <w:szCs w:val="21"/>
              </w:rPr>
            </w:pPr>
            <w:r>
              <w:rPr>
                <w:rFonts w:eastAsia="仿宋_GB2312"/>
                <w:kern w:val="0"/>
                <w:szCs w:val="21"/>
              </w:rPr>
              <w:t>“三公经费”控制率=（“三公经费”实际支出数/“三公经费”预算安排数）×100%。</w:t>
            </w:r>
          </w:p>
        </w:tc>
        <w:tc>
          <w:tcPr>
            <w:tcW w:w="2107" w:type="dxa"/>
            <w:tcBorders>
              <w:top w:val="single" w:color="auto" w:sz="4" w:space="0"/>
              <w:left w:val="single" w:color="auto" w:sz="4" w:space="0"/>
              <w:bottom w:val="single" w:color="auto" w:sz="4" w:space="0"/>
              <w:right w:val="single" w:color="auto" w:sz="4" w:space="0"/>
            </w:tcBorders>
            <w:vAlign w:val="center"/>
          </w:tcPr>
          <w:p w14:paraId="68FE28FE">
            <w:pPr>
              <w:widowControl/>
              <w:jc w:val="left"/>
              <w:rPr>
                <w:kern w:val="0"/>
                <w:szCs w:val="21"/>
              </w:rPr>
            </w:pPr>
            <w:r>
              <w:rPr>
                <w:kern w:val="0"/>
                <w:szCs w:val="21"/>
              </w:rPr>
              <w:t>　</w:t>
            </w:r>
            <w:r>
              <w:rPr>
                <w:rFonts w:hint="eastAsia" w:ascii="宋体" w:cs="宋体"/>
                <w:kern w:val="0"/>
                <w:sz w:val="24"/>
              </w:rPr>
              <w:t>4分[（</w:t>
            </w:r>
            <w:r>
              <w:rPr>
                <w:rFonts w:hint="eastAsia" w:ascii="宋体" w:cs="宋体"/>
                <w:kern w:val="0"/>
                <w:sz w:val="24"/>
                <w:lang w:val="en-US" w:eastAsia="zh-CN"/>
              </w:rPr>
              <w:t>0.44</w:t>
            </w:r>
            <w:r>
              <w:rPr>
                <w:rFonts w:hint="eastAsia" w:ascii="宋体" w:cs="宋体"/>
                <w:kern w:val="0"/>
                <w:sz w:val="24"/>
              </w:rPr>
              <w:t>万元-</w:t>
            </w:r>
            <w:r>
              <w:rPr>
                <w:rFonts w:hint="eastAsia" w:ascii="宋体" w:cs="宋体"/>
                <w:kern w:val="0"/>
                <w:sz w:val="24"/>
                <w:lang w:val="en-US" w:eastAsia="zh-CN"/>
              </w:rPr>
              <w:t>0.9</w:t>
            </w:r>
            <w:r>
              <w:rPr>
                <w:rFonts w:hint="eastAsia" w:ascii="宋体" w:cs="宋体"/>
                <w:kern w:val="0"/>
                <w:sz w:val="24"/>
              </w:rPr>
              <w:t>万元）/</w:t>
            </w:r>
            <w:r>
              <w:rPr>
                <w:rFonts w:hint="eastAsia" w:ascii="宋体" w:cs="宋体"/>
                <w:kern w:val="0"/>
                <w:sz w:val="24"/>
                <w:lang w:val="en-US" w:eastAsia="zh-CN"/>
              </w:rPr>
              <w:t>0.9</w:t>
            </w:r>
            <w:r>
              <w:rPr>
                <w:rFonts w:hint="eastAsia" w:ascii="宋体" w:cs="宋体"/>
                <w:kern w:val="0"/>
                <w:sz w:val="24"/>
              </w:rPr>
              <w:t>万元*100%＝-</w:t>
            </w:r>
            <w:r>
              <w:rPr>
                <w:rFonts w:hint="eastAsia" w:ascii="宋体" w:cs="宋体"/>
                <w:kern w:val="0"/>
                <w:sz w:val="24"/>
                <w:lang w:val="en-US" w:eastAsia="zh-CN"/>
              </w:rPr>
              <w:t>51.11</w:t>
            </w:r>
            <w:r>
              <w:rPr>
                <w:rFonts w:hint="eastAsia" w:ascii="宋体" w:cs="宋体"/>
                <w:kern w:val="0"/>
                <w:sz w:val="24"/>
              </w:rPr>
              <w:t>%]</w:t>
            </w:r>
          </w:p>
        </w:tc>
      </w:tr>
      <w:tr w14:paraId="3F40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2C3685EA">
            <w:pPr>
              <w:widowControl/>
              <w:jc w:val="center"/>
              <w:rPr>
                <w:rFonts w:eastAsia="仿宋_GB2312"/>
                <w:kern w:val="0"/>
                <w:szCs w:val="21"/>
              </w:rPr>
            </w:pPr>
            <w:r>
              <w:rPr>
                <w:rFonts w:eastAsia="仿宋_GB2312"/>
                <w:kern w:val="0"/>
                <w:szCs w:val="21"/>
              </w:rPr>
              <w:t>过      程</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14:paraId="223FC6E1">
            <w:pPr>
              <w:widowControl/>
              <w:jc w:val="left"/>
              <w:rPr>
                <w:rFonts w:eastAsia="仿宋_GB2312"/>
                <w:kern w:val="0"/>
                <w:szCs w:val="21"/>
              </w:rPr>
            </w:pPr>
            <w:r>
              <w:rPr>
                <w:rFonts w:eastAsia="仿宋_GB2312"/>
                <w:kern w:val="0"/>
                <w:szCs w:val="21"/>
              </w:rPr>
              <w:t>预算管理</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14:paraId="2E3A0AB2">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vAlign w:val="center"/>
          </w:tcPr>
          <w:p w14:paraId="5ABA3AD4">
            <w:pPr>
              <w:widowControl/>
              <w:jc w:val="center"/>
              <w:rPr>
                <w:rFonts w:eastAsia="仿宋_GB2312"/>
                <w:kern w:val="0"/>
                <w:szCs w:val="21"/>
              </w:rPr>
            </w:pPr>
            <w:r>
              <w:rPr>
                <w:rFonts w:eastAsia="仿宋_GB2312"/>
                <w:kern w:val="0"/>
                <w:szCs w:val="21"/>
              </w:rPr>
              <w:t>管理制度</w:t>
            </w:r>
            <w:r>
              <w:rPr>
                <w:rFonts w:eastAsia="仿宋_GB2312"/>
                <w:kern w:val="0"/>
                <w:szCs w:val="21"/>
              </w:rPr>
              <w:br w:type="textWrapping"/>
            </w:r>
            <w:r>
              <w:rPr>
                <w:rFonts w:eastAsia="仿宋_GB2312"/>
                <w:kern w:val="0"/>
                <w:szCs w:val="21"/>
              </w:rPr>
              <w:t>健全性</w:t>
            </w:r>
          </w:p>
        </w:tc>
        <w:tc>
          <w:tcPr>
            <w:tcW w:w="794" w:type="dxa"/>
            <w:tcBorders>
              <w:top w:val="single" w:color="auto" w:sz="4" w:space="0"/>
              <w:left w:val="single" w:color="auto" w:sz="4" w:space="0"/>
              <w:bottom w:val="single" w:color="auto" w:sz="4" w:space="0"/>
              <w:right w:val="single" w:color="auto" w:sz="4" w:space="0"/>
            </w:tcBorders>
            <w:vAlign w:val="center"/>
          </w:tcPr>
          <w:p w14:paraId="67D1BB45">
            <w:pPr>
              <w:widowControl/>
              <w:jc w:val="center"/>
              <w:rPr>
                <w:rFonts w:eastAsia="仿宋_GB2312"/>
                <w:kern w:val="0"/>
                <w:szCs w:val="21"/>
              </w:rPr>
            </w:pPr>
            <w:r>
              <w:rPr>
                <w:rFonts w:eastAsia="仿宋_GB2312"/>
                <w:kern w:val="0"/>
                <w:szCs w:val="21"/>
              </w:rPr>
              <w:t>6</w:t>
            </w:r>
          </w:p>
        </w:tc>
        <w:tc>
          <w:tcPr>
            <w:tcW w:w="4140" w:type="dxa"/>
            <w:tcBorders>
              <w:top w:val="single" w:color="auto" w:sz="4" w:space="0"/>
              <w:left w:val="single" w:color="auto" w:sz="4" w:space="0"/>
              <w:bottom w:val="single" w:color="auto" w:sz="4" w:space="0"/>
              <w:right w:val="single" w:color="auto" w:sz="4" w:space="0"/>
            </w:tcBorders>
            <w:vAlign w:val="center"/>
          </w:tcPr>
          <w:p w14:paraId="40152EFD">
            <w:pPr>
              <w:widowControl/>
              <w:jc w:val="left"/>
              <w:rPr>
                <w:rFonts w:eastAsia="仿宋_GB2312"/>
                <w:kern w:val="0"/>
                <w:szCs w:val="21"/>
              </w:rPr>
            </w:pPr>
            <w:r>
              <w:rPr>
                <w:rFonts w:eastAsia="仿宋_GB2312"/>
                <w:kern w:val="0"/>
                <w:szCs w:val="21"/>
              </w:rPr>
              <w:t>①已制定或具有预算资金管理办法，内部财务管理制度、会计核算制度等管理制度，2分；</w:t>
            </w:r>
            <w:r>
              <w:rPr>
                <w:rFonts w:eastAsia="仿宋_GB2312"/>
                <w:kern w:val="0"/>
                <w:szCs w:val="21"/>
              </w:rPr>
              <w:br w:type="textWrapping"/>
            </w:r>
            <w:r>
              <w:rPr>
                <w:rFonts w:eastAsia="仿宋_GB2312"/>
                <w:kern w:val="0"/>
                <w:szCs w:val="21"/>
              </w:rPr>
              <w:t>②相关管理制度合法、合规、完整，2分；</w:t>
            </w:r>
            <w:r>
              <w:rPr>
                <w:rFonts w:eastAsia="仿宋_GB2312"/>
                <w:kern w:val="0"/>
                <w:szCs w:val="21"/>
              </w:rPr>
              <w:br w:type="textWrapping"/>
            </w:r>
            <w:r>
              <w:rPr>
                <w:rFonts w:eastAsia="仿宋_GB2312"/>
                <w:kern w:val="0"/>
                <w:szCs w:val="21"/>
              </w:rPr>
              <w:t>③相关管理制度得到有效执行，2分。</w:t>
            </w:r>
          </w:p>
        </w:tc>
        <w:tc>
          <w:tcPr>
            <w:tcW w:w="3432" w:type="dxa"/>
            <w:tcBorders>
              <w:top w:val="single" w:color="auto" w:sz="4" w:space="0"/>
              <w:left w:val="single" w:color="auto" w:sz="4" w:space="0"/>
              <w:bottom w:val="single" w:color="auto" w:sz="4" w:space="0"/>
              <w:right w:val="single" w:color="auto" w:sz="4" w:space="0"/>
            </w:tcBorders>
            <w:vAlign w:val="center"/>
          </w:tcPr>
          <w:p w14:paraId="3B812E47">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vAlign w:val="center"/>
          </w:tcPr>
          <w:p w14:paraId="5EDFA55E">
            <w:pPr>
              <w:widowControl/>
              <w:jc w:val="left"/>
              <w:rPr>
                <w:kern w:val="0"/>
                <w:szCs w:val="21"/>
              </w:rPr>
            </w:pPr>
            <w:r>
              <w:rPr>
                <w:kern w:val="0"/>
                <w:szCs w:val="21"/>
              </w:rPr>
              <w:t>　</w:t>
            </w:r>
            <w:r>
              <w:rPr>
                <w:rFonts w:hint="eastAsia" w:ascii="宋体" w:cs="宋体"/>
                <w:kern w:val="0"/>
                <w:sz w:val="24"/>
              </w:rPr>
              <w:t>6分（①+②+③）</w:t>
            </w:r>
          </w:p>
        </w:tc>
      </w:tr>
      <w:tr w14:paraId="3FBC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0"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14:paraId="026C3979">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7524BB02">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5312CAB6">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14:paraId="527D2419">
            <w:pPr>
              <w:widowControl/>
              <w:jc w:val="center"/>
              <w:rPr>
                <w:rFonts w:eastAsia="仿宋_GB2312"/>
                <w:kern w:val="0"/>
                <w:szCs w:val="21"/>
              </w:rPr>
            </w:pPr>
            <w:r>
              <w:rPr>
                <w:rFonts w:eastAsia="仿宋_GB2312"/>
                <w:kern w:val="0"/>
                <w:szCs w:val="21"/>
              </w:rPr>
              <w:t>资金使用</w:t>
            </w:r>
            <w:r>
              <w:rPr>
                <w:rFonts w:eastAsia="仿宋_GB2312"/>
                <w:kern w:val="0"/>
                <w:szCs w:val="21"/>
              </w:rPr>
              <w:br w:type="textWrapping"/>
            </w:r>
            <w:r>
              <w:rPr>
                <w:rFonts w:eastAsia="仿宋_GB2312"/>
                <w:kern w:val="0"/>
                <w:szCs w:val="21"/>
              </w:rPr>
              <w:t>合规性</w:t>
            </w:r>
          </w:p>
        </w:tc>
        <w:tc>
          <w:tcPr>
            <w:tcW w:w="794" w:type="dxa"/>
            <w:tcBorders>
              <w:top w:val="single" w:color="auto" w:sz="4" w:space="0"/>
              <w:left w:val="single" w:color="auto" w:sz="4" w:space="0"/>
              <w:bottom w:val="single" w:color="auto" w:sz="4" w:space="0"/>
              <w:right w:val="single" w:color="auto" w:sz="4" w:space="0"/>
            </w:tcBorders>
            <w:vAlign w:val="center"/>
          </w:tcPr>
          <w:p w14:paraId="257BDB5D">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vAlign w:val="center"/>
          </w:tcPr>
          <w:p w14:paraId="2F353CCE">
            <w:pPr>
              <w:widowControl/>
              <w:jc w:val="left"/>
              <w:rPr>
                <w:rFonts w:eastAsia="仿宋_GB2312"/>
                <w:kern w:val="0"/>
                <w:szCs w:val="21"/>
              </w:rPr>
            </w:pPr>
            <w:r>
              <w:rPr>
                <w:rFonts w:eastAsia="仿宋_GB2312"/>
                <w:kern w:val="0"/>
                <w:szCs w:val="21"/>
              </w:rPr>
              <w:t>①支出符合国家财经法规和财务管理制度规定以及有关专项资金管理办法的规定；</w:t>
            </w:r>
            <w:r>
              <w:rPr>
                <w:rFonts w:eastAsia="仿宋_GB2312"/>
                <w:kern w:val="0"/>
                <w:szCs w:val="21"/>
              </w:rPr>
              <w:br w:type="textWrapping"/>
            </w:r>
            <w:r>
              <w:rPr>
                <w:rFonts w:eastAsia="仿宋_GB2312"/>
                <w:kern w:val="0"/>
                <w:szCs w:val="21"/>
              </w:rPr>
              <w:t>②资金拨付有完整的审批程序和手续；</w:t>
            </w:r>
            <w:r>
              <w:rPr>
                <w:rFonts w:eastAsia="仿宋_GB2312"/>
                <w:kern w:val="0"/>
                <w:szCs w:val="21"/>
              </w:rPr>
              <w:br w:type="textWrapping"/>
            </w:r>
            <w:r>
              <w:rPr>
                <w:rFonts w:eastAsia="仿宋_GB2312"/>
                <w:kern w:val="0"/>
                <w:szCs w:val="21"/>
              </w:rPr>
              <w:t>③项目支出符合政府采购及基建预决算评审相关要求；</w:t>
            </w:r>
            <w:r>
              <w:rPr>
                <w:rFonts w:eastAsia="仿宋_GB2312"/>
                <w:kern w:val="0"/>
                <w:szCs w:val="21"/>
              </w:rPr>
              <w:br w:type="textWrapping"/>
            </w:r>
            <w:r>
              <w:rPr>
                <w:rFonts w:eastAsia="仿宋_GB2312"/>
                <w:kern w:val="0"/>
                <w:szCs w:val="21"/>
              </w:rPr>
              <w:t>④支出符合部门预算批复的用途；</w:t>
            </w:r>
            <w:r>
              <w:rPr>
                <w:rFonts w:eastAsia="仿宋_GB2312"/>
                <w:kern w:val="0"/>
                <w:szCs w:val="21"/>
              </w:rPr>
              <w:br w:type="textWrapping"/>
            </w:r>
            <w:r>
              <w:rPr>
                <w:rFonts w:eastAsia="仿宋_GB2312"/>
                <w:kern w:val="0"/>
                <w:szCs w:val="21"/>
              </w:rPr>
              <w:t>⑤资金使用无截留、挤占、挪用、虚列支出等情况。</w:t>
            </w:r>
            <w:r>
              <w:rPr>
                <w:rFonts w:eastAsia="仿宋_GB2312"/>
                <w:kern w:val="0"/>
                <w:szCs w:val="21"/>
              </w:rPr>
              <w:br w:type="textWrapping"/>
            </w:r>
            <w:r>
              <w:rPr>
                <w:rFonts w:eastAsia="仿宋_GB2312"/>
                <w:kern w:val="0"/>
                <w:szCs w:val="21"/>
              </w:rPr>
              <w:t>以上情况每出现一例不符合要求的扣1分，扣完为止。</w:t>
            </w:r>
          </w:p>
        </w:tc>
        <w:tc>
          <w:tcPr>
            <w:tcW w:w="3432" w:type="dxa"/>
            <w:tcBorders>
              <w:top w:val="single" w:color="auto" w:sz="4" w:space="0"/>
              <w:left w:val="single" w:color="auto" w:sz="4" w:space="0"/>
              <w:bottom w:val="single" w:color="auto" w:sz="4" w:space="0"/>
              <w:right w:val="single" w:color="auto" w:sz="4" w:space="0"/>
            </w:tcBorders>
            <w:vAlign w:val="center"/>
          </w:tcPr>
          <w:p w14:paraId="3CA5497A">
            <w:pPr>
              <w:widowControl/>
              <w:jc w:val="left"/>
              <w:rPr>
                <w:rFonts w:eastAsia="仿宋_GB2312"/>
                <w:kern w:val="0"/>
                <w:szCs w:val="21"/>
              </w:rPr>
            </w:pPr>
            <w:r>
              <w:rPr>
                <w:rFonts w:eastAsia="仿宋_GB2312"/>
                <w:kern w:val="0"/>
                <w:szCs w:val="21"/>
              </w:rPr>
              <w:t>部门（单位）使用预算资金是否符合相关的预算财务管理制度的规定，用以反映和考核部门（单位）预算资金的规范运行情况。</w:t>
            </w:r>
          </w:p>
        </w:tc>
        <w:tc>
          <w:tcPr>
            <w:tcW w:w="2107" w:type="dxa"/>
            <w:tcBorders>
              <w:top w:val="single" w:color="auto" w:sz="4" w:space="0"/>
              <w:left w:val="single" w:color="auto" w:sz="4" w:space="0"/>
              <w:bottom w:val="single" w:color="auto" w:sz="4" w:space="0"/>
              <w:right w:val="single" w:color="auto" w:sz="4" w:space="0"/>
            </w:tcBorders>
            <w:vAlign w:val="center"/>
          </w:tcPr>
          <w:p w14:paraId="635CFEEA">
            <w:pPr>
              <w:widowControl/>
              <w:jc w:val="left"/>
              <w:rPr>
                <w:kern w:val="0"/>
                <w:szCs w:val="21"/>
              </w:rPr>
            </w:pPr>
            <w:r>
              <w:rPr>
                <w:kern w:val="0"/>
                <w:szCs w:val="21"/>
              </w:rPr>
              <w:t>　　</w:t>
            </w:r>
            <w:r>
              <w:rPr>
                <w:rFonts w:hint="eastAsia" w:ascii="宋体" w:cs="宋体"/>
                <w:kern w:val="0"/>
                <w:sz w:val="24"/>
              </w:rPr>
              <w:t>5分（①+②+③+④+⑤）</w:t>
            </w:r>
          </w:p>
        </w:tc>
      </w:tr>
      <w:tr w14:paraId="64EA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3"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14:paraId="50C12134">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1DB651F7">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50507754">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14:paraId="523109C5">
            <w:pPr>
              <w:widowControl/>
              <w:jc w:val="center"/>
              <w:rPr>
                <w:rFonts w:eastAsia="仿宋_GB2312"/>
                <w:kern w:val="0"/>
                <w:szCs w:val="21"/>
              </w:rPr>
            </w:pPr>
            <w:r>
              <w:rPr>
                <w:rFonts w:eastAsia="仿宋_GB2312"/>
                <w:kern w:val="0"/>
                <w:szCs w:val="21"/>
              </w:rPr>
              <w:t>预决算信息公开性和完善性</w:t>
            </w:r>
          </w:p>
        </w:tc>
        <w:tc>
          <w:tcPr>
            <w:tcW w:w="794" w:type="dxa"/>
            <w:tcBorders>
              <w:top w:val="single" w:color="auto" w:sz="4" w:space="0"/>
              <w:left w:val="single" w:color="auto" w:sz="4" w:space="0"/>
              <w:bottom w:val="single" w:color="auto" w:sz="4" w:space="0"/>
              <w:right w:val="single" w:color="auto" w:sz="4" w:space="0"/>
            </w:tcBorders>
            <w:vAlign w:val="center"/>
          </w:tcPr>
          <w:p w14:paraId="26283F6A">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vAlign w:val="center"/>
          </w:tcPr>
          <w:p w14:paraId="1CF28548">
            <w:pPr>
              <w:widowControl/>
              <w:jc w:val="left"/>
              <w:rPr>
                <w:rFonts w:eastAsia="仿宋_GB2312"/>
                <w:kern w:val="0"/>
                <w:szCs w:val="21"/>
              </w:rPr>
            </w:pPr>
            <w:r>
              <w:rPr>
                <w:rFonts w:eastAsia="仿宋_GB2312"/>
                <w:kern w:val="0"/>
                <w:szCs w:val="21"/>
              </w:rPr>
              <w:t>①按规定内容公开预决算信息，1分；</w:t>
            </w:r>
            <w:r>
              <w:rPr>
                <w:rFonts w:eastAsia="仿宋_GB2312"/>
                <w:kern w:val="0"/>
                <w:szCs w:val="21"/>
              </w:rPr>
              <w:br w:type="textWrapping"/>
            </w:r>
            <w:r>
              <w:rPr>
                <w:rFonts w:eastAsia="仿宋_GB2312"/>
                <w:kern w:val="0"/>
                <w:szCs w:val="21"/>
              </w:rPr>
              <w:t>②按规定时限公开预决算信息，1分；</w:t>
            </w:r>
            <w:r>
              <w:rPr>
                <w:rFonts w:eastAsia="仿宋_GB2312"/>
                <w:kern w:val="0"/>
                <w:szCs w:val="21"/>
              </w:rPr>
              <w:br w:type="textWrapping"/>
            </w:r>
            <w:r>
              <w:rPr>
                <w:rFonts w:eastAsia="仿宋_GB2312"/>
                <w:kern w:val="0"/>
                <w:szCs w:val="21"/>
              </w:rPr>
              <w:t>③基础数据信息和会计信息资料真实，1分；</w:t>
            </w:r>
            <w:r>
              <w:rPr>
                <w:rFonts w:eastAsia="仿宋_GB2312"/>
                <w:kern w:val="0"/>
                <w:szCs w:val="21"/>
              </w:rPr>
              <w:br w:type="textWrapping"/>
            </w:r>
            <w:r>
              <w:rPr>
                <w:rFonts w:eastAsia="仿宋_GB2312"/>
                <w:kern w:val="0"/>
                <w:szCs w:val="21"/>
              </w:rPr>
              <w:t>④基础数据信息和会计信息资料完整，1分；</w:t>
            </w:r>
            <w:r>
              <w:rPr>
                <w:rFonts w:eastAsia="仿宋_GB2312"/>
                <w:kern w:val="0"/>
                <w:szCs w:val="21"/>
              </w:rPr>
              <w:br w:type="textWrapping"/>
            </w:r>
            <w:r>
              <w:rPr>
                <w:rFonts w:eastAsia="仿宋_GB2312"/>
                <w:kern w:val="0"/>
                <w:szCs w:val="21"/>
              </w:rPr>
              <w:t xml:space="preserve">⑤基础数据信息和汇集信息资料准确，1分。                                            </w:t>
            </w:r>
          </w:p>
        </w:tc>
        <w:tc>
          <w:tcPr>
            <w:tcW w:w="3432" w:type="dxa"/>
            <w:tcBorders>
              <w:top w:val="single" w:color="auto" w:sz="4" w:space="0"/>
              <w:left w:val="single" w:color="auto" w:sz="4" w:space="0"/>
              <w:bottom w:val="single" w:color="auto" w:sz="4" w:space="0"/>
              <w:right w:val="single" w:color="auto" w:sz="4" w:space="0"/>
            </w:tcBorders>
            <w:vAlign w:val="center"/>
          </w:tcPr>
          <w:p w14:paraId="084AB8F5">
            <w:pPr>
              <w:widowControl/>
              <w:jc w:val="left"/>
              <w:rPr>
                <w:rFonts w:eastAsia="仿宋_GB2312"/>
                <w:kern w:val="0"/>
                <w:szCs w:val="21"/>
              </w:rPr>
            </w:pPr>
            <w:r>
              <w:rPr>
                <w:rFonts w:eastAsia="仿宋_GB2312"/>
                <w:kern w:val="0"/>
                <w:szCs w:val="21"/>
              </w:rPr>
              <w:t xml:space="preserve">预决算信息是指与部门预算、执行、决算、监督、绩效等管理相关的信息。                                            </w:t>
            </w:r>
          </w:p>
        </w:tc>
        <w:tc>
          <w:tcPr>
            <w:tcW w:w="2107" w:type="dxa"/>
            <w:tcBorders>
              <w:top w:val="single" w:color="auto" w:sz="4" w:space="0"/>
              <w:left w:val="single" w:color="auto" w:sz="4" w:space="0"/>
              <w:bottom w:val="single" w:color="auto" w:sz="4" w:space="0"/>
              <w:right w:val="single" w:color="auto" w:sz="4" w:space="0"/>
            </w:tcBorders>
            <w:vAlign w:val="center"/>
          </w:tcPr>
          <w:p w14:paraId="733DAE1D">
            <w:pPr>
              <w:widowControl/>
              <w:jc w:val="left"/>
              <w:rPr>
                <w:kern w:val="0"/>
                <w:szCs w:val="21"/>
              </w:rPr>
            </w:pPr>
            <w:r>
              <w:rPr>
                <w:kern w:val="0"/>
                <w:szCs w:val="21"/>
              </w:rPr>
              <w:t>　　</w:t>
            </w:r>
            <w:r>
              <w:rPr>
                <w:rFonts w:hint="eastAsia" w:ascii="宋体" w:cs="宋体"/>
                <w:kern w:val="0"/>
                <w:sz w:val="24"/>
              </w:rPr>
              <w:t>5分（①+②+③+④+⑤）</w:t>
            </w:r>
          </w:p>
        </w:tc>
      </w:tr>
      <w:tr w14:paraId="331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7"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14:paraId="247A51A1">
            <w:pPr>
              <w:rPr>
                <w:szCs w:val="21"/>
              </w:rPr>
            </w:pPr>
          </w:p>
        </w:tc>
        <w:tc>
          <w:tcPr>
            <w:tcW w:w="775" w:type="dxa"/>
            <w:vMerge w:val="restart"/>
            <w:tcBorders>
              <w:top w:val="single" w:color="auto" w:sz="4" w:space="0"/>
              <w:left w:val="single" w:color="auto" w:sz="4" w:space="0"/>
              <w:bottom w:val="single" w:color="auto" w:sz="4" w:space="0"/>
              <w:right w:val="single" w:color="auto" w:sz="4" w:space="0"/>
            </w:tcBorders>
            <w:vAlign w:val="center"/>
          </w:tcPr>
          <w:p w14:paraId="790B15CA">
            <w:pPr>
              <w:widowControl/>
              <w:jc w:val="center"/>
              <w:rPr>
                <w:rFonts w:eastAsia="仿宋_GB2312"/>
                <w:kern w:val="0"/>
                <w:szCs w:val="21"/>
              </w:rPr>
            </w:pPr>
            <w:r>
              <w:rPr>
                <w:rFonts w:eastAsia="仿宋_GB2312"/>
                <w:kern w:val="0"/>
                <w:szCs w:val="21"/>
              </w:rPr>
              <w:t>资产管理</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14:paraId="558191C9">
            <w:pPr>
              <w:widowControl/>
              <w:jc w:val="center"/>
              <w:rPr>
                <w:rFonts w:eastAsia="仿宋_GB2312"/>
                <w:kern w:val="0"/>
                <w:szCs w:val="21"/>
              </w:rPr>
            </w:pPr>
            <w:r>
              <w:rPr>
                <w:rFonts w:eastAsia="仿宋_GB2312"/>
                <w:kern w:val="0"/>
                <w:szCs w:val="21"/>
              </w:rPr>
              <w:t>12</w:t>
            </w:r>
          </w:p>
        </w:tc>
        <w:tc>
          <w:tcPr>
            <w:tcW w:w="1334" w:type="dxa"/>
            <w:tcBorders>
              <w:top w:val="single" w:color="auto" w:sz="4" w:space="0"/>
              <w:left w:val="single" w:color="auto" w:sz="4" w:space="0"/>
              <w:bottom w:val="single" w:color="auto" w:sz="4" w:space="0"/>
              <w:right w:val="single" w:color="auto" w:sz="4" w:space="0"/>
            </w:tcBorders>
            <w:vAlign w:val="center"/>
          </w:tcPr>
          <w:p w14:paraId="5C2C62CF">
            <w:pPr>
              <w:widowControl/>
              <w:jc w:val="center"/>
              <w:rPr>
                <w:rFonts w:eastAsia="仿宋_GB2312"/>
                <w:kern w:val="0"/>
                <w:szCs w:val="21"/>
              </w:rPr>
            </w:pPr>
            <w:r>
              <w:rPr>
                <w:rFonts w:eastAsia="仿宋_GB2312"/>
                <w:kern w:val="0"/>
                <w:szCs w:val="21"/>
              </w:rPr>
              <w:t>管理制度</w:t>
            </w:r>
            <w:r>
              <w:rPr>
                <w:rFonts w:eastAsia="仿宋_GB2312"/>
                <w:kern w:val="0"/>
                <w:szCs w:val="21"/>
              </w:rPr>
              <w:br w:type="textWrapping"/>
            </w:r>
            <w:r>
              <w:rPr>
                <w:rFonts w:eastAsia="仿宋_GB2312"/>
                <w:kern w:val="0"/>
                <w:szCs w:val="21"/>
              </w:rPr>
              <w:t>健全性</w:t>
            </w:r>
          </w:p>
        </w:tc>
        <w:tc>
          <w:tcPr>
            <w:tcW w:w="794" w:type="dxa"/>
            <w:tcBorders>
              <w:top w:val="single" w:color="auto" w:sz="4" w:space="0"/>
              <w:left w:val="single" w:color="auto" w:sz="4" w:space="0"/>
              <w:bottom w:val="single" w:color="auto" w:sz="4" w:space="0"/>
              <w:right w:val="single" w:color="auto" w:sz="4" w:space="0"/>
            </w:tcBorders>
            <w:vAlign w:val="center"/>
          </w:tcPr>
          <w:p w14:paraId="1B43528E">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14:paraId="42B09193">
            <w:pPr>
              <w:widowControl/>
              <w:jc w:val="left"/>
              <w:rPr>
                <w:rFonts w:eastAsia="仿宋_GB2312"/>
                <w:kern w:val="0"/>
                <w:szCs w:val="21"/>
              </w:rPr>
            </w:pPr>
            <w:r>
              <w:rPr>
                <w:rFonts w:eastAsia="仿宋_GB2312"/>
                <w:kern w:val="0"/>
                <w:szCs w:val="21"/>
              </w:rPr>
              <w:t>①已制定或具有资产管理制度，1分；</w:t>
            </w:r>
            <w:r>
              <w:rPr>
                <w:rFonts w:eastAsia="仿宋_GB2312"/>
                <w:kern w:val="0"/>
                <w:szCs w:val="21"/>
              </w:rPr>
              <w:br w:type="textWrapping"/>
            </w:r>
            <w:r>
              <w:rPr>
                <w:rFonts w:eastAsia="仿宋_GB2312"/>
                <w:kern w:val="0"/>
                <w:szCs w:val="21"/>
              </w:rPr>
              <w:t>②相关资产管理制度合法、合规、完整，1分；</w:t>
            </w:r>
            <w:r>
              <w:rPr>
                <w:rFonts w:eastAsia="仿宋_GB2312"/>
                <w:kern w:val="0"/>
                <w:szCs w:val="21"/>
              </w:rPr>
              <w:br w:type="textWrapping"/>
            </w:r>
            <w:r>
              <w:rPr>
                <w:rFonts w:eastAsia="仿宋_GB2312"/>
                <w:kern w:val="0"/>
                <w:szCs w:val="21"/>
              </w:rPr>
              <w:t xml:space="preserve">③相关资产管理制度得到有效执行，2分。                                           </w:t>
            </w:r>
          </w:p>
        </w:tc>
        <w:tc>
          <w:tcPr>
            <w:tcW w:w="3432" w:type="dxa"/>
            <w:tcBorders>
              <w:top w:val="single" w:color="auto" w:sz="4" w:space="0"/>
              <w:left w:val="single" w:color="auto" w:sz="4" w:space="0"/>
              <w:bottom w:val="single" w:color="auto" w:sz="4" w:space="0"/>
              <w:right w:val="single" w:color="auto" w:sz="4" w:space="0"/>
            </w:tcBorders>
            <w:vAlign w:val="center"/>
          </w:tcPr>
          <w:p w14:paraId="4BE39641">
            <w:pPr>
              <w:widowControl/>
              <w:jc w:val="left"/>
              <w:rPr>
                <w:rFonts w:eastAsia="仿宋_GB2312"/>
                <w:kern w:val="0"/>
                <w:szCs w:val="21"/>
              </w:rPr>
            </w:pPr>
            <w:r>
              <w:rPr>
                <w:rFonts w:eastAsia="仿宋_GB2312"/>
                <w:kern w:val="0"/>
                <w:szCs w:val="21"/>
              </w:rPr>
              <w:t>部门（单位）为加强资产管理，规范资产管理行为而制定的管理制度是否健全完整、用以反映和考核部门（单位）资产管理制度对完成主要职责或促进社会发展的保障情况</w:t>
            </w:r>
          </w:p>
        </w:tc>
        <w:tc>
          <w:tcPr>
            <w:tcW w:w="2107" w:type="dxa"/>
            <w:tcBorders>
              <w:top w:val="single" w:color="auto" w:sz="4" w:space="0"/>
              <w:left w:val="single" w:color="auto" w:sz="4" w:space="0"/>
              <w:bottom w:val="single" w:color="auto" w:sz="4" w:space="0"/>
              <w:right w:val="single" w:color="auto" w:sz="4" w:space="0"/>
            </w:tcBorders>
            <w:vAlign w:val="center"/>
          </w:tcPr>
          <w:p w14:paraId="60CC8905">
            <w:pPr>
              <w:widowControl/>
              <w:jc w:val="left"/>
              <w:rPr>
                <w:kern w:val="0"/>
                <w:szCs w:val="21"/>
              </w:rPr>
            </w:pPr>
            <w:r>
              <w:rPr>
                <w:rFonts w:hint="eastAsia" w:ascii="宋体" w:cs="宋体"/>
                <w:kern w:val="0"/>
                <w:sz w:val="24"/>
              </w:rPr>
              <w:t>4分（①+②+③）</w:t>
            </w:r>
            <w:r>
              <w:rPr>
                <w:kern w:val="0"/>
                <w:szCs w:val="21"/>
              </w:rPr>
              <w:t>　</w:t>
            </w:r>
          </w:p>
        </w:tc>
      </w:tr>
      <w:tr w14:paraId="7B49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14:paraId="6C5336F3">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6D6853C9">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4E3A7E90">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14:paraId="4430A6DC">
            <w:pPr>
              <w:widowControl/>
              <w:jc w:val="center"/>
              <w:rPr>
                <w:rFonts w:eastAsia="仿宋_GB2312"/>
                <w:kern w:val="0"/>
                <w:szCs w:val="21"/>
              </w:rPr>
            </w:pPr>
            <w:r>
              <w:rPr>
                <w:rFonts w:eastAsia="仿宋_GB2312"/>
                <w:kern w:val="0"/>
                <w:szCs w:val="21"/>
              </w:rPr>
              <w:t>资产管理</w:t>
            </w:r>
            <w:r>
              <w:rPr>
                <w:rFonts w:eastAsia="仿宋_GB2312"/>
                <w:kern w:val="0"/>
                <w:szCs w:val="21"/>
              </w:rPr>
              <w:br w:type="textWrapping"/>
            </w:r>
            <w:r>
              <w:rPr>
                <w:rFonts w:eastAsia="仿宋_GB2312"/>
                <w:kern w:val="0"/>
                <w:szCs w:val="21"/>
              </w:rPr>
              <w:t>安全性</w:t>
            </w:r>
          </w:p>
        </w:tc>
        <w:tc>
          <w:tcPr>
            <w:tcW w:w="794" w:type="dxa"/>
            <w:tcBorders>
              <w:top w:val="single" w:color="auto" w:sz="4" w:space="0"/>
              <w:left w:val="single" w:color="auto" w:sz="4" w:space="0"/>
              <w:bottom w:val="single" w:color="auto" w:sz="4" w:space="0"/>
              <w:right w:val="single" w:color="auto" w:sz="4" w:space="0"/>
            </w:tcBorders>
            <w:vAlign w:val="center"/>
          </w:tcPr>
          <w:p w14:paraId="0E4C7CA4">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vAlign w:val="center"/>
          </w:tcPr>
          <w:p w14:paraId="529F09CB">
            <w:pPr>
              <w:widowControl/>
              <w:jc w:val="left"/>
              <w:rPr>
                <w:rFonts w:eastAsia="仿宋_GB2312"/>
                <w:kern w:val="0"/>
                <w:szCs w:val="21"/>
              </w:rPr>
            </w:pPr>
            <w:r>
              <w:rPr>
                <w:rFonts w:eastAsia="仿宋_GB2312"/>
                <w:kern w:val="0"/>
                <w:szCs w:val="21"/>
              </w:rPr>
              <w:t>①资产保存完整；</w:t>
            </w:r>
            <w:r>
              <w:rPr>
                <w:rFonts w:eastAsia="仿宋_GB2312"/>
                <w:kern w:val="0"/>
                <w:szCs w:val="21"/>
              </w:rPr>
              <w:br w:type="textWrapping"/>
            </w:r>
            <w:r>
              <w:rPr>
                <w:rFonts w:eastAsia="仿宋_GB2312"/>
                <w:kern w:val="0"/>
                <w:szCs w:val="21"/>
              </w:rPr>
              <w:t>②资产配置合理；</w:t>
            </w:r>
            <w:r>
              <w:rPr>
                <w:rFonts w:eastAsia="仿宋_GB2312"/>
                <w:kern w:val="0"/>
                <w:szCs w:val="21"/>
              </w:rPr>
              <w:br w:type="textWrapping"/>
            </w:r>
            <w:r>
              <w:rPr>
                <w:rFonts w:eastAsia="仿宋_GB2312"/>
                <w:kern w:val="0"/>
                <w:szCs w:val="21"/>
              </w:rPr>
              <w:t xml:space="preserve">③资产处置规范； </w:t>
            </w:r>
            <w:r>
              <w:rPr>
                <w:rFonts w:eastAsia="仿宋_GB2312"/>
                <w:kern w:val="0"/>
                <w:szCs w:val="21"/>
              </w:rPr>
              <w:br w:type="textWrapping"/>
            </w:r>
            <w:r>
              <w:rPr>
                <w:rFonts w:eastAsia="仿宋_GB2312"/>
                <w:kern w:val="0"/>
                <w:szCs w:val="21"/>
              </w:rPr>
              <w:t>④资产账务管理合规，帐实相符；</w:t>
            </w:r>
            <w:r>
              <w:rPr>
                <w:rFonts w:eastAsia="仿宋_GB2312"/>
                <w:kern w:val="0"/>
                <w:szCs w:val="21"/>
              </w:rPr>
              <w:br w:type="textWrapping"/>
            </w:r>
            <w:r>
              <w:rPr>
                <w:rFonts w:eastAsia="仿宋_GB2312"/>
                <w:kern w:val="0"/>
                <w:szCs w:val="21"/>
              </w:rPr>
              <w:t>⑤资产有偿使用及处置收入及时足额上缴；</w:t>
            </w:r>
            <w:r>
              <w:rPr>
                <w:rFonts w:eastAsia="仿宋_GB2312"/>
                <w:kern w:val="0"/>
                <w:szCs w:val="21"/>
              </w:rPr>
              <w:br w:type="textWrapping"/>
            </w:r>
            <w:r>
              <w:rPr>
                <w:rFonts w:eastAsia="仿宋_GB2312"/>
                <w:kern w:val="0"/>
                <w:szCs w:val="21"/>
              </w:rPr>
              <w:t>以上情况每出现一例不符合有关要求的扣1分，扣完为止。</w:t>
            </w:r>
          </w:p>
        </w:tc>
        <w:tc>
          <w:tcPr>
            <w:tcW w:w="3432" w:type="dxa"/>
            <w:tcBorders>
              <w:top w:val="single" w:color="auto" w:sz="4" w:space="0"/>
              <w:left w:val="single" w:color="auto" w:sz="4" w:space="0"/>
              <w:bottom w:val="single" w:color="auto" w:sz="4" w:space="0"/>
              <w:right w:val="single" w:color="auto" w:sz="4" w:space="0"/>
            </w:tcBorders>
            <w:vAlign w:val="center"/>
          </w:tcPr>
          <w:p w14:paraId="59BB5B76">
            <w:pPr>
              <w:widowControl/>
              <w:jc w:val="left"/>
              <w:rPr>
                <w:rFonts w:eastAsia="仿宋_GB2312"/>
                <w:kern w:val="0"/>
                <w:szCs w:val="21"/>
              </w:rPr>
            </w:pPr>
            <w:r>
              <w:rPr>
                <w:rFonts w:eastAsia="仿宋_GB2312"/>
                <w:kern w:val="0"/>
                <w:szCs w:val="21"/>
              </w:rPr>
              <w:t>部门（单位）的资产是否保存完整、使用合规、配置合理、处置规范、收入及时足额上缴，用以反映和考核部门（单位）资产安全运行情况</w:t>
            </w:r>
          </w:p>
        </w:tc>
        <w:tc>
          <w:tcPr>
            <w:tcW w:w="2107" w:type="dxa"/>
            <w:tcBorders>
              <w:top w:val="single" w:color="auto" w:sz="4" w:space="0"/>
              <w:left w:val="single" w:color="auto" w:sz="4" w:space="0"/>
              <w:bottom w:val="single" w:color="auto" w:sz="4" w:space="0"/>
              <w:right w:val="single" w:color="auto" w:sz="4" w:space="0"/>
            </w:tcBorders>
            <w:vAlign w:val="center"/>
          </w:tcPr>
          <w:p w14:paraId="55434E7A">
            <w:pPr>
              <w:widowControl/>
              <w:jc w:val="left"/>
              <w:rPr>
                <w:kern w:val="0"/>
                <w:szCs w:val="21"/>
              </w:rPr>
            </w:pPr>
            <w:r>
              <w:rPr>
                <w:kern w:val="0"/>
                <w:szCs w:val="21"/>
              </w:rPr>
              <w:t>　　</w:t>
            </w:r>
            <w:r>
              <w:rPr>
                <w:rFonts w:hint="eastAsia" w:ascii="宋体" w:cs="宋体"/>
                <w:kern w:val="0"/>
                <w:sz w:val="24"/>
              </w:rPr>
              <w:t>4分（①+②+③+④+⑤）资产未及时处置扣1分</w:t>
            </w:r>
          </w:p>
        </w:tc>
      </w:tr>
      <w:tr w14:paraId="620E3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14:paraId="660F4CB0">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0508B401">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3470DC54">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14:paraId="682338D2">
            <w:pPr>
              <w:widowControl/>
              <w:jc w:val="center"/>
              <w:rPr>
                <w:rFonts w:eastAsia="仿宋_GB2312"/>
                <w:kern w:val="0"/>
                <w:szCs w:val="21"/>
              </w:rPr>
            </w:pPr>
            <w:r>
              <w:rPr>
                <w:rFonts w:eastAsia="仿宋_GB2312"/>
                <w:kern w:val="0"/>
                <w:szCs w:val="21"/>
              </w:rPr>
              <w:t>固定资产</w:t>
            </w:r>
            <w:r>
              <w:rPr>
                <w:rFonts w:eastAsia="仿宋_GB2312"/>
                <w:kern w:val="0"/>
                <w:szCs w:val="21"/>
              </w:rPr>
              <w:br w:type="textWrapping"/>
            </w:r>
            <w:r>
              <w:rPr>
                <w:rFonts w:eastAsia="仿宋_GB2312"/>
                <w:kern w:val="0"/>
                <w:szCs w:val="21"/>
              </w:rPr>
              <w:t>利用率</w:t>
            </w:r>
          </w:p>
        </w:tc>
        <w:tc>
          <w:tcPr>
            <w:tcW w:w="794" w:type="dxa"/>
            <w:tcBorders>
              <w:top w:val="single" w:color="auto" w:sz="4" w:space="0"/>
              <w:left w:val="single" w:color="auto" w:sz="4" w:space="0"/>
              <w:bottom w:val="single" w:color="auto" w:sz="4" w:space="0"/>
              <w:right w:val="single" w:color="auto" w:sz="4" w:space="0"/>
            </w:tcBorders>
            <w:vAlign w:val="center"/>
          </w:tcPr>
          <w:p w14:paraId="0B2F40E3">
            <w:pPr>
              <w:widowControl/>
              <w:jc w:val="center"/>
              <w:rPr>
                <w:rFonts w:eastAsia="仿宋_GB2312"/>
                <w:kern w:val="0"/>
                <w:szCs w:val="21"/>
              </w:rPr>
            </w:pPr>
            <w:r>
              <w:rPr>
                <w:rFonts w:eastAsia="仿宋_GB2312"/>
                <w:kern w:val="0"/>
                <w:szCs w:val="21"/>
              </w:rPr>
              <w:t>3</w:t>
            </w:r>
          </w:p>
        </w:tc>
        <w:tc>
          <w:tcPr>
            <w:tcW w:w="4140" w:type="dxa"/>
            <w:tcBorders>
              <w:top w:val="single" w:color="auto" w:sz="4" w:space="0"/>
              <w:left w:val="single" w:color="auto" w:sz="4" w:space="0"/>
              <w:bottom w:val="single" w:color="auto" w:sz="4" w:space="0"/>
              <w:right w:val="single" w:color="auto" w:sz="4" w:space="0"/>
            </w:tcBorders>
            <w:vAlign w:val="center"/>
          </w:tcPr>
          <w:p w14:paraId="70EEE943">
            <w:pPr>
              <w:widowControl/>
              <w:jc w:val="left"/>
              <w:rPr>
                <w:rFonts w:eastAsia="仿宋_GB2312"/>
                <w:kern w:val="0"/>
                <w:szCs w:val="21"/>
              </w:rPr>
            </w:pPr>
            <w:r>
              <w:rPr>
                <w:rFonts w:eastAsia="仿宋_GB2312"/>
                <w:kern w:val="0"/>
                <w:szCs w:val="21"/>
              </w:rPr>
              <w:t>每低于100%一个百分点扣0.2分，扣完为止。</w:t>
            </w:r>
          </w:p>
        </w:tc>
        <w:tc>
          <w:tcPr>
            <w:tcW w:w="3432" w:type="dxa"/>
            <w:tcBorders>
              <w:top w:val="single" w:color="auto" w:sz="4" w:space="0"/>
              <w:left w:val="single" w:color="auto" w:sz="4" w:space="0"/>
              <w:bottom w:val="single" w:color="auto" w:sz="4" w:space="0"/>
              <w:right w:val="single" w:color="auto" w:sz="4" w:space="0"/>
            </w:tcBorders>
            <w:vAlign w:val="center"/>
          </w:tcPr>
          <w:p w14:paraId="2298D052">
            <w:pPr>
              <w:widowControl/>
              <w:jc w:val="left"/>
              <w:rPr>
                <w:rFonts w:eastAsia="仿宋_GB2312"/>
                <w:kern w:val="0"/>
                <w:szCs w:val="21"/>
              </w:rPr>
            </w:pPr>
            <w:r>
              <w:rPr>
                <w:rFonts w:eastAsia="仿宋_GB2312"/>
                <w:kern w:val="0"/>
                <w:szCs w:val="21"/>
              </w:rPr>
              <w:t>固定资产利用率=（实际在用固定资产总额/所有固定资产总额）×100%</w:t>
            </w:r>
          </w:p>
        </w:tc>
        <w:tc>
          <w:tcPr>
            <w:tcW w:w="2107" w:type="dxa"/>
            <w:tcBorders>
              <w:top w:val="single" w:color="auto" w:sz="4" w:space="0"/>
              <w:left w:val="single" w:color="auto" w:sz="4" w:space="0"/>
              <w:bottom w:val="single" w:color="auto" w:sz="4" w:space="0"/>
              <w:right w:val="single" w:color="auto" w:sz="4" w:space="0"/>
            </w:tcBorders>
            <w:vAlign w:val="center"/>
          </w:tcPr>
          <w:p w14:paraId="47758143">
            <w:pPr>
              <w:widowControl/>
              <w:jc w:val="left"/>
              <w:rPr>
                <w:kern w:val="0"/>
                <w:szCs w:val="21"/>
              </w:rPr>
            </w:pPr>
            <w:r>
              <w:rPr>
                <w:rFonts w:hint="eastAsia"/>
                <w:kern w:val="0"/>
                <w:szCs w:val="21"/>
                <w:lang w:val="en-US" w:eastAsia="zh-CN"/>
              </w:rPr>
              <w:t>1</w:t>
            </w:r>
            <w:r>
              <w:rPr>
                <w:rFonts w:hint="eastAsia"/>
                <w:kern w:val="0"/>
                <w:szCs w:val="21"/>
              </w:rPr>
              <w:t>分（</w:t>
            </w:r>
            <w:r>
              <w:rPr>
                <w:rFonts w:hint="eastAsia"/>
                <w:kern w:val="0"/>
                <w:szCs w:val="21"/>
                <w:lang w:val="en-US" w:eastAsia="zh-CN"/>
              </w:rPr>
              <w:t>318.72</w:t>
            </w:r>
            <w:r>
              <w:rPr>
                <w:rFonts w:hint="eastAsia"/>
                <w:kern w:val="0"/>
                <w:szCs w:val="21"/>
              </w:rPr>
              <w:t>万元/</w:t>
            </w:r>
            <w:r>
              <w:rPr>
                <w:rFonts w:hint="eastAsia"/>
                <w:kern w:val="0"/>
                <w:szCs w:val="21"/>
                <w:lang w:val="en-US" w:eastAsia="zh-CN"/>
              </w:rPr>
              <w:t>344.33</w:t>
            </w:r>
            <w:r>
              <w:rPr>
                <w:rFonts w:hint="eastAsia"/>
                <w:kern w:val="0"/>
                <w:szCs w:val="21"/>
              </w:rPr>
              <w:t>万元）*100%＝</w:t>
            </w:r>
            <w:r>
              <w:rPr>
                <w:rFonts w:hint="eastAsia"/>
                <w:kern w:val="0"/>
                <w:szCs w:val="21"/>
                <w:lang w:val="en-US" w:eastAsia="zh-CN"/>
              </w:rPr>
              <w:t>92.56</w:t>
            </w:r>
            <w:r>
              <w:rPr>
                <w:rFonts w:hint="eastAsia"/>
                <w:kern w:val="0"/>
                <w:szCs w:val="21"/>
              </w:rPr>
              <w:t>%</w:t>
            </w:r>
          </w:p>
        </w:tc>
      </w:tr>
      <w:tr w14:paraId="5308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474CC5F7">
            <w:pPr>
              <w:widowControl/>
              <w:jc w:val="center"/>
              <w:rPr>
                <w:rFonts w:eastAsia="仿宋_GB2312"/>
                <w:kern w:val="0"/>
                <w:szCs w:val="21"/>
              </w:rPr>
            </w:pPr>
            <w:r>
              <w:rPr>
                <w:rFonts w:eastAsia="仿宋_GB2312"/>
                <w:kern w:val="0"/>
                <w:szCs w:val="21"/>
              </w:rPr>
              <w:t>产   出</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14:paraId="38510A43">
            <w:pPr>
              <w:widowControl/>
              <w:jc w:val="center"/>
              <w:rPr>
                <w:rFonts w:eastAsia="仿宋_GB2312"/>
                <w:kern w:val="0"/>
                <w:szCs w:val="21"/>
              </w:rPr>
            </w:pPr>
            <w:r>
              <w:rPr>
                <w:rFonts w:eastAsia="仿宋_GB2312"/>
                <w:kern w:val="0"/>
                <w:szCs w:val="21"/>
              </w:rPr>
              <w:t>职责 履行</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14:paraId="4EA0F46E">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vAlign w:val="center"/>
          </w:tcPr>
          <w:p w14:paraId="32AF1827">
            <w:pPr>
              <w:widowControl/>
              <w:jc w:val="center"/>
              <w:rPr>
                <w:rFonts w:eastAsia="仿宋_GB2312"/>
                <w:kern w:val="0"/>
                <w:szCs w:val="21"/>
              </w:rPr>
            </w:pPr>
            <w:r>
              <w:rPr>
                <w:rFonts w:eastAsia="仿宋_GB2312"/>
                <w:kern w:val="0"/>
                <w:szCs w:val="21"/>
              </w:rPr>
              <w:t>重点工作实际完成率</w:t>
            </w:r>
          </w:p>
        </w:tc>
        <w:tc>
          <w:tcPr>
            <w:tcW w:w="794" w:type="dxa"/>
            <w:tcBorders>
              <w:top w:val="single" w:color="auto" w:sz="4" w:space="0"/>
              <w:left w:val="single" w:color="auto" w:sz="4" w:space="0"/>
              <w:bottom w:val="single" w:color="auto" w:sz="4" w:space="0"/>
              <w:right w:val="single" w:color="auto" w:sz="4" w:space="0"/>
            </w:tcBorders>
            <w:vAlign w:val="center"/>
          </w:tcPr>
          <w:p w14:paraId="4175377D">
            <w:pPr>
              <w:widowControl/>
              <w:jc w:val="center"/>
              <w:rPr>
                <w:rFonts w:eastAsia="仿宋_GB2312"/>
                <w:kern w:val="0"/>
                <w:szCs w:val="21"/>
              </w:rPr>
            </w:pPr>
            <w:r>
              <w:rPr>
                <w:rFonts w:eastAsia="仿宋_GB2312"/>
                <w:kern w:val="0"/>
                <w:szCs w:val="21"/>
              </w:rPr>
              <w:t>10</w:t>
            </w:r>
          </w:p>
        </w:tc>
        <w:tc>
          <w:tcPr>
            <w:tcW w:w="4140" w:type="dxa"/>
            <w:tcBorders>
              <w:top w:val="single" w:color="auto" w:sz="4" w:space="0"/>
              <w:left w:val="single" w:color="auto" w:sz="4" w:space="0"/>
              <w:bottom w:val="single" w:color="auto" w:sz="4" w:space="0"/>
              <w:right w:val="single" w:color="auto" w:sz="4" w:space="0"/>
            </w:tcBorders>
            <w:vAlign w:val="center"/>
          </w:tcPr>
          <w:p w14:paraId="1D33485F">
            <w:pPr>
              <w:widowControl/>
              <w:jc w:val="left"/>
              <w:rPr>
                <w:rFonts w:eastAsia="仿宋_GB2312"/>
                <w:kern w:val="0"/>
                <w:szCs w:val="21"/>
              </w:rPr>
            </w:pPr>
            <w:r>
              <w:rPr>
                <w:rFonts w:eastAsia="仿宋_GB2312"/>
                <w:kern w:val="0"/>
                <w:szCs w:val="21"/>
              </w:rPr>
              <w:t>①（重点工作完成件数/重点工作计划件数）*6</w:t>
            </w:r>
          </w:p>
          <w:p w14:paraId="0688B8EA">
            <w:pPr>
              <w:widowControl/>
              <w:jc w:val="left"/>
              <w:rPr>
                <w:rFonts w:eastAsia="仿宋_GB2312"/>
                <w:kern w:val="0"/>
                <w:szCs w:val="21"/>
              </w:rPr>
            </w:pPr>
            <w:r>
              <w:rPr>
                <w:rFonts w:eastAsia="仿宋_GB2312"/>
                <w:kern w:val="0"/>
                <w:szCs w:val="21"/>
              </w:rPr>
              <w:t>②根据绩效办2013年对各部门为民办实事和部门重点工程与重点工作考核分数折算。</w:t>
            </w:r>
            <w:r>
              <w:rPr>
                <w:rFonts w:eastAsia="仿宋_GB2312"/>
                <w:kern w:val="0"/>
                <w:szCs w:val="21"/>
              </w:rPr>
              <w:br w:type="textWrapping"/>
            </w:r>
            <w:r>
              <w:rPr>
                <w:rFonts w:eastAsia="仿宋_GB2312"/>
                <w:kern w:val="0"/>
                <w:szCs w:val="21"/>
              </w:rPr>
              <w:t>该项得分=（绩效办考核得分/总分）*4</w:t>
            </w:r>
          </w:p>
        </w:tc>
        <w:tc>
          <w:tcPr>
            <w:tcW w:w="3432" w:type="dxa"/>
            <w:tcBorders>
              <w:top w:val="single" w:color="auto" w:sz="4" w:space="0"/>
              <w:left w:val="single" w:color="auto" w:sz="4" w:space="0"/>
              <w:bottom w:val="single" w:color="auto" w:sz="4" w:space="0"/>
              <w:right w:val="single" w:color="auto" w:sz="4" w:space="0"/>
            </w:tcBorders>
            <w:vAlign w:val="center"/>
          </w:tcPr>
          <w:p w14:paraId="323CFE5D">
            <w:pPr>
              <w:widowControl/>
              <w:jc w:val="left"/>
              <w:rPr>
                <w:rFonts w:eastAsia="仿宋_GB2312"/>
                <w:kern w:val="0"/>
                <w:szCs w:val="21"/>
              </w:rPr>
            </w:pPr>
            <w:r>
              <w:rPr>
                <w:rFonts w:eastAsia="仿宋_GB2312"/>
                <w:kern w:val="0"/>
                <w:szCs w:val="21"/>
              </w:rPr>
              <w:t>①+②为此项指标考评得分</w:t>
            </w:r>
          </w:p>
        </w:tc>
        <w:tc>
          <w:tcPr>
            <w:tcW w:w="2107" w:type="dxa"/>
            <w:tcBorders>
              <w:top w:val="single" w:color="auto" w:sz="4" w:space="0"/>
              <w:left w:val="single" w:color="auto" w:sz="4" w:space="0"/>
              <w:bottom w:val="single" w:color="auto" w:sz="4" w:space="0"/>
              <w:right w:val="single" w:color="auto" w:sz="4" w:space="0"/>
            </w:tcBorders>
            <w:vAlign w:val="center"/>
          </w:tcPr>
          <w:p w14:paraId="66457685">
            <w:pPr>
              <w:widowControl/>
              <w:jc w:val="left"/>
              <w:rPr>
                <w:kern w:val="0"/>
                <w:szCs w:val="21"/>
              </w:rPr>
            </w:pPr>
            <w:r>
              <w:rPr>
                <w:kern w:val="0"/>
                <w:szCs w:val="21"/>
              </w:rPr>
              <w:t>　</w:t>
            </w:r>
            <w:r>
              <w:rPr>
                <w:rFonts w:hint="eastAsia"/>
                <w:kern w:val="0"/>
                <w:szCs w:val="21"/>
              </w:rPr>
              <w:t>10分</w:t>
            </w:r>
          </w:p>
        </w:tc>
      </w:tr>
      <w:tr w14:paraId="5131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2"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14:paraId="6A5BF39E">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06176934">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0E986639">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14:paraId="587AB485">
            <w:pPr>
              <w:widowControl/>
              <w:jc w:val="center"/>
              <w:rPr>
                <w:rFonts w:eastAsia="仿宋_GB2312"/>
                <w:kern w:val="0"/>
                <w:szCs w:val="21"/>
              </w:rPr>
            </w:pPr>
            <w:r>
              <w:rPr>
                <w:rFonts w:eastAsia="仿宋_GB2312"/>
                <w:kern w:val="0"/>
                <w:szCs w:val="21"/>
              </w:rPr>
              <w:t>重点工作质量达标率</w:t>
            </w:r>
          </w:p>
        </w:tc>
        <w:tc>
          <w:tcPr>
            <w:tcW w:w="794" w:type="dxa"/>
            <w:tcBorders>
              <w:top w:val="single" w:color="auto" w:sz="4" w:space="0"/>
              <w:left w:val="single" w:color="auto" w:sz="4" w:space="0"/>
              <w:bottom w:val="single" w:color="auto" w:sz="4" w:space="0"/>
              <w:right w:val="single" w:color="auto" w:sz="4" w:space="0"/>
            </w:tcBorders>
            <w:vAlign w:val="center"/>
          </w:tcPr>
          <w:p w14:paraId="2325848C">
            <w:pPr>
              <w:widowControl/>
              <w:jc w:val="center"/>
              <w:rPr>
                <w:rFonts w:eastAsia="仿宋_GB2312"/>
                <w:kern w:val="0"/>
                <w:szCs w:val="21"/>
              </w:rPr>
            </w:pPr>
            <w:r>
              <w:rPr>
                <w:rFonts w:eastAsia="仿宋_GB2312"/>
                <w:kern w:val="0"/>
                <w:szCs w:val="21"/>
              </w:rPr>
              <w:t>6</w:t>
            </w:r>
          </w:p>
        </w:tc>
        <w:tc>
          <w:tcPr>
            <w:tcW w:w="4140" w:type="dxa"/>
            <w:tcBorders>
              <w:top w:val="single" w:color="auto" w:sz="4" w:space="0"/>
              <w:left w:val="single" w:color="auto" w:sz="4" w:space="0"/>
              <w:bottom w:val="single" w:color="auto" w:sz="4" w:space="0"/>
              <w:right w:val="single" w:color="auto" w:sz="4" w:space="0"/>
            </w:tcBorders>
            <w:vAlign w:val="center"/>
          </w:tcPr>
          <w:p w14:paraId="408D67D6">
            <w:pPr>
              <w:widowControl/>
              <w:jc w:val="left"/>
              <w:rPr>
                <w:rFonts w:eastAsia="仿宋_GB2312"/>
                <w:kern w:val="0"/>
                <w:szCs w:val="21"/>
              </w:rPr>
            </w:pPr>
            <w:r>
              <w:rPr>
                <w:rFonts w:eastAsia="仿宋_GB2312"/>
                <w:kern w:val="0"/>
                <w:szCs w:val="21"/>
              </w:rPr>
              <w:t>质量达标率达到100%，计6分；</w:t>
            </w:r>
            <w:r>
              <w:rPr>
                <w:rFonts w:eastAsia="仿宋_GB2312"/>
                <w:kern w:val="0"/>
                <w:szCs w:val="21"/>
              </w:rPr>
              <w:br w:type="textWrapping"/>
            </w:r>
            <w:r>
              <w:rPr>
                <w:rFonts w:eastAsia="仿宋_GB2312"/>
                <w:kern w:val="0"/>
                <w:szCs w:val="21"/>
              </w:rPr>
              <w:t>每低于100%一个百分点扣0.5分，扣完为止。</w:t>
            </w:r>
          </w:p>
        </w:tc>
        <w:tc>
          <w:tcPr>
            <w:tcW w:w="3432" w:type="dxa"/>
            <w:tcBorders>
              <w:top w:val="single" w:color="auto" w:sz="4" w:space="0"/>
              <w:left w:val="single" w:color="auto" w:sz="4" w:space="0"/>
              <w:bottom w:val="single" w:color="auto" w:sz="4" w:space="0"/>
              <w:right w:val="single" w:color="auto" w:sz="4" w:space="0"/>
            </w:tcBorders>
            <w:vAlign w:val="center"/>
          </w:tcPr>
          <w:p w14:paraId="4B125B00">
            <w:pPr>
              <w:widowControl/>
              <w:jc w:val="left"/>
              <w:rPr>
                <w:rFonts w:eastAsia="仿宋_GB2312"/>
                <w:kern w:val="0"/>
                <w:szCs w:val="21"/>
              </w:rPr>
            </w:pPr>
            <w:r>
              <w:rPr>
                <w:rFonts w:eastAsia="仿宋_GB2312"/>
                <w:kern w:val="0"/>
                <w:szCs w:val="21"/>
              </w:rPr>
              <w:t>质量达标率=（质量达标实际工作数/计划工作数）×100%</w:t>
            </w:r>
            <w:r>
              <w:rPr>
                <w:rFonts w:eastAsia="仿宋_GB2312"/>
                <w:kern w:val="0"/>
                <w:szCs w:val="21"/>
              </w:rPr>
              <w:br w:type="textWrapping"/>
            </w:r>
            <w:r>
              <w:rPr>
                <w:rFonts w:eastAsia="仿宋_GB2312"/>
                <w:kern w:val="0"/>
                <w:szCs w:val="21"/>
              </w:rPr>
              <w:t>质量达标实际工作数：2013年部门（单位）实际完成为民办实事和部门重点工程与重点工作数中，质量达到绩效标准值的工作任务数量。</w:t>
            </w:r>
          </w:p>
        </w:tc>
        <w:tc>
          <w:tcPr>
            <w:tcW w:w="2107" w:type="dxa"/>
            <w:tcBorders>
              <w:top w:val="single" w:color="auto" w:sz="4" w:space="0"/>
              <w:left w:val="single" w:color="auto" w:sz="4" w:space="0"/>
              <w:bottom w:val="single" w:color="auto" w:sz="4" w:space="0"/>
              <w:right w:val="single" w:color="auto" w:sz="4" w:space="0"/>
            </w:tcBorders>
            <w:vAlign w:val="center"/>
          </w:tcPr>
          <w:p w14:paraId="00EF55D1">
            <w:pPr>
              <w:widowControl/>
              <w:jc w:val="left"/>
              <w:rPr>
                <w:kern w:val="0"/>
                <w:szCs w:val="21"/>
              </w:rPr>
            </w:pPr>
            <w:r>
              <w:rPr>
                <w:kern w:val="0"/>
                <w:szCs w:val="21"/>
              </w:rPr>
              <w:t>　</w:t>
            </w:r>
            <w:r>
              <w:rPr>
                <w:rFonts w:hint="eastAsia"/>
                <w:kern w:val="0"/>
                <w:szCs w:val="21"/>
              </w:rPr>
              <w:t xml:space="preserve">      </w:t>
            </w:r>
            <w:r>
              <w:rPr>
                <w:rFonts w:hint="eastAsia" w:ascii="宋体" w:cs="宋体"/>
                <w:kern w:val="0"/>
                <w:sz w:val="24"/>
              </w:rPr>
              <w:t>6分</w:t>
            </w:r>
          </w:p>
        </w:tc>
      </w:tr>
      <w:tr w14:paraId="3B82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5F5A6190">
            <w:pPr>
              <w:widowControl/>
              <w:jc w:val="center"/>
              <w:rPr>
                <w:rFonts w:eastAsia="仿宋_GB2312"/>
                <w:kern w:val="0"/>
                <w:szCs w:val="21"/>
              </w:rPr>
            </w:pPr>
            <w:r>
              <w:rPr>
                <w:rFonts w:eastAsia="仿宋_GB2312"/>
                <w:kern w:val="0"/>
                <w:szCs w:val="21"/>
              </w:rPr>
              <w:t>效  果</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14:paraId="043A174F">
            <w:pPr>
              <w:widowControl/>
              <w:jc w:val="center"/>
              <w:rPr>
                <w:rFonts w:eastAsia="仿宋_GB2312"/>
                <w:kern w:val="0"/>
                <w:szCs w:val="21"/>
              </w:rPr>
            </w:pPr>
            <w:r>
              <w:rPr>
                <w:rFonts w:eastAsia="仿宋_GB2312"/>
                <w:kern w:val="0"/>
                <w:szCs w:val="21"/>
              </w:rPr>
              <w:t>履职 效益</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14:paraId="5B41DD0F">
            <w:pPr>
              <w:widowControl/>
              <w:jc w:val="center"/>
              <w:rPr>
                <w:rFonts w:eastAsia="仿宋_GB2312"/>
                <w:kern w:val="0"/>
                <w:szCs w:val="21"/>
              </w:rPr>
            </w:pPr>
            <w:r>
              <w:rPr>
                <w:rFonts w:eastAsia="仿宋_GB2312"/>
                <w:kern w:val="0"/>
                <w:szCs w:val="21"/>
              </w:rPr>
              <w:t>20</w:t>
            </w:r>
          </w:p>
        </w:tc>
        <w:tc>
          <w:tcPr>
            <w:tcW w:w="1334" w:type="dxa"/>
            <w:tcBorders>
              <w:top w:val="single" w:color="auto" w:sz="4" w:space="0"/>
              <w:left w:val="single" w:color="auto" w:sz="4" w:space="0"/>
              <w:bottom w:val="single" w:color="auto" w:sz="4" w:space="0"/>
              <w:right w:val="single" w:color="auto" w:sz="4" w:space="0"/>
            </w:tcBorders>
            <w:vAlign w:val="center"/>
          </w:tcPr>
          <w:p w14:paraId="1C27E888">
            <w:pPr>
              <w:widowControl/>
              <w:jc w:val="center"/>
              <w:rPr>
                <w:rFonts w:eastAsia="仿宋_GB2312"/>
                <w:kern w:val="0"/>
                <w:szCs w:val="21"/>
              </w:rPr>
            </w:pPr>
            <w:r>
              <w:rPr>
                <w:rFonts w:eastAsia="仿宋_GB2312"/>
                <w:kern w:val="0"/>
                <w:szCs w:val="21"/>
              </w:rPr>
              <w:t>经济效益</w:t>
            </w:r>
          </w:p>
        </w:tc>
        <w:tc>
          <w:tcPr>
            <w:tcW w:w="794" w:type="dxa"/>
            <w:tcBorders>
              <w:top w:val="single" w:color="auto" w:sz="4" w:space="0"/>
              <w:left w:val="single" w:color="auto" w:sz="4" w:space="0"/>
              <w:bottom w:val="single" w:color="auto" w:sz="4" w:space="0"/>
              <w:right w:val="single" w:color="auto" w:sz="4" w:space="0"/>
            </w:tcBorders>
            <w:vAlign w:val="center"/>
          </w:tcPr>
          <w:p w14:paraId="5A2A3969">
            <w:pPr>
              <w:widowControl/>
              <w:jc w:val="center"/>
              <w:rPr>
                <w:rFonts w:eastAsia="仿宋_GB2312"/>
                <w:kern w:val="0"/>
                <w:szCs w:val="21"/>
              </w:rPr>
            </w:pPr>
            <w:r>
              <w:rPr>
                <w:rFonts w:eastAsia="仿宋_GB2312"/>
                <w:kern w:val="0"/>
                <w:szCs w:val="21"/>
              </w:rPr>
              <w:t>4</w:t>
            </w:r>
          </w:p>
        </w:tc>
        <w:tc>
          <w:tcPr>
            <w:tcW w:w="4140" w:type="dxa"/>
            <w:vMerge w:val="restart"/>
            <w:tcBorders>
              <w:top w:val="single" w:color="auto" w:sz="4" w:space="0"/>
              <w:left w:val="single" w:color="auto" w:sz="4" w:space="0"/>
              <w:bottom w:val="single" w:color="auto" w:sz="4" w:space="0"/>
              <w:right w:val="single" w:color="auto" w:sz="4" w:space="0"/>
            </w:tcBorders>
            <w:vAlign w:val="center"/>
          </w:tcPr>
          <w:p w14:paraId="771C261F">
            <w:pPr>
              <w:widowControl/>
              <w:jc w:val="left"/>
              <w:rPr>
                <w:rFonts w:eastAsia="仿宋_GB2312"/>
                <w:kern w:val="0"/>
                <w:szCs w:val="21"/>
              </w:rPr>
            </w:pPr>
            <w:r>
              <w:rPr>
                <w:rFonts w:eastAsia="仿宋_GB2312"/>
                <w:kern w:val="0"/>
                <w:szCs w:val="21"/>
              </w:rPr>
              <w:t>此三项指标为设置部门整体支出绩效评价指标时必须考虑的共性要素，可根据部门实际并结合部门整体支出绩效目标设立情况有选择的进行设置，并将其细化为相应的个性化指标。建议部门（单位）根据2013年专项资金绩效目标，汇总提炼部门整体支出绩效评价指标。</w:t>
            </w:r>
          </w:p>
        </w:tc>
        <w:tc>
          <w:tcPr>
            <w:tcW w:w="3432" w:type="dxa"/>
            <w:vMerge w:val="restart"/>
            <w:tcBorders>
              <w:top w:val="single" w:color="auto" w:sz="4" w:space="0"/>
              <w:left w:val="single" w:color="auto" w:sz="4" w:space="0"/>
              <w:bottom w:val="single" w:color="auto" w:sz="4" w:space="0"/>
              <w:right w:val="single" w:color="auto" w:sz="4" w:space="0"/>
            </w:tcBorders>
            <w:vAlign w:val="center"/>
          </w:tcPr>
          <w:p w14:paraId="53A47A27">
            <w:pPr>
              <w:widowControl/>
              <w:jc w:val="left"/>
              <w:rPr>
                <w:rFonts w:eastAsia="仿宋_GB2312"/>
                <w:kern w:val="0"/>
                <w:szCs w:val="21"/>
              </w:rPr>
            </w:pPr>
          </w:p>
        </w:tc>
        <w:tc>
          <w:tcPr>
            <w:tcW w:w="2107" w:type="dxa"/>
            <w:vMerge w:val="restart"/>
            <w:tcBorders>
              <w:top w:val="single" w:color="auto" w:sz="4" w:space="0"/>
              <w:left w:val="single" w:color="auto" w:sz="4" w:space="0"/>
              <w:bottom w:val="single" w:color="auto" w:sz="4" w:space="0"/>
              <w:right w:val="single" w:color="auto" w:sz="4" w:space="0"/>
            </w:tcBorders>
            <w:vAlign w:val="center"/>
          </w:tcPr>
          <w:p w14:paraId="64C97F77">
            <w:pPr>
              <w:widowControl/>
              <w:jc w:val="center"/>
              <w:rPr>
                <w:kern w:val="0"/>
                <w:szCs w:val="21"/>
              </w:rPr>
            </w:pPr>
            <w:r>
              <w:rPr>
                <w:kern w:val="0"/>
                <w:szCs w:val="21"/>
              </w:rPr>
              <w:t>　</w:t>
            </w:r>
            <w:r>
              <w:rPr>
                <w:rFonts w:hint="eastAsia"/>
                <w:kern w:val="0"/>
                <w:szCs w:val="21"/>
              </w:rPr>
              <w:t>12分</w:t>
            </w:r>
          </w:p>
          <w:p w14:paraId="2F55069B">
            <w:pPr>
              <w:widowControl/>
              <w:jc w:val="center"/>
              <w:rPr>
                <w:kern w:val="0"/>
                <w:szCs w:val="21"/>
              </w:rPr>
            </w:pPr>
          </w:p>
        </w:tc>
      </w:tr>
      <w:tr w14:paraId="13DF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14:paraId="096006F9">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3F874768">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4B2A3F0B">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14:paraId="4096D5F5">
            <w:pPr>
              <w:widowControl/>
              <w:jc w:val="center"/>
              <w:rPr>
                <w:rFonts w:eastAsia="仿宋_GB2312"/>
                <w:kern w:val="0"/>
                <w:szCs w:val="21"/>
              </w:rPr>
            </w:pPr>
            <w:r>
              <w:rPr>
                <w:rFonts w:eastAsia="仿宋_GB2312"/>
                <w:kern w:val="0"/>
                <w:szCs w:val="21"/>
              </w:rPr>
              <w:t>社会效益</w:t>
            </w:r>
          </w:p>
        </w:tc>
        <w:tc>
          <w:tcPr>
            <w:tcW w:w="794" w:type="dxa"/>
            <w:tcBorders>
              <w:top w:val="single" w:color="auto" w:sz="4" w:space="0"/>
              <w:left w:val="single" w:color="auto" w:sz="4" w:space="0"/>
              <w:bottom w:val="single" w:color="auto" w:sz="4" w:space="0"/>
              <w:right w:val="single" w:color="auto" w:sz="4" w:space="0"/>
            </w:tcBorders>
            <w:vAlign w:val="center"/>
          </w:tcPr>
          <w:p w14:paraId="0E6D61C7">
            <w:pPr>
              <w:widowControl/>
              <w:jc w:val="center"/>
              <w:rPr>
                <w:rFonts w:eastAsia="仿宋_GB2312"/>
                <w:kern w:val="0"/>
                <w:szCs w:val="21"/>
              </w:rPr>
            </w:pPr>
            <w:r>
              <w:rPr>
                <w:rFonts w:eastAsia="仿宋_GB2312"/>
                <w:kern w:val="0"/>
                <w:szCs w:val="21"/>
              </w:rPr>
              <w:t>4</w:t>
            </w:r>
          </w:p>
        </w:tc>
        <w:tc>
          <w:tcPr>
            <w:tcW w:w="4140" w:type="dxa"/>
            <w:vMerge w:val="continue"/>
            <w:tcBorders>
              <w:top w:val="single" w:color="auto" w:sz="4" w:space="0"/>
              <w:left w:val="single" w:color="auto" w:sz="4" w:space="0"/>
              <w:bottom w:val="single" w:color="auto" w:sz="4" w:space="0"/>
              <w:right w:val="single" w:color="auto" w:sz="4" w:space="0"/>
            </w:tcBorders>
            <w:vAlign w:val="center"/>
          </w:tcPr>
          <w:p w14:paraId="60513CD8">
            <w:pPr>
              <w:rPr>
                <w:szCs w:val="21"/>
              </w:rPr>
            </w:pPr>
          </w:p>
        </w:tc>
        <w:tc>
          <w:tcPr>
            <w:tcW w:w="3432" w:type="dxa"/>
            <w:vMerge w:val="continue"/>
            <w:tcBorders>
              <w:top w:val="single" w:color="auto" w:sz="4" w:space="0"/>
              <w:left w:val="single" w:color="auto" w:sz="4" w:space="0"/>
              <w:bottom w:val="single" w:color="auto" w:sz="4" w:space="0"/>
              <w:right w:val="single" w:color="auto" w:sz="4" w:space="0"/>
            </w:tcBorders>
            <w:vAlign w:val="center"/>
          </w:tcPr>
          <w:p w14:paraId="23CDE07F">
            <w:pPr>
              <w:rPr>
                <w:szCs w:val="21"/>
              </w:rPr>
            </w:pPr>
          </w:p>
        </w:tc>
        <w:tc>
          <w:tcPr>
            <w:tcW w:w="2107" w:type="dxa"/>
            <w:vMerge w:val="continue"/>
            <w:tcBorders>
              <w:top w:val="single" w:color="auto" w:sz="4" w:space="0"/>
              <w:left w:val="single" w:color="auto" w:sz="4" w:space="0"/>
              <w:bottom w:val="single" w:color="auto" w:sz="4" w:space="0"/>
              <w:right w:val="single" w:color="auto" w:sz="4" w:space="0"/>
            </w:tcBorders>
            <w:vAlign w:val="center"/>
          </w:tcPr>
          <w:p w14:paraId="23A8904D">
            <w:pPr>
              <w:rPr>
                <w:szCs w:val="21"/>
              </w:rPr>
            </w:pPr>
          </w:p>
        </w:tc>
      </w:tr>
      <w:tr w14:paraId="1E87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14:paraId="3D15ECA4">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312D0B6F">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6D5FEEB7">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14:paraId="0D89DA59">
            <w:pPr>
              <w:widowControl/>
              <w:jc w:val="center"/>
              <w:rPr>
                <w:rFonts w:eastAsia="仿宋_GB2312"/>
                <w:kern w:val="0"/>
                <w:szCs w:val="21"/>
              </w:rPr>
            </w:pPr>
            <w:r>
              <w:rPr>
                <w:rFonts w:eastAsia="仿宋_GB2312"/>
                <w:kern w:val="0"/>
                <w:szCs w:val="21"/>
              </w:rPr>
              <w:t>生态效益</w:t>
            </w:r>
          </w:p>
        </w:tc>
        <w:tc>
          <w:tcPr>
            <w:tcW w:w="794" w:type="dxa"/>
            <w:tcBorders>
              <w:top w:val="single" w:color="auto" w:sz="4" w:space="0"/>
              <w:left w:val="single" w:color="auto" w:sz="4" w:space="0"/>
              <w:bottom w:val="single" w:color="auto" w:sz="4" w:space="0"/>
              <w:right w:val="single" w:color="auto" w:sz="4" w:space="0"/>
            </w:tcBorders>
            <w:vAlign w:val="center"/>
          </w:tcPr>
          <w:p w14:paraId="6AA4A949">
            <w:pPr>
              <w:widowControl/>
              <w:jc w:val="center"/>
              <w:rPr>
                <w:rFonts w:eastAsia="仿宋_GB2312"/>
                <w:kern w:val="0"/>
                <w:szCs w:val="21"/>
              </w:rPr>
            </w:pPr>
            <w:r>
              <w:rPr>
                <w:rFonts w:eastAsia="仿宋_GB2312"/>
                <w:kern w:val="0"/>
                <w:szCs w:val="21"/>
              </w:rPr>
              <w:t>4</w:t>
            </w:r>
          </w:p>
        </w:tc>
        <w:tc>
          <w:tcPr>
            <w:tcW w:w="4140" w:type="dxa"/>
            <w:vMerge w:val="continue"/>
            <w:tcBorders>
              <w:top w:val="single" w:color="auto" w:sz="4" w:space="0"/>
              <w:left w:val="single" w:color="auto" w:sz="4" w:space="0"/>
              <w:bottom w:val="single" w:color="auto" w:sz="4" w:space="0"/>
              <w:right w:val="single" w:color="auto" w:sz="4" w:space="0"/>
            </w:tcBorders>
            <w:vAlign w:val="center"/>
          </w:tcPr>
          <w:p w14:paraId="3ADDB0D7">
            <w:pPr>
              <w:rPr>
                <w:szCs w:val="21"/>
              </w:rPr>
            </w:pPr>
          </w:p>
        </w:tc>
        <w:tc>
          <w:tcPr>
            <w:tcW w:w="3432" w:type="dxa"/>
            <w:vMerge w:val="continue"/>
            <w:tcBorders>
              <w:top w:val="single" w:color="auto" w:sz="4" w:space="0"/>
              <w:left w:val="single" w:color="auto" w:sz="4" w:space="0"/>
              <w:bottom w:val="single" w:color="auto" w:sz="4" w:space="0"/>
              <w:right w:val="single" w:color="auto" w:sz="4" w:space="0"/>
            </w:tcBorders>
            <w:vAlign w:val="center"/>
          </w:tcPr>
          <w:p w14:paraId="0F5D8D26">
            <w:pPr>
              <w:rPr>
                <w:szCs w:val="21"/>
              </w:rPr>
            </w:pPr>
          </w:p>
        </w:tc>
        <w:tc>
          <w:tcPr>
            <w:tcW w:w="2107" w:type="dxa"/>
            <w:vMerge w:val="continue"/>
            <w:tcBorders>
              <w:top w:val="single" w:color="auto" w:sz="4" w:space="0"/>
              <w:left w:val="single" w:color="auto" w:sz="4" w:space="0"/>
              <w:bottom w:val="single" w:color="auto" w:sz="4" w:space="0"/>
              <w:right w:val="single" w:color="auto" w:sz="4" w:space="0"/>
            </w:tcBorders>
            <w:vAlign w:val="center"/>
          </w:tcPr>
          <w:p w14:paraId="07CCF417">
            <w:pPr>
              <w:rPr>
                <w:szCs w:val="21"/>
              </w:rPr>
            </w:pPr>
          </w:p>
        </w:tc>
      </w:tr>
      <w:tr w14:paraId="73F1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14:paraId="454A6D76">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3AE269C6">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4B257E7D">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14:paraId="38CCFD84">
            <w:pPr>
              <w:widowControl/>
              <w:jc w:val="center"/>
              <w:rPr>
                <w:rFonts w:eastAsia="仿宋_GB2312"/>
                <w:kern w:val="0"/>
                <w:szCs w:val="21"/>
              </w:rPr>
            </w:pPr>
            <w:r>
              <w:rPr>
                <w:rFonts w:eastAsia="仿宋_GB2312"/>
                <w:kern w:val="0"/>
                <w:szCs w:val="21"/>
              </w:rPr>
              <w:t>社会公众或服务对象满意度</w:t>
            </w:r>
          </w:p>
        </w:tc>
        <w:tc>
          <w:tcPr>
            <w:tcW w:w="794" w:type="dxa"/>
            <w:tcBorders>
              <w:top w:val="single" w:color="auto" w:sz="4" w:space="0"/>
              <w:left w:val="single" w:color="auto" w:sz="4" w:space="0"/>
              <w:bottom w:val="single" w:color="auto" w:sz="4" w:space="0"/>
              <w:right w:val="single" w:color="auto" w:sz="4" w:space="0"/>
            </w:tcBorders>
            <w:vAlign w:val="center"/>
          </w:tcPr>
          <w:p w14:paraId="72EE1676">
            <w:pPr>
              <w:widowControl/>
              <w:jc w:val="center"/>
              <w:rPr>
                <w:rFonts w:eastAsia="仿宋_GB2312"/>
                <w:kern w:val="0"/>
                <w:szCs w:val="21"/>
              </w:rPr>
            </w:pPr>
            <w:r>
              <w:rPr>
                <w:rFonts w:eastAsia="仿宋_GB2312"/>
                <w:kern w:val="0"/>
                <w:szCs w:val="21"/>
              </w:rPr>
              <w:t>8</w:t>
            </w:r>
          </w:p>
        </w:tc>
        <w:tc>
          <w:tcPr>
            <w:tcW w:w="4140" w:type="dxa"/>
            <w:tcBorders>
              <w:top w:val="single" w:color="auto" w:sz="4" w:space="0"/>
              <w:left w:val="single" w:color="auto" w:sz="4" w:space="0"/>
              <w:bottom w:val="single" w:color="auto" w:sz="4" w:space="0"/>
              <w:right w:val="single" w:color="auto" w:sz="4" w:space="0"/>
            </w:tcBorders>
            <w:vAlign w:val="center"/>
          </w:tcPr>
          <w:p w14:paraId="22FE3D78">
            <w:pPr>
              <w:widowControl/>
              <w:jc w:val="left"/>
              <w:rPr>
                <w:rFonts w:eastAsia="仿宋_GB2312"/>
                <w:kern w:val="0"/>
                <w:szCs w:val="21"/>
              </w:rPr>
            </w:pPr>
            <w:r>
              <w:rPr>
                <w:rFonts w:eastAsia="仿宋_GB2312"/>
                <w:kern w:val="0"/>
                <w:szCs w:val="21"/>
              </w:rPr>
              <w:t>抽取服务对象和社会公众各10名进行问卷调查，调查问卷共计得分/1000分*8。</w:t>
            </w:r>
          </w:p>
        </w:tc>
        <w:tc>
          <w:tcPr>
            <w:tcW w:w="3432" w:type="dxa"/>
            <w:tcBorders>
              <w:top w:val="single" w:color="auto" w:sz="4" w:space="0"/>
              <w:left w:val="single" w:color="auto" w:sz="4" w:space="0"/>
              <w:bottom w:val="single" w:color="auto" w:sz="4" w:space="0"/>
              <w:right w:val="single" w:color="auto" w:sz="4" w:space="0"/>
            </w:tcBorders>
            <w:vAlign w:val="center"/>
          </w:tcPr>
          <w:p w14:paraId="2F9E6A8F">
            <w:pPr>
              <w:widowControl/>
              <w:jc w:val="left"/>
              <w:rPr>
                <w:rFonts w:eastAsia="仿宋_GB2312"/>
                <w:kern w:val="0"/>
                <w:szCs w:val="21"/>
              </w:rPr>
            </w:pPr>
            <w:r>
              <w:rPr>
                <w:rFonts w:eastAsia="仿宋_GB2312"/>
                <w:kern w:val="0"/>
                <w:szCs w:val="21"/>
              </w:rPr>
              <w:t>社会公众或服务对象是指部门（单位）履行职责而影响到的部门，群体或个人，一般采取社会调查的方式。</w:t>
            </w:r>
          </w:p>
        </w:tc>
        <w:tc>
          <w:tcPr>
            <w:tcW w:w="2107" w:type="dxa"/>
            <w:tcBorders>
              <w:top w:val="single" w:color="auto" w:sz="4" w:space="0"/>
              <w:left w:val="single" w:color="auto" w:sz="4" w:space="0"/>
              <w:bottom w:val="single" w:color="auto" w:sz="4" w:space="0"/>
              <w:right w:val="single" w:color="auto" w:sz="4" w:space="0"/>
            </w:tcBorders>
            <w:vAlign w:val="center"/>
          </w:tcPr>
          <w:p w14:paraId="7CAC4CD6">
            <w:pPr>
              <w:widowControl/>
              <w:jc w:val="left"/>
              <w:rPr>
                <w:kern w:val="0"/>
                <w:szCs w:val="21"/>
              </w:rPr>
            </w:pPr>
            <w:r>
              <w:rPr>
                <w:kern w:val="0"/>
                <w:szCs w:val="21"/>
              </w:rPr>
              <w:t>　</w:t>
            </w:r>
            <w:r>
              <w:rPr>
                <w:rFonts w:hint="eastAsia"/>
                <w:kern w:val="0"/>
                <w:szCs w:val="21"/>
              </w:rPr>
              <w:t xml:space="preserve">      8分</w:t>
            </w:r>
          </w:p>
        </w:tc>
      </w:tr>
      <w:tr w14:paraId="1A35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997" w:type="dxa"/>
            <w:gridSpan w:val="3"/>
            <w:tcBorders>
              <w:top w:val="single" w:color="auto" w:sz="4" w:space="0"/>
              <w:left w:val="single" w:color="auto" w:sz="4" w:space="0"/>
              <w:bottom w:val="single" w:color="auto" w:sz="4" w:space="0"/>
              <w:right w:val="single" w:color="auto" w:sz="4" w:space="0"/>
            </w:tcBorders>
            <w:vAlign w:val="center"/>
          </w:tcPr>
          <w:p w14:paraId="5A533011">
            <w:pPr>
              <w:widowControl/>
              <w:jc w:val="center"/>
              <w:rPr>
                <w:rFonts w:eastAsia="仿宋_GB2312"/>
                <w:kern w:val="0"/>
                <w:szCs w:val="21"/>
              </w:rPr>
            </w:pPr>
            <w:r>
              <w:rPr>
                <w:rFonts w:eastAsia="仿宋_GB2312"/>
                <w:kern w:val="0"/>
                <w:szCs w:val="21"/>
              </w:rPr>
              <w:t>合   计</w:t>
            </w:r>
          </w:p>
        </w:tc>
        <w:tc>
          <w:tcPr>
            <w:tcW w:w="1334" w:type="dxa"/>
            <w:tcBorders>
              <w:top w:val="single" w:color="auto" w:sz="4" w:space="0"/>
              <w:left w:val="single" w:color="auto" w:sz="4" w:space="0"/>
              <w:bottom w:val="single" w:color="auto" w:sz="4" w:space="0"/>
              <w:right w:val="single" w:color="auto" w:sz="4" w:space="0"/>
            </w:tcBorders>
            <w:vAlign w:val="center"/>
          </w:tcPr>
          <w:p w14:paraId="4D84F666">
            <w:pPr>
              <w:widowControl/>
              <w:jc w:val="center"/>
              <w:rPr>
                <w:rFonts w:eastAsia="仿宋_GB2312"/>
                <w:kern w:val="0"/>
                <w:szCs w:val="21"/>
              </w:rPr>
            </w:pPr>
          </w:p>
        </w:tc>
        <w:tc>
          <w:tcPr>
            <w:tcW w:w="794" w:type="dxa"/>
            <w:tcBorders>
              <w:top w:val="single" w:color="auto" w:sz="4" w:space="0"/>
              <w:left w:val="single" w:color="auto" w:sz="4" w:space="0"/>
              <w:bottom w:val="single" w:color="auto" w:sz="4" w:space="0"/>
              <w:right w:val="single" w:color="auto" w:sz="4" w:space="0"/>
            </w:tcBorders>
            <w:vAlign w:val="center"/>
          </w:tcPr>
          <w:p w14:paraId="4EAED717">
            <w:pPr>
              <w:widowControl/>
              <w:jc w:val="center"/>
              <w:rPr>
                <w:rFonts w:eastAsia="仿宋_GB2312"/>
                <w:kern w:val="0"/>
                <w:szCs w:val="21"/>
              </w:rPr>
            </w:pPr>
            <w:r>
              <w:rPr>
                <w:rFonts w:eastAsia="仿宋_GB2312"/>
                <w:kern w:val="0"/>
                <w:szCs w:val="21"/>
              </w:rPr>
              <w:t>100</w:t>
            </w:r>
          </w:p>
        </w:tc>
        <w:tc>
          <w:tcPr>
            <w:tcW w:w="4140" w:type="dxa"/>
            <w:tcBorders>
              <w:top w:val="single" w:color="auto" w:sz="4" w:space="0"/>
              <w:left w:val="single" w:color="auto" w:sz="4" w:space="0"/>
              <w:bottom w:val="single" w:color="auto" w:sz="4" w:space="0"/>
              <w:right w:val="single" w:color="auto" w:sz="4" w:space="0"/>
            </w:tcBorders>
            <w:vAlign w:val="center"/>
          </w:tcPr>
          <w:p w14:paraId="75C028B2">
            <w:pPr>
              <w:widowControl/>
              <w:jc w:val="left"/>
              <w:rPr>
                <w:rFonts w:eastAsia="仿宋_GB2312"/>
                <w:kern w:val="0"/>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15E0E76C">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vAlign w:val="center"/>
          </w:tcPr>
          <w:p w14:paraId="3E94F922">
            <w:pPr>
              <w:widowControl/>
              <w:jc w:val="center"/>
              <w:rPr>
                <w:rFonts w:hint="default" w:eastAsia="宋体"/>
                <w:kern w:val="0"/>
                <w:szCs w:val="21"/>
                <w:lang w:val="en-US" w:eastAsia="zh-CN"/>
              </w:rPr>
            </w:pPr>
            <w:r>
              <w:rPr>
                <w:rFonts w:hint="eastAsia"/>
                <w:kern w:val="0"/>
                <w:szCs w:val="21"/>
                <w:lang w:val="en-US" w:eastAsia="zh-CN"/>
              </w:rPr>
              <w:t>97</w:t>
            </w:r>
          </w:p>
        </w:tc>
      </w:tr>
    </w:tbl>
    <w:p w14:paraId="73B55239"/>
    <w:p w14:paraId="606A75B0">
      <w:pPr>
        <w:sectPr>
          <w:pgSz w:w="16838" w:h="11906" w:orient="landscape"/>
          <w:pgMar w:top="1797" w:right="1440" w:bottom="1797" w:left="1440" w:header="851" w:footer="992" w:gutter="0"/>
          <w:pgNumType w:fmt="numberInDash"/>
          <w:cols w:space="720" w:num="1"/>
          <w:docGrid w:type="lines" w:linePitch="312" w:charSpace="0"/>
        </w:sectPr>
      </w:pPr>
    </w:p>
    <w:p w14:paraId="5E16C7C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99D01">
    <w:pPr>
      <w:pStyle w:val="3"/>
      <w:framePr w:wrap="around" w:vAnchor="text" w:hAnchor="margin" w:xAlign="center" w:y="1"/>
      <w:rPr>
        <w:rStyle w:val="7"/>
        <w:rFonts w:ascii="宋体" w:hAnsi="宋体"/>
        <w:sz w:val="24"/>
        <w:szCs w:val="24"/>
      </w:rPr>
    </w:pPr>
    <w:r>
      <w:rPr>
        <w:rStyle w:val="7"/>
        <w:rFonts w:hint="eastAsia" w:ascii="宋体" w:hAnsi="宋体"/>
        <w:sz w:val="24"/>
        <w:szCs w:val="24"/>
      </w:rPr>
      <w:t xml:space="preserve"> </w:t>
    </w:r>
    <w:r>
      <w:rPr>
        <w:rFonts w:hint="eastAsia" w:ascii="宋体" w:hAnsi="宋体"/>
        <w:sz w:val="24"/>
        <w:szCs w:val="24"/>
      </w:rPr>
      <w:fldChar w:fldCharType="begin"/>
    </w:r>
    <w:r>
      <w:rPr>
        <w:rStyle w:val="7"/>
        <w:rFonts w:hint="eastAsia" w:ascii="宋体" w:hAnsi="宋体"/>
        <w:sz w:val="24"/>
        <w:szCs w:val="24"/>
      </w:rPr>
      <w:instrText xml:space="preserve">PAGE  </w:instrText>
    </w:r>
    <w:r>
      <w:rPr>
        <w:rFonts w:hint="eastAsia" w:ascii="宋体" w:hAnsi="宋体"/>
        <w:sz w:val="24"/>
        <w:szCs w:val="24"/>
      </w:rPr>
      <w:fldChar w:fldCharType="separate"/>
    </w:r>
    <w:r>
      <w:rPr>
        <w:rStyle w:val="7"/>
        <w:rFonts w:ascii="宋体" w:hAnsi="宋体"/>
        <w:sz w:val="24"/>
        <w:szCs w:val="24"/>
      </w:rPr>
      <w:t>- 2 -</w:t>
    </w:r>
    <w:r>
      <w:rPr>
        <w:rFonts w:hint="eastAsia" w:ascii="宋体" w:hAnsi="宋体"/>
        <w:sz w:val="24"/>
        <w:szCs w:val="24"/>
      </w:rPr>
      <w:fldChar w:fldCharType="end"/>
    </w:r>
    <w:r>
      <w:rPr>
        <w:rStyle w:val="7"/>
        <w:rFonts w:hint="eastAsia" w:ascii="宋体" w:hAnsi="宋体"/>
        <w:sz w:val="24"/>
        <w:szCs w:val="24"/>
      </w:rPr>
      <w:t xml:space="preserve"> </w:t>
    </w:r>
  </w:p>
  <w:p w14:paraId="44F429EB">
    <w:pPr>
      <w:pStyle w:val="3"/>
      <w:framePr w:wrap="around" w:vAnchor="text" w:hAnchor="margin" w:xAlign="outside" w:y="1"/>
      <w:rPr>
        <w:rStyle w:val="7"/>
        <w:rFonts w:ascii="宋体" w:hAnsi="宋体"/>
        <w:sz w:val="24"/>
        <w:szCs w:val="24"/>
      </w:rPr>
    </w:pPr>
  </w:p>
  <w:p w14:paraId="6393AC07">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NiMDhlYmUxYWU1Y2FlMWZkN2ZkY2ZiZGFmODJkZDEifQ=="/>
  </w:docVars>
  <w:rsids>
    <w:rsidRoot w:val="00B706CC"/>
    <w:rsid w:val="009926F5"/>
    <w:rsid w:val="00A6106A"/>
    <w:rsid w:val="00B706CC"/>
    <w:rsid w:val="00FC35EB"/>
    <w:rsid w:val="05F42205"/>
    <w:rsid w:val="0B144D92"/>
    <w:rsid w:val="0CBE6AE5"/>
    <w:rsid w:val="0DCB64D5"/>
    <w:rsid w:val="155B43DE"/>
    <w:rsid w:val="24F52724"/>
    <w:rsid w:val="260D1C16"/>
    <w:rsid w:val="32846C5D"/>
    <w:rsid w:val="36F17AE7"/>
    <w:rsid w:val="37B77163"/>
    <w:rsid w:val="3B6D117C"/>
    <w:rsid w:val="45156A76"/>
    <w:rsid w:val="457843A9"/>
    <w:rsid w:val="47102465"/>
    <w:rsid w:val="49463F4F"/>
    <w:rsid w:val="4C320C7E"/>
    <w:rsid w:val="537C2474"/>
    <w:rsid w:val="53847F40"/>
    <w:rsid w:val="54A43660"/>
    <w:rsid w:val="58975F4D"/>
    <w:rsid w:val="5AD9663A"/>
    <w:rsid w:val="5B5E7BEB"/>
    <w:rsid w:val="60D20963"/>
    <w:rsid w:val="669E4CBA"/>
    <w:rsid w:val="79014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正文文字"/>
    <w:next w:val="1"/>
    <w:qFormat/>
    <w:uiPriority w:val="0"/>
    <w:pPr>
      <w:widowControl w:val="0"/>
      <w:spacing w:after="120"/>
      <w:jc w:val="both"/>
    </w:pPr>
    <w:rPr>
      <w:rFonts w:ascii="Calibri" w:hAnsi="Calibri" w:eastAsia="宋体" w:cs="Calibri"/>
      <w:kern w:val="2"/>
      <w:sz w:val="21"/>
      <w:szCs w:val="21"/>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footnote text"/>
    <w:basedOn w:val="1"/>
    <w:qFormat/>
    <w:uiPriority w:val="0"/>
    <w:pPr>
      <w:snapToGrid w:val="0"/>
      <w:jc w:val="left"/>
    </w:pPr>
    <w:rPr>
      <w:rFonts w:ascii="Calibri" w:hAnsi="Calibri"/>
      <w:sz w:val="18"/>
      <w:szCs w:val="18"/>
    </w:rPr>
  </w:style>
  <w:style w:type="character" w:styleId="7">
    <w:name w:val="page number"/>
    <w:qFormat/>
    <w:uiPriority w:val="0"/>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4602</Words>
  <Characters>4989</Characters>
  <Lines>65</Lines>
  <Paragraphs>18</Paragraphs>
  <TotalTime>25</TotalTime>
  <ScaleCrop>false</ScaleCrop>
  <LinksUpToDate>false</LinksUpToDate>
  <CharactersWithSpaces>5328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2021-10-07T02:19:00Z</dcterms:created>
  <dc:creator>Administrator</dc:creator>
  <cp:lastModifiedBy>Administrator</cp:lastModifiedBy>
  <dcterms:modified xsi:type="dcterms:W3CDTF">2024-10-17T00:43:01Z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AEA6068B42054CA9AC601CDCF0A29753</vt:lpwstr>
  </property>
</Properties>
</file>