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7D6B7E08">
      <w:pPr>
        <w:spacing w:line="600" w:lineRule="exact"/>
        <w:jc w:val="center"/>
        <w:rPr>
          <w:rFonts w:hint="eastAsia" w:eastAsia="方正小标宋_GBK"/>
          <w:sz w:val="44"/>
          <w:szCs w:val="44"/>
          <w:lang w:eastAsia="zh-CN"/>
        </w:rPr>
      </w:pPr>
      <w:r>
        <w:rPr>
          <w:rFonts w:hint="eastAsia" w:ascii="方正小标宋简体" w:hAnsi="方正小标宋简体" w:eastAsia="方正小标宋简体" w:cs="方正小标宋简体"/>
          <w:sz w:val="44"/>
          <w:szCs w:val="44"/>
          <w:lang w:val="en-US" w:eastAsia="zh-CN"/>
        </w:rPr>
        <w:t>2023年度</w:t>
      </w:r>
      <w:r>
        <w:rPr>
          <w:rFonts w:hint="eastAsia" w:eastAsia="方正小标宋_GBK"/>
          <w:sz w:val="44"/>
          <w:szCs w:val="44"/>
          <w:lang w:eastAsia="zh-CN"/>
        </w:rPr>
        <w:t>炎陵县供销合作社联合社</w:t>
      </w: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6365D549">
      <w:pPr>
        <w:spacing w:line="600" w:lineRule="exact"/>
        <w:jc w:val="center"/>
        <w:rPr>
          <w:rFonts w:eastAsia="楷体_GB2312"/>
          <w:sz w:val="32"/>
          <w:szCs w:val="32"/>
        </w:rPr>
      </w:pPr>
      <w:r>
        <w:rPr>
          <w:rFonts w:eastAsia="楷体_GB2312"/>
          <w:sz w:val="32"/>
          <w:szCs w:val="32"/>
        </w:rPr>
        <w:t>（参考</w:t>
      </w:r>
      <w:r>
        <w:rPr>
          <w:rFonts w:hint="eastAsia" w:eastAsia="楷体_GB2312"/>
          <w:sz w:val="32"/>
          <w:szCs w:val="32"/>
          <w:lang w:val="en-US" w:eastAsia="zh-CN"/>
        </w:rPr>
        <w:t>格式</w:t>
      </w:r>
      <w:r>
        <w:rPr>
          <w:rFonts w:eastAsia="楷体_GB2312"/>
          <w:sz w:val="32"/>
          <w:szCs w:val="32"/>
        </w:rPr>
        <w:t>）</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7"/>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7"/>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08F0E62A">
      <w:pPr>
        <w:widowControl/>
        <w:numPr>
          <w:ilvl w:val="0"/>
          <w:numId w:val="3"/>
        </w:numPr>
        <w:adjustRightInd w:val="0"/>
        <w:snapToGrid w:val="0"/>
        <w:spacing w:line="560" w:lineRule="exact"/>
        <w:ind w:firstLine="607" w:firstLineChars="196"/>
        <w:jc w:val="left"/>
        <w:rPr>
          <w:rFonts w:hint="eastAsia" w:ascii="仿宋_GB2312" w:hAnsi="仿宋_GB2312" w:eastAsia="仿宋_GB2312" w:cs="仿宋_GB2312"/>
          <w:i w:val="0"/>
          <w:caps w:val="0"/>
          <w:color w:val="000000"/>
          <w:spacing w:val="0"/>
          <w:sz w:val="31"/>
          <w:szCs w:val="31"/>
        </w:rPr>
      </w:pPr>
      <w:r>
        <w:rPr>
          <w:rFonts w:hint="eastAsia" w:ascii="仿宋_GB2312" w:hAnsi="仿宋_GB2312" w:eastAsia="仿宋_GB2312" w:cs="仿宋_GB2312"/>
          <w:i w:val="0"/>
          <w:caps w:val="0"/>
          <w:color w:val="000000"/>
          <w:spacing w:val="0"/>
          <w:sz w:val="31"/>
          <w:szCs w:val="31"/>
        </w:rPr>
        <w:t>炎陵县供销合作社联合社是全县供销社的联合组织，是受县人民政府委托，为全县农业、农村和农民提供综合服务的事业机构。</w:t>
      </w:r>
    </w:p>
    <w:p w14:paraId="45858EE1">
      <w:pPr>
        <w:widowControl/>
        <w:numPr>
          <w:ilvl w:val="0"/>
          <w:numId w:val="0"/>
        </w:numPr>
        <w:adjustRightInd w:val="0"/>
        <w:snapToGrid w:val="0"/>
        <w:spacing w:line="560" w:lineRule="exact"/>
        <w:ind w:firstLine="62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1"/>
          <w:szCs w:val="31"/>
          <w:lang w:val="en-US" w:eastAsia="zh-CN"/>
        </w:rPr>
        <w:t>2、</w:t>
      </w:r>
      <w:r>
        <w:rPr>
          <w:rFonts w:hint="eastAsia" w:ascii="仿宋_GB2312" w:hAnsi="仿宋_GB2312" w:eastAsia="仿宋_GB2312" w:cs="仿宋_GB2312"/>
          <w:sz w:val="32"/>
          <w:szCs w:val="32"/>
        </w:rPr>
        <w:t>炎陵县供销合作社联合社为独立核算的事业单位，属于财政全额拨款的一级预算单位，内设职能股（室）6个：办公室、人保股、财务股、物业管理股、业务股、商业行业管理办公室。本单位无二级预算单位。</w:t>
      </w:r>
    </w:p>
    <w:p w14:paraId="3AECEB6F">
      <w:pPr>
        <w:snapToGrid w:val="0"/>
        <w:spacing w:line="52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．人员情况，截止20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年12月底，核定编制16名，（</w:t>
      </w:r>
      <w:r>
        <w:rPr>
          <w:rFonts w:hint="eastAsia" w:ascii="仿宋_GB2312" w:hAnsi="仿宋_GB2312" w:eastAsia="仿宋_GB2312" w:cs="仿宋_GB2312"/>
          <w:sz w:val="32"/>
          <w:szCs w:val="32"/>
          <w:lang w:eastAsia="zh-CN"/>
        </w:rPr>
        <w:t>参公</w:t>
      </w:r>
      <w:r>
        <w:rPr>
          <w:rFonts w:hint="eastAsia" w:ascii="仿宋_GB2312" w:hAnsi="仿宋_GB2312" w:eastAsia="仿宋_GB2312" w:cs="仿宋_GB2312"/>
          <w:sz w:val="32"/>
          <w:szCs w:val="32"/>
        </w:rPr>
        <w:t>全额事业编16人），实有在职人员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人，原商业局退休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离休</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rPr>
        <w:t>特困企业离休人员1名，遗属补助</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名，(其中机关4人，原商业局</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p>
    <w:p w14:paraId="5556C9CE">
      <w:pPr>
        <w:pStyle w:val="7"/>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22224043">
      <w:pPr>
        <w:snapToGrid w:val="0"/>
        <w:spacing w:line="5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1.确定中村瑶族乡为“三社合一”试点乡镇 2.落实湖南省供销合作总社下发的土地全程托管服务3140工作任务。按时完成市社下发12万亩次的任务。3.完成农资储备3300余吨。4.建设县域集采集配中心1个，对乡镇惠民综合服务中心、村级惠民综合服务社进行升级改造，完善县乡村三级物流网络建设。做好“832平台”农产品入驻。5.巩固再生资源回收利用体系建设成果，推进全县再生资源回收利用工作与垃圾分类工作相结合，指导各回收站、点进行垃圾分类减量。6.切实做好33家改制企业1300余名下岗职工的安抚稳定工作，确保重点对象稳控到位。7.派驻社属全资企业炎陵县农业生资公司经理为乡村振兴指导员驻点霞阳镇九龙村。8.积极在宣传平台发布稿件。</w:t>
      </w:r>
    </w:p>
    <w:p w14:paraId="20A56555">
      <w:pPr>
        <w:pStyle w:val="7"/>
        <w:widowControl/>
        <w:spacing w:line="520" w:lineRule="exact"/>
        <w:ind w:left="640" w:firstLine="0" w:firstLineChars="0"/>
        <w:rPr>
          <w:rFonts w:hint="eastAsia" w:ascii="楷体_GB2312" w:hAnsi="楷体_GB2312" w:eastAsia="楷体_GB2312" w:cs="楷体_GB2312"/>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06D49EDC">
      <w:pPr>
        <w:pStyle w:val="7"/>
        <w:widowControl/>
        <w:numPr>
          <w:ilvl w:val="0"/>
          <w:numId w:val="4"/>
        </w:numPr>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基本支出情况</w:t>
      </w:r>
    </w:p>
    <w:p w14:paraId="09BB815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_GB2312" w:hAnsi="仿宋" w:eastAsia="仿宋_GB2312"/>
          <w:sz w:val="32"/>
          <w:szCs w:val="32"/>
        </w:rPr>
      </w:pPr>
      <w:r>
        <w:rPr>
          <w:rFonts w:hint="eastAsia" w:ascii="仿宋_GB2312" w:hAnsi="仿宋" w:eastAsia="仿宋_GB2312" w:cs="仿宋"/>
          <w:color w:val="000000"/>
          <w:sz w:val="32"/>
          <w:szCs w:val="32"/>
        </w:rPr>
        <w:t>本年实际收到的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公共预算财政拨款收入</w:t>
      </w:r>
      <w:r>
        <w:rPr>
          <w:rFonts w:hint="eastAsia" w:ascii="仿宋_GB2312" w:hAnsi="仿宋" w:eastAsia="仿宋_GB2312"/>
          <w:sz w:val="32"/>
          <w:szCs w:val="32"/>
          <w:u w:val="none"/>
          <w:lang w:val="en-US" w:eastAsia="zh-CN"/>
        </w:rPr>
        <w:t>276.66</w:t>
      </w:r>
      <w:r>
        <w:rPr>
          <w:rFonts w:hint="eastAsia" w:ascii="仿宋_GB2312" w:hAnsi="仿宋" w:eastAsia="仿宋_GB2312" w:cs="仿宋"/>
          <w:color w:val="000000"/>
          <w:sz w:val="32"/>
          <w:szCs w:val="32"/>
        </w:rPr>
        <w:t>万元，总支出为</w:t>
      </w:r>
      <w:r>
        <w:rPr>
          <w:rFonts w:hint="eastAsia" w:ascii="仿宋_GB2312" w:hAnsi="仿宋" w:eastAsia="仿宋_GB2312"/>
          <w:sz w:val="32"/>
          <w:szCs w:val="32"/>
          <w:u w:val="none"/>
          <w:lang w:val="en-US" w:eastAsia="zh-CN"/>
        </w:rPr>
        <w:t>276.66</w:t>
      </w:r>
      <w:r>
        <w:rPr>
          <w:rFonts w:hint="eastAsia" w:ascii="仿宋_GB2312" w:hAnsi="仿宋" w:eastAsia="仿宋_GB2312" w:cs="仿宋"/>
          <w:color w:val="000000"/>
          <w:sz w:val="32"/>
          <w:szCs w:val="32"/>
        </w:rPr>
        <w:t>万元；其中：一般公共服务支出</w:t>
      </w:r>
      <w:r>
        <w:rPr>
          <w:rFonts w:hint="eastAsia" w:ascii="仿宋" w:hAnsi="仿宋" w:eastAsia="仿宋"/>
          <w:sz w:val="30"/>
          <w:szCs w:val="30"/>
          <w:lang w:val="en-US" w:eastAsia="zh-CN"/>
        </w:rPr>
        <w:t>31.70</w:t>
      </w:r>
      <w:r>
        <w:rPr>
          <w:rFonts w:hint="eastAsia" w:ascii="仿宋_GB2312" w:hAnsi="仿宋" w:eastAsia="仿宋_GB2312" w:cs="仿宋"/>
          <w:color w:val="000000"/>
          <w:sz w:val="32"/>
          <w:szCs w:val="32"/>
          <w:lang w:eastAsia="zh-CN"/>
        </w:rPr>
        <w:t>万元；</w:t>
      </w:r>
      <w:r>
        <w:rPr>
          <w:rFonts w:hint="eastAsia" w:ascii="仿宋_GB2312" w:hAnsi="仿宋" w:eastAsia="仿宋_GB2312" w:cs="仿宋"/>
          <w:color w:val="000000"/>
          <w:sz w:val="32"/>
          <w:szCs w:val="32"/>
        </w:rPr>
        <w:t>社会保障和就业支出</w:t>
      </w:r>
      <w:r>
        <w:rPr>
          <w:rFonts w:hint="eastAsia" w:ascii="仿宋" w:hAnsi="仿宋" w:eastAsia="仿宋"/>
          <w:sz w:val="30"/>
          <w:szCs w:val="30"/>
          <w:lang w:val="en-US" w:eastAsia="zh-CN"/>
        </w:rPr>
        <w:t>71.58</w:t>
      </w:r>
      <w:r>
        <w:rPr>
          <w:rFonts w:hint="eastAsia" w:ascii="仿宋_GB2312" w:hAnsi="仿宋" w:eastAsia="仿宋_GB2312" w:cs="仿宋"/>
          <w:color w:val="000000"/>
          <w:sz w:val="32"/>
          <w:szCs w:val="32"/>
        </w:rPr>
        <w:t>万；</w:t>
      </w:r>
      <w:r>
        <w:rPr>
          <w:rFonts w:hint="eastAsia" w:ascii="仿宋_GB2312" w:hAnsi="仿宋" w:eastAsia="仿宋_GB2312"/>
          <w:sz w:val="32"/>
          <w:szCs w:val="32"/>
        </w:rPr>
        <w:t>卫生健康支出</w:t>
      </w:r>
      <w:r>
        <w:rPr>
          <w:rFonts w:hint="eastAsia" w:ascii="仿宋" w:hAnsi="仿宋" w:eastAsia="仿宋"/>
          <w:sz w:val="30"/>
          <w:szCs w:val="30"/>
          <w:lang w:val="en-US" w:eastAsia="zh-CN"/>
        </w:rPr>
        <w:t>6.06</w:t>
      </w:r>
      <w:r>
        <w:rPr>
          <w:rFonts w:hint="eastAsia" w:ascii="仿宋_GB2312" w:hAnsi="仿宋" w:eastAsia="仿宋_GB2312"/>
          <w:sz w:val="32"/>
          <w:szCs w:val="32"/>
        </w:rPr>
        <w:t>万元；农林水支出</w:t>
      </w:r>
      <w:r>
        <w:rPr>
          <w:rFonts w:hint="eastAsia" w:ascii="仿宋_GB2312" w:hAnsi="仿宋" w:eastAsia="仿宋_GB2312"/>
          <w:sz w:val="32"/>
          <w:szCs w:val="32"/>
          <w:lang w:val="en-US" w:eastAsia="zh-CN"/>
        </w:rPr>
        <w:t>40</w:t>
      </w:r>
      <w:r>
        <w:rPr>
          <w:rFonts w:hint="eastAsia" w:ascii="仿宋_GB2312" w:hAnsi="仿宋" w:eastAsia="仿宋_GB2312"/>
          <w:sz w:val="32"/>
          <w:szCs w:val="32"/>
        </w:rPr>
        <w:t>万元；商业服务业等支出</w:t>
      </w:r>
      <w:r>
        <w:rPr>
          <w:rFonts w:hint="eastAsia" w:ascii="仿宋" w:hAnsi="仿宋" w:eastAsia="仿宋"/>
          <w:sz w:val="30"/>
          <w:szCs w:val="30"/>
          <w:lang w:val="en-US" w:eastAsia="zh-CN"/>
        </w:rPr>
        <w:t>116.22</w:t>
      </w:r>
      <w:r>
        <w:rPr>
          <w:rFonts w:hint="eastAsia" w:ascii="仿宋_GB2312" w:hAnsi="仿宋" w:eastAsia="仿宋_GB2312"/>
          <w:sz w:val="32"/>
          <w:szCs w:val="32"/>
        </w:rPr>
        <w:t>万元；住房保障支出</w:t>
      </w:r>
      <w:r>
        <w:rPr>
          <w:rFonts w:hint="eastAsia" w:ascii="仿宋" w:hAnsi="仿宋" w:eastAsia="仿宋"/>
          <w:sz w:val="30"/>
          <w:szCs w:val="30"/>
          <w:lang w:val="en-US" w:eastAsia="zh-CN"/>
        </w:rPr>
        <w:t>11.1</w:t>
      </w:r>
      <w:r>
        <w:rPr>
          <w:rFonts w:hint="eastAsia" w:ascii="仿宋_GB2312" w:hAnsi="仿宋" w:eastAsia="仿宋_GB2312"/>
          <w:sz w:val="32"/>
          <w:szCs w:val="32"/>
        </w:rPr>
        <w:t>万元。</w:t>
      </w:r>
    </w:p>
    <w:p w14:paraId="7C11EFB6">
      <w:pPr>
        <w:pStyle w:val="7"/>
        <w:widowControl/>
        <w:numPr>
          <w:ilvl w:val="0"/>
          <w:numId w:val="0"/>
        </w:numPr>
        <w:spacing w:line="520" w:lineRule="exact"/>
        <w:ind w:firstLine="320" w:firstLineChars="100"/>
        <w:rPr>
          <w:rFonts w:hint="eastAsia" w:ascii="楷体_GB2312" w:hAnsi="楷体_GB2312" w:eastAsia="楷体_GB2312" w:cs="楷体_GB2312"/>
          <w:sz w:val="32"/>
          <w:szCs w:val="32"/>
        </w:rPr>
      </w:pPr>
      <w:r>
        <w:rPr>
          <w:rFonts w:hint="eastAsia" w:ascii="仿宋_GB2312" w:hAnsi="仿宋" w:eastAsia="仿宋_GB2312"/>
          <w:sz w:val="32"/>
          <w:szCs w:val="32"/>
          <w:lang w:val="en-US" w:eastAsia="zh-CN"/>
        </w:rPr>
        <w:t>(</w:t>
      </w:r>
      <w:r>
        <w:rPr>
          <w:rFonts w:hint="eastAsia" w:ascii="楷体_GB2312" w:hAnsi="楷体_GB2312" w:eastAsia="楷体_GB2312" w:cs="楷体_GB2312"/>
          <w:sz w:val="32"/>
          <w:szCs w:val="32"/>
        </w:rPr>
        <w:t>二）项目支出情况</w:t>
      </w:r>
    </w:p>
    <w:p w14:paraId="3E1ACDBE">
      <w:pPr>
        <w:widowControl/>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2022年深化</w:t>
      </w:r>
      <w:r>
        <w:rPr>
          <w:rFonts w:hint="eastAsia" w:ascii="仿宋_GB2312" w:hAnsi="仿宋_GB2312" w:eastAsia="仿宋_GB2312" w:cs="仿宋_GB2312"/>
          <w:sz w:val="32"/>
          <w:szCs w:val="32"/>
        </w:rPr>
        <w:t>供销社综合改革专项资金</w:t>
      </w:r>
      <w:r>
        <w:rPr>
          <w:rFonts w:hint="eastAsia" w:ascii="仿宋_GB2312" w:hAnsi="仿宋_GB2312" w:eastAsia="仿宋_GB2312" w:cs="仿宋_GB2312"/>
          <w:sz w:val="32"/>
          <w:szCs w:val="32"/>
          <w:lang w:eastAsia="zh-CN"/>
        </w:rPr>
        <w:t>（三社合一）</w:t>
      </w:r>
      <w:r>
        <w:rPr>
          <w:rFonts w:hint="eastAsia" w:ascii="仿宋_GB2312" w:hAnsi="仿宋_GB2312" w:eastAsia="仿宋_GB2312" w:cs="仿宋_GB2312"/>
          <w:sz w:val="32"/>
          <w:szCs w:val="32"/>
        </w:rPr>
        <w:t>专项资金安排</w:t>
      </w:r>
      <w:r>
        <w:rPr>
          <w:rFonts w:hint="eastAsia" w:ascii="仿宋_GB2312" w:hAnsi="仿宋_GB2312" w:eastAsia="仿宋_GB2312" w:cs="仿宋_GB2312"/>
          <w:sz w:val="32"/>
          <w:szCs w:val="32"/>
          <w:lang w:val="en-US" w:eastAsia="zh-CN"/>
        </w:rPr>
        <w:t>30万，用于奖补3个“三位一体”综合合作试点乡镇和7个“三社合一”综合改革试点村。</w:t>
      </w:r>
    </w:p>
    <w:p w14:paraId="2793B2A3">
      <w:pPr>
        <w:widowControl/>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2023年深化</w:t>
      </w:r>
      <w:r>
        <w:rPr>
          <w:rFonts w:hint="eastAsia" w:ascii="仿宋_GB2312" w:hAnsi="仿宋_GB2312" w:eastAsia="仿宋_GB2312" w:cs="仿宋_GB2312"/>
          <w:sz w:val="32"/>
          <w:szCs w:val="32"/>
        </w:rPr>
        <w:t>供销社综合改革专项资金</w:t>
      </w:r>
      <w:r>
        <w:rPr>
          <w:rFonts w:hint="eastAsia" w:ascii="仿宋_GB2312" w:hAnsi="仿宋_GB2312" w:eastAsia="仿宋_GB2312" w:cs="仿宋_GB2312"/>
          <w:sz w:val="32"/>
          <w:szCs w:val="32"/>
          <w:lang w:eastAsia="zh-CN"/>
        </w:rPr>
        <w:t>（三社（位）一体）</w:t>
      </w:r>
      <w:r>
        <w:rPr>
          <w:rFonts w:hint="eastAsia" w:ascii="仿宋_GB2312" w:hAnsi="仿宋_GB2312" w:eastAsia="仿宋_GB2312" w:cs="仿宋_GB2312"/>
          <w:sz w:val="32"/>
          <w:szCs w:val="32"/>
        </w:rPr>
        <w:t>专项资金安排</w:t>
      </w:r>
      <w:r>
        <w:rPr>
          <w:rFonts w:hint="eastAsia" w:ascii="仿宋_GB2312" w:hAnsi="仿宋_GB2312" w:eastAsia="仿宋_GB2312" w:cs="仿宋_GB2312"/>
          <w:sz w:val="32"/>
          <w:szCs w:val="32"/>
          <w:lang w:val="en-US" w:eastAsia="zh-CN"/>
        </w:rPr>
        <w:t>10万，用于奖补1个“三社合一”综合改革试点乡镇和1个“三位一体”综合服务中心。</w:t>
      </w:r>
    </w:p>
    <w:p w14:paraId="5E403621">
      <w:pPr>
        <w:widowControl/>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2020年惠农综合服务规范化县项目工程款</w:t>
      </w:r>
      <w:r>
        <w:rPr>
          <w:rFonts w:hint="eastAsia" w:ascii="仿宋_GB2312" w:hAnsi="仿宋_GB2312" w:eastAsia="仿宋_GB2312" w:cs="仿宋_GB2312"/>
          <w:sz w:val="32"/>
          <w:szCs w:val="32"/>
          <w:lang w:eastAsia="zh-CN"/>
        </w:rPr>
        <w:t>，项目已完工并完成审计结算。尾款</w:t>
      </w:r>
      <w:r>
        <w:rPr>
          <w:rFonts w:hint="eastAsia" w:ascii="仿宋_GB2312" w:hAnsi="仿宋_GB2312" w:eastAsia="仿宋_GB2312" w:cs="仿宋_GB2312"/>
          <w:sz w:val="32"/>
          <w:szCs w:val="32"/>
          <w:lang w:val="en-US" w:eastAsia="zh-CN"/>
        </w:rPr>
        <w:t>50万分两次支付，2023年1月和3月分别支付25万元。用于百货大楼项目建设。</w:t>
      </w:r>
    </w:p>
    <w:p w14:paraId="7AC34448">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2023年共支付项目资金90万元，</w:t>
      </w:r>
      <w:r>
        <w:rPr>
          <w:rFonts w:hint="eastAsia" w:ascii="仿宋_GB2312" w:hAnsi="仿宋_GB2312" w:eastAsia="仿宋_GB2312" w:cs="仿宋_GB2312"/>
          <w:sz w:val="32"/>
          <w:szCs w:val="32"/>
          <w:lang w:eastAsia="zh-CN"/>
        </w:rPr>
        <w:t>该年无</w:t>
      </w:r>
      <w:r>
        <w:rPr>
          <w:rFonts w:hint="eastAsia" w:ascii="仿宋_GB2312" w:hAnsi="仿宋_GB2312" w:eastAsia="仿宋_GB2312" w:cs="仿宋_GB2312"/>
          <w:sz w:val="32"/>
          <w:szCs w:val="32"/>
        </w:rPr>
        <w:t>除专项资金以外的其他项目支出情况。</w:t>
      </w:r>
    </w:p>
    <w:p w14:paraId="751A51C8">
      <w:pPr>
        <w:pStyle w:val="7"/>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454D6F4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left"/>
        <w:textAlignment w:val="baseline"/>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val="en-US" w:eastAsia="zh-CN"/>
        </w:rPr>
        <w:t>支出25万元。用于百货大楼项目建设工程款尾款的支付。</w:t>
      </w:r>
    </w:p>
    <w:p w14:paraId="216101D4">
      <w:pPr>
        <w:pStyle w:val="7"/>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国有资本经营预算支出情况 </w:t>
      </w:r>
    </w:p>
    <w:p w14:paraId="058417A7">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本单位无国有资本经营支出。</w:t>
      </w:r>
    </w:p>
    <w:p w14:paraId="690EE68D">
      <w:pPr>
        <w:pStyle w:val="7"/>
        <w:widowControl/>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r>
        <w:rPr>
          <w:rFonts w:hint="eastAsia" w:ascii="Times New Roman" w:hAnsi="Times New Roman" w:eastAsia="黑体"/>
          <w:sz w:val="32"/>
          <w:szCs w:val="32"/>
          <w:lang w:val="en-US" w:eastAsia="zh-CN"/>
        </w:rPr>
        <w:t xml:space="preserve"> </w:t>
      </w:r>
    </w:p>
    <w:p w14:paraId="74D04BE3">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本单位无社会保险基金支出。</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075A850B">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年财政拔款收入</w:t>
      </w:r>
      <w:r>
        <w:rPr>
          <w:rFonts w:hint="eastAsia" w:ascii="仿宋_GB2312" w:hAnsi="仿宋_GB2312" w:eastAsia="仿宋_GB2312" w:cs="仿宋_GB2312"/>
          <w:sz w:val="32"/>
          <w:szCs w:val="32"/>
          <w:lang w:val="en-US" w:eastAsia="zh-CN"/>
        </w:rPr>
        <w:t>301.66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301.66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                                             其中：基本支出</w:t>
      </w:r>
      <w:r>
        <w:rPr>
          <w:rFonts w:hint="eastAsia" w:ascii="仿宋_GB2312" w:hAnsi="仿宋_GB2312" w:eastAsia="仿宋_GB2312" w:cs="仿宋_GB2312"/>
          <w:sz w:val="32"/>
          <w:szCs w:val="32"/>
          <w:lang w:val="en-US" w:eastAsia="zh-CN"/>
        </w:rPr>
        <w:t>211.66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元：一般公共和服务支出</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元；社会保障和就业支出</w:t>
      </w:r>
      <w:r>
        <w:rPr>
          <w:rFonts w:hint="eastAsia" w:ascii="仿宋_GB2312" w:hAnsi="仿宋_GB2312" w:eastAsia="仿宋_GB2312" w:cs="仿宋_GB2312"/>
          <w:sz w:val="32"/>
          <w:szCs w:val="32"/>
          <w:lang w:val="en-US" w:eastAsia="zh-CN"/>
        </w:rPr>
        <w:t>71.58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元；卫生健康支出6.</w:t>
      </w:r>
      <w:r>
        <w:rPr>
          <w:rFonts w:hint="eastAsia" w:ascii="仿宋_GB2312" w:hAnsi="仿宋_GB2312" w:eastAsia="仿宋_GB2312" w:cs="仿宋_GB2312"/>
          <w:sz w:val="32"/>
          <w:szCs w:val="32"/>
          <w:lang w:val="en-US" w:eastAsia="zh-CN"/>
        </w:rPr>
        <w:t>06</w:t>
      </w:r>
    </w:p>
    <w:p w14:paraId="1893EC19">
      <w:pPr>
        <w:pStyle w:val="8"/>
        <w:spacing w:line="5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元；商业服务业等支出</w:t>
      </w:r>
      <w:r>
        <w:rPr>
          <w:rFonts w:hint="eastAsia" w:ascii="仿宋_GB2312" w:hAnsi="仿宋_GB2312" w:eastAsia="仿宋_GB2312" w:cs="仿宋_GB2312"/>
          <w:sz w:val="32"/>
          <w:szCs w:val="32"/>
          <w:lang w:val="en-US" w:eastAsia="zh-CN"/>
        </w:rPr>
        <w:t>116.22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元；住房保障支出11.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元；项目支出：</w:t>
      </w:r>
      <w:r>
        <w:rPr>
          <w:rFonts w:hint="eastAsia" w:ascii="仿宋_GB2312" w:hAnsi="仿宋_GB2312" w:eastAsia="仿宋_GB2312" w:cs="仿宋_GB2312"/>
          <w:sz w:val="32"/>
          <w:szCs w:val="32"/>
          <w:lang w:val="en-US" w:eastAsia="zh-CN"/>
        </w:rPr>
        <w:t>90万</w:t>
      </w:r>
      <w:r>
        <w:rPr>
          <w:rFonts w:hint="eastAsia" w:ascii="仿宋_GB2312" w:hAnsi="仿宋_GB2312" w:eastAsia="仿宋_GB2312" w:cs="仿宋_GB2312"/>
          <w:sz w:val="32"/>
          <w:szCs w:val="32"/>
        </w:rPr>
        <w:t>元（供销社综合改革专项资金</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 xml:space="preserve"> 2020年惠农综合服务规范化县项目工程款）</w:t>
      </w:r>
      <w:r>
        <w:rPr>
          <w:rFonts w:hint="eastAsia" w:ascii="仿宋_GB2312" w:hAnsi="仿宋_GB2312" w:eastAsia="仿宋_GB2312" w:cs="仿宋_GB2312"/>
          <w:sz w:val="32"/>
          <w:szCs w:val="32"/>
          <w:lang w:eastAsia="zh-CN"/>
        </w:rPr>
        <w:t>。</w:t>
      </w:r>
    </w:p>
    <w:p w14:paraId="6088E2AF">
      <w:pPr>
        <w:snapToGrid w:val="0"/>
        <w:spacing w:line="5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2023年我单位工作任务安排及完成情况：</w:t>
      </w:r>
      <w:r>
        <w:rPr>
          <w:rFonts w:hint="eastAsia" w:ascii="仿宋_GB2312" w:hAnsi="仿宋_GB2312" w:eastAsia="仿宋_GB2312" w:cs="仿宋_GB2312"/>
          <w:b w:val="0"/>
          <w:bCs w:val="0"/>
          <w:sz w:val="32"/>
          <w:szCs w:val="32"/>
          <w:lang w:val="en-US" w:eastAsia="zh-CN"/>
        </w:rPr>
        <w:t>1.确定中村瑶族乡为“三社合一”试点乡镇 2.落实湖南省供销合作总社下发的土地全程托管服务3140工作任务。按时完成市社下发12万亩次的任务。3.已完成农资储备3300余吨，超额完成市社下达任务。4.建设县域集采集配中心1个，对乡镇惠民综合服务中心、村级惠民综合服务社进行升级改造，完善县乡村三级物流网络建设。做好“832平台”农产品入驻。5.巩固再生资源回收利用体系建设成果，推进全县再生资源回收利用工作与垃圾分类工作相结合，指导各回收站、点进行垃圾分类减量。6.切实做好33家改制企业1300余名下岗职工的安抚稳定工作，确保重点对象稳控到位。7.派驻社属全资企业炎陵县农业生资公司经理为乡村振兴指导员驻点霞阳镇九龙村。8.已在学习强国、省市供销社、红网、株洲日报、县融媒体中心（新炎陵）、炎陵县人民政府门户网等宣传平台发布稿件60余条，县级以上平台上稿35篇。</w:t>
      </w:r>
    </w:p>
    <w:p w14:paraId="40A07C61">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1291E4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1.机关工作人员不足。</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编制数</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，目前在职</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在岗</w:t>
      </w:r>
      <w:r>
        <w:rPr>
          <w:rFonts w:hint="eastAsia" w:ascii="仿宋_GB2312" w:hAnsi="仿宋_GB2312" w:eastAsia="仿宋_GB2312" w:cs="仿宋_GB2312"/>
          <w:sz w:val="32"/>
          <w:szCs w:val="32"/>
          <w:lang w:val="en-US" w:eastAsia="zh-CN"/>
        </w:rPr>
        <w:t>5人。</w:t>
      </w:r>
      <w:r>
        <w:rPr>
          <w:rFonts w:hint="eastAsia" w:ascii="仿宋_GB2312" w:hAnsi="仿宋_GB2312" w:eastAsia="仿宋_GB2312" w:cs="仿宋_GB2312"/>
          <w:sz w:val="32"/>
          <w:szCs w:val="32"/>
          <w:lang w:eastAsia="zh-CN"/>
        </w:rPr>
        <w:t>机关人才队伍老化严重，工作人员严重</w:t>
      </w:r>
      <w:r>
        <w:rPr>
          <w:rFonts w:hint="eastAsia" w:ascii="仿宋_GB2312" w:hAnsi="仿宋_GB2312" w:eastAsia="仿宋_GB2312" w:cs="仿宋_GB2312"/>
          <w:sz w:val="32"/>
          <w:szCs w:val="32"/>
          <w:lang w:val="en-US" w:eastAsia="zh-CN"/>
        </w:rPr>
        <w:t>不足</w:t>
      </w:r>
      <w:r>
        <w:rPr>
          <w:rFonts w:hint="eastAsia" w:ascii="仿宋_GB2312" w:hAnsi="仿宋_GB2312" w:eastAsia="仿宋_GB2312" w:cs="仿宋_GB2312"/>
          <w:sz w:val="32"/>
          <w:szCs w:val="32"/>
          <w:lang w:eastAsia="zh-CN"/>
        </w:rPr>
        <w:t>。</w:t>
      </w:r>
    </w:p>
    <w:p w14:paraId="756CBC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2.综合改革各项工作经费严重不足。</w:t>
      </w:r>
      <w:r>
        <w:rPr>
          <w:rFonts w:hint="eastAsia" w:ascii="仿宋_GB2312" w:hAnsi="仿宋_GB2312" w:eastAsia="仿宋_GB2312" w:cs="仿宋_GB2312"/>
          <w:sz w:val="32"/>
          <w:szCs w:val="32"/>
          <w:lang w:val="en-US" w:eastAsia="zh-CN"/>
        </w:rPr>
        <w:t>综改</w:t>
      </w:r>
      <w:r>
        <w:rPr>
          <w:rFonts w:hint="eastAsia" w:ascii="仿宋_GB2312" w:hAnsi="仿宋_GB2312" w:eastAsia="仿宋_GB2312" w:cs="仿宋_GB2312"/>
          <w:sz w:val="32"/>
          <w:szCs w:val="32"/>
        </w:rPr>
        <w:t>工作专项经费和相关工作资金缺口很大，</w:t>
      </w:r>
      <w:r>
        <w:rPr>
          <w:rFonts w:hint="eastAsia" w:ascii="仿宋_GB2312" w:hAnsi="仿宋_GB2312" w:eastAsia="仿宋_GB2312" w:cs="仿宋_GB2312"/>
          <w:sz w:val="32"/>
          <w:szCs w:val="32"/>
          <w:lang w:val="en-US" w:eastAsia="zh-CN"/>
        </w:rPr>
        <w:t>综</w:t>
      </w:r>
      <w:r>
        <w:rPr>
          <w:rFonts w:hint="eastAsia" w:ascii="仿宋_GB2312" w:hAnsi="仿宋_GB2312" w:eastAsia="仿宋_GB2312" w:cs="仿宋_GB2312"/>
          <w:sz w:val="32"/>
          <w:szCs w:val="32"/>
        </w:rPr>
        <w:t>改任务的开展与完成受到制约和影响。</w:t>
      </w:r>
    </w:p>
    <w:p w14:paraId="455796B8">
      <w:pPr>
        <w:widowControl/>
        <w:numPr>
          <w:ilvl w:val="0"/>
          <w:numId w:val="5"/>
        </w:numPr>
        <w:spacing w:line="520" w:lineRule="exact"/>
        <w:ind w:firstLine="640" w:firstLineChars="200"/>
        <w:jc w:val="left"/>
        <w:rPr>
          <w:rFonts w:eastAsia="黑体"/>
          <w:sz w:val="32"/>
          <w:szCs w:val="32"/>
        </w:rPr>
      </w:pPr>
      <w:r>
        <w:rPr>
          <w:rFonts w:eastAsia="黑体"/>
          <w:sz w:val="32"/>
          <w:szCs w:val="32"/>
        </w:rPr>
        <w:t>下一步改进措施</w:t>
      </w:r>
    </w:p>
    <w:p w14:paraId="711D57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株供改</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2号、株供发</w:t>
      </w:r>
      <w:r>
        <w:rPr>
          <w:rFonts w:hint="eastAsia" w:ascii="仿宋_GB2312" w:hAnsi="仿宋_GB2312" w:eastAsia="仿宋_GB2312" w:cs="仿宋_GB2312"/>
          <w:b w:val="0"/>
          <w:bCs w:val="0"/>
          <w:sz w:val="32"/>
          <w:szCs w:val="32"/>
          <w:lang w:val="en-US" w:eastAsia="zh-CN"/>
        </w:rPr>
        <w:t>〔2023〕10号文件精神</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市将以</w:t>
      </w:r>
      <w:bookmarkStart w:id="0" w:name="_GoBack"/>
      <w:bookmarkEnd w:id="0"/>
      <w:r>
        <w:rPr>
          <w:rFonts w:hint="eastAsia" w:ascii="仿宋_GB2312" w:hAnsi="仿宋_GB2312" w:eastAsia="仿宋_GB2312" w:cs="仿宋_GB2312"/>
          <w:sz w:val="32"/>
          <w:szCs w:val="32"/>
        </w:rPr>
        <w:t>更大力度、更实举措推动农村“三社合一 ”综合改革走深走实，要大力开展生产服务、供销服务、信用服务，把增强农业产业发展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提升为农服务能力和农产品保供畅销统筹起来，真正把“三社合一 ”综合服务中心(站) 打造成为服务农民生产生活的综合平台，努力实现促进村集体经济和村民“双增收”。</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1544E96">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sz w:val="32"/>
          <w:szCs w:val="32"/>
          <w:lang w:val="en-US" w:eastAsia="zh-CN"/>
        </w:rPr>
        <w:t>绩效自评结果优秀，</w:t>
      </w:r>
      <w:r>
        <w:rPr>
          <w:rFonts w:hint="eastAsia" w:ascii="仿宋_GB2312" w:hAnsi="仿宋_GB2312" w:eastAsia="仿宋_GB2312" w:cs="仿宋_GB2312"/>
          <w:bCs/>
          <w:color w:val="000000"/>
          <w:sz w:val="32"/>
          <w:szCs w:val="32"/>
          <w:lang w:val="en-US" w:eastAsia="zh-CN"/>
        </w:rPr>
        <w:t>无其他情况说明。</w:t>
      </w:r>
    </w:p>
    <w:p w14:paraId="5D4E069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D8BC4F4E"/>
    <w:multiLevelType w:val="singleLevel"/>
    <w:tmpl w:val="D8BC4F4E"/>
    <w:lvl w:ilvl="0" w:tentative="0">
      <w:start w:val="1"/>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05FDA235"/>
    <w:multiLevelType w:val="singleLevel"/>
    <w:tmpl w:val="05FDA235"/>
    <w:lvl w:ilvl="0" w:tentative="0">
      <w:start w:val="8"/>
      <w:numFmt w:val="chineseCounting"/>
      <w:suff w:val="nothing"/>
      <w:lvlText w:val="%1、"/>
      <w:lvlJc w:val="left"/>
      <w:rPr>
        <w:rFonts w:hint="eastAsia"/>
      </w:rPr>
    </w:lvl>
  </w:abstractNum>
  <w:abstractNum w:abstractNumId="4">
    <w:nsid w:val="1C78B05F"/>
    <w:multiLevelType w:val="singleLevel"/>
    <w:tmpl w:val="1C78B05F"/>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2FlMDNiMTJmNTNjM2U5ZDljNDYxMGE0Yzg0YzUifQ=="/>
  </w:docVars>
  <w:rsids>
    <w:rsidRoot w:val="00000000"/>
    <w:rsid w:val="12137217"/>
    <w:rsid w:val="15BF56EC"/>
    <w:rsid w:val="188977EB"/>
    <w:rsid w:val="1F32736A"/>
    <w:rsid w:val="250E3F9A"/>
    <w:rsid w:val="2F8F72FA"/>
    <w:rsid w:val="33DE1B80"/>
    <w:rsid w:val="35CB6416"/>
    <w:rsid w:val="36621224"/>
    <w:rsid w:val="395463A7"/>
    <w:rsid w:val="46BC4FFD"/>
    <w:rsid w:val="4A1D1CE5"/>
    <w:rsid w:val="4B4334AB"/>
    <w:rsid w:val="4C231829"/>
    <w:rsid w:val="4C65047B"/>
    <w:rsid w:val="4C8951EA"/>
    <w:rsid w:val="51200A2D"/>
    <w:rsid w:val="5403276E"/>
    <w:rsid w:val="54C57A37"/>
    <w:rsid w:val="55D6790C"/>
    <w:rsid w:val="62724E61"/>
    <w:rsid w:val="77026B1F"/>
    <w:rsid w:val="7BFC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semiHidden/>
    <w:qFormat/>
    <w:uiPriority w:val="99"/>
  </w:style>
  <w:style w:type="paragraph" w:styleId="7">
    <w:name w:val="List Paragraph"/>
    <w:basedOn w:val="1"/>
    <w:qFormat/>
    <w:uiPriority w:val="99"/>
    <w:pPr>
      <w:ind w:firstLine="420" w:firstLineChars="200"/>
    </w:pPr>
    <w:rPr>
      <w:rFonts w:ascii="Calibri" w:hAnsi="Calibri" w:eastAsia="宋体" w:cs="Times New Roman"/>
      <w:szCs w:val="22"/>
    </w:rPr>
  </w:style>
  <w:style w:type="paragraph" w:customStyle="1" w:styleId="8">
    <w:name w:val="正文文字"/>
    <w:basedOn w:val="1"/>
    <w:next w:val="1"/>
    <w:qFormat/>
    <w:uiPriority w:val="99"/>
    <w:pPr>
      <w:spacing w:after="120"/>
    </w:pPr>
    <w:rPr>
      <w:rFonts w:ascii="Calibri" w:hAnsi="Calibri" w:eastAsia="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1941</Words>
  <Characters>2108</Characters>
  <Lines>0</Lines>
  <Paragraphs>0</Paragraphs>
  <TotalTime>21</TotalTime>
  <ScaleCrop>false</ScaleCrop>
  <LinksUpToDate>false</LinksUpToDate>
  <CharactersWithSpaces>2161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海纳百川</cp:lastModifiedBy>
  <dcterms:modified xsi:type="dcterms:W3CDTF">2024-10-15T02:43:21Z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494BCBCAAB36485483E9431B2E49EE8A_13</vt:lpwstr>
  </property>
</Properties>
</file>