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2023年度炎陵县中村瑶族乡龙渣学校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部门整体支出绩效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报告</w:t>
      </w:r>
    </w:p>
    <w:p w14:paraId="0B62A2E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</w:t>
      </w:r>
      <w:r>
        <w:rPr>
          <w:rFonts w:hint="eastAsia" w:eastAsia="楷体_GB2312"/>
          <w:sz w:val="32"/>
          <w:szCs w:val="32"/>
          <w:lang w:val="en-US" w:eastAsia="zh-CN"/>
        </w:rPr>
        <w:t>格式</w:t>
      </w:r>
      <w:r>
        <w:rPr>
          <w:rFonts w:eastAsia="楷体_GB2312"/>
          <w:sz w:val="32"/>
          <w:szCs w:val="32"/>
        </w:rPr>
        <w:t>）</w:t>
      </w:r>
      <w:bookmarkStart w:id="0" w:name="_GoBack"/>
      <w:bookmarkEnd w:id="0"/>
    </w:p>
    <w:p w14:paraId="44C1DF9C">
      <w:pPr>
        <w:spacing w:line="600" w:lineRule="exact"/>
        <w:jc w:val="both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单位名称（盖章）：炎陵县中村瑶族乡龙渣学校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部门（单位）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73A00C2D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．主要职能。</w:t>
      </w:r>
    </w:p>
    <w:p w14:paraId="419B688B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实施九年一贯制义务教育，促进基础教育发展。初中学历教育，小学学历教育。</w:t>
      </w:r>
    </w:p>
    <w:p w14:paraId="27B5C9D7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2、机构情况。</w:t>
      </w:r>
    </w:p>
    <w:p w14:paraId="252F07FE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炎陵县中村瑶族乡龙渣学校是一所农村九年一贯制学校，设有政教处、教导处，总务处等处室。</w:t>
      </w:r>
    </w:p>
    <w:p w14:paraId="60F3A7AE">
      <w:pPr>
        <w:pStyle w:val="6"/>
        <w:widowControl/>
        <w:numPr>
          <w:ilvl w:val="0"/>
          <w:numId w:val="0"/>
        </w:numPr>
        <w:spacing w:line="240" w:lineRule="auto"/>
        <w:ind w:firstLine="960" w:firstLineChars="3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3、人员情况。</w:t>
      </w:r>
    </w:p>
    <w:p w14:paraId="1B4AC4E0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学校核定人员编制17人。年末实有在职人员16人、遗补人员3人。与上一年度相比，人员变化的原因是编制减少。在校学生总人数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25人，其中小学学生75人，中学学生50人，学生人数变动的原因主要是升学及入学异动。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47CA66D1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合理使用公用经费，完成学校教育教学的物资采购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，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按月足额发放教职工工资及福利，保障学校教育教学工作的正常进行，保障教职工正常的生活、工作秩序，稳步进行校园建设。努力形成全员育人、全程育人、全方位育人的德育工作格局。高度重视安全、消防、财务、人事、食堂等工作，积极谋划，防范风险，确保学校教育教学正常、高效运行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1A545C56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本年度总收入为265.32万元，全部是财政拨款收入。总支出为265.32万元，其中人员经费243.71万元，占总支出的91.86%，日常公用经费21.62万元，占总支出的8.14%。</w:t>
      </w:r>
    </w:p>
    <w:p w14:paraId="75EF0420"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 w14:paraId="755C37BC">
      <w:pPr>
        <w:pStyle w:val="6"/>
        <w:widowControl/>
        <w:numPr>
          <w:numId w:val="0"/>
        </w:numPr>
        <w:spacing w:line="520" w:lineRule="exac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无。</w:t>
      </w:r>
    </w:p>
    <w:p w14:paraId="5DC3773F">
      <w:pPr>
        <w:pStyle w:val="6"/>
        <w:widowControl/>
        <w:numPr>
          <w:ilvl w:val="0"/>
          <w:numId w:val="0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110388B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无政府性基金预算支出情况。</w:t>
      </w:r>
    </w:p>
    <w:p w14:paraId="1F0FF992">
      <w:pPr>
        <w:pStyle w:val="6"/>
        <w:widowControl/>
        <w:numPr>
          <w:ilvl w:val="0"/>
          <w:numId w:val="0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320E692F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无国有资本经营预算支出情况。</w:t>
      </w:r>
    </w:p>
    <w:p w14:paraId="308720FE">
      <w:pPr>
        <w:pStyle w:val="6"/>
        <w:widowControl/>
        <w:numPr>
          <w:ilvl w:val="0"/>
          <w:numId w:val="0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0C9DF8D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无社会保险基金预算支出情况。</w:t>
      </w:r>
    </w:p>
    <w:p w14:paraId="74B6DD27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4DD050DF">
      <w:pPr>
        <w:pStyle w:val="6"/>
        <w:widowControl/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绩效目标完成率为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93%，实际完成率93%。从履职及履职效益情况来看，总体效果比较好。从经济性来看，各负责部门能够按照预算来抓好成本控制，强化勤俭办事意识，注重节约开支。从效率性来看，各部门对所承担的工作能够按照计划的时间把握进度，抓好质量，注重工作效率。</w:t>
      </w:r>
    </w:p>
    <w:p w14:paraId="5F9FC83E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96DE17A">
      <w:pPr>
        <w:widowControl/>
        <w:spacing w:line="240" w:lineRule="auto"/>
        <w:ind w:left="319" w:leftChars="152" w:firstLine="640" w:firstLineChars="200"/>
        <w:jc w:val="left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导致预决算偏离度的问题是因为年初预算只有人员经费预算，途中会追加公用经费等费用。年初预算绩效目标不明确，绩效指标细化和量化不精准。</w:t>
      </w:r>
    </w:p>
    <w:p w14:paraId="75EFE8DE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023369FE">
      <w:pPr>
        <w:widowControl/>
        <w:numPr>
          <w:ilvl w:val="0"/>
          <w:numId w:val="0"/>
        </w:numPr>
        <w:spacing w:line="240" w:lineRule="auto"/>
        <w:ind w:left="320" w:hanging="320" w:hangingChars="100"/>
        <w:jc w:val="left"/>
        <w:rPr>
          <w:rFonts w:hint="default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细化预算指标，提高预算科学性。预算编制前根据年度内单位可预见的工作任务，确定单位年度预算目标，细化预算指标，科学合理编制部门预算，推进预算编制科学化，准确化。</w:t>
      </w:r>
    </w:p>
    <w:p w14:paraId="0D9C84D9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5B6F2B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0B29E7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0D298"/>
    <w:multiLevelType w:val="singleLevel"/>
    <w:tmpl w:val="9AE0D29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mY2NTAyMGY4OGY4MTRhN2ZkOTBjYTA5MWE0ZDcifQ=="/>
  </w:docVars>
  <w:rsids>
    <w:rsidRoot w:val="00000000"/>
    <w:rsid w:val="142E0338"/>
    <w:rsid w:val="15BF56EC"/>
    <w:rsid w:val="1726179A"/>
    <w:rsid w:val="1EA5569B"/>
    <w:rsid w:val="242C0BA6"/>
    <w:rsid w:val="29A21D8B"/>
    <w:rsid w:val="2A711C61"/>
    <w:rsid w:val="31C003CA"/>
    <w:rsid w:val="33B421B0"/>
    <w:rsid w:val="35CB6416"/>
    <w:rsid w:val="36032F7B"/>
    <w:rsid w:val="368F1A05"/>
    <w:rsid w:val="48F449A9"/>
    <w:rsid w:val="4B4334AB"/>
    <w:rsid w:val="5403276E"/>
    <w:rsid w:val="54C57A37"/>
    <w:rsid w:val="557B6EE2"/>
    <w:rsid w:val="5906675A"/>
    <w:rsid w:val="7D9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666</Words>
  <Characters>676</Characters>
  <Lines>0</Lines>
  <Paragraphs>0</Paragraphs>
  <TotalTime>0</TotalTime>
  <ScaleCrop>false</ScaleCrop>
  <LinksUpToDate>false</LinksUpToDate>
  <CharactersWithSpaces>676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Z。</cp:lastModifiedBy>
  <dcterms:modified xsi:type="dcterms:W3CDTF">2024-09-03T07:29:07Z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