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w:t>
      </w:r>
      <w:r>
        <w:rPr>
          <w:rFonts w:hint="eastAsia" w:ascii="方正小标宋简体" w:hAnsi="方正小标宋简体" w:eastAsia="方正小标宋简体" w:cs="方正小标宋简体"/>
          <w:sz w:val="44"/>
          <w:szCs w:val="44"/>
        </w:rPr>
        <w:t>中共炎陵县委组织部</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widowControl w:val="0"/>
        <w:kinsoku/>
        <w:autoSpaceDE/>
        <w:autoSpaceDN/>
        <w:adjustRightInd/>
        <w:snapToGrid w:val="0"/>
        <w:spacing w:line="520" w:lineRule="exact"/>
        <w:ind w:firstLine="640" w:firstLineChars="200"/>
        <w:jc w:val="left"/>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 xml:space="preserve"> 1．主要职能。</w:t>
      </w:r>
    </w:p>
    <w:p>
      <w:pPr>
        <w:widowControl w:val="0"/>
        <w:kinsoku/>
        <w:autoSpaceDE/>
        <w:autoSpaceDN/>
        <w:adjustRightInd/>
        <w:snapToGrid w:val="0"/>
        <w:spacing w:line="520" w:lineRule="exact"/>
        <w:ind w:firstLine="640" w:firstLineChars="200"/>
        <w:jc w:val="left"/>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贯彻新时代党的组织路线、干部路线，落实党的人才政策，负责制定或参与制定全县组织、干部、人事工作的政策、制度；负责全县组织、干部和人才工作的指导、督查和考核工作。负责指导全县党的基层组织建设和党员队伍建设；承担县直属机关工作委员和县委非公有制经济组织和社会组织工作委会工作；牵头抓好全县组织体系建设、党员队伍建设；负责全县干部队伍建设和宏观管理工作；负责全县公务员和参照公务员法管理单位工作人员综合管理；承担全县组织系统信息化建设工作；负责全县老干部管理和关心下一代工作委员会的工作。</w:t>
      </w:r>
    </w:p>
    <w:p>
      <w:pPr>
        <w:widowControl w:val="0"/>
        <w:kinsoku/>
        <w:autoSpaceDE/>
        <w:autoSpaceDN/>
        <w:adjustRightInd/>
        <w:snapToGrid w:val="0"/>
        <w:spacing w:line="520" w:lineRule="exact"/>
        <w:ind w:firstLine="640" w:firstLineChars="200"/>
        <w:jc w:val="left"/>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2．机构情况</w:t>
      </w:r>
    </w:p>
    <w:p>
      <w:pPr>
        <w:pStyle w:val="6"/>
        <w:widowControl/>
        <w:spacing w:line="520" w:lineRule="exact"/>
        <w:ind w:firstLine="640"/>
        <w:rPr>
          <w:rFonts w:hint="default" w:ascii="仿宋_GB2312" w:hAnsi="仿宋" w:eastAsia="仿宋_GB2312"/>
          <w:sz w:val="32"/>
          <w:szCs w:val="32"/>
          <w:lang w:val="en-US" w:eastAsia="zh-CN"/>
        </w:rPr>
      </w:pPr>
      <w:r>
        <w:rPr>
          <w:rFonts w:hint="eastAsia" w:ascii="仿宋_GB2312" w:hAnsi="仿宋" w:eastAsia="仿宋_GB2312" w:cs="Times New Roman"/>
          <w:snapToGrid/>
          <w:kern w:val="2"/>
          <w:sz w:val="32"/>
          <w:szCs w:val="32"/>
          <w:lang w:val="en-US" w:eastAsia="zh-CN"/>
        </w:rPr>
        <w:t>中共炎陵县委组织部内设科室13个（含3个副科级单位)，分别是：办公室(研究室)、基层党建办公室、县委非公有制经济组织和社会组织工作委员会办公室、县直机关工作委员会办公室（县党代表大会代表联络工作办公室)、干部组（公务员管理办公室)、老干部管理办公室、干部教育组、干部监督组、人才工作办公室、干部信息管理组、炎陵县党员教育中心、炎陵县人才服务中心、炎陵县老干部服务中心。</w:t>
      </w:r>
      <w:bookmarkStart w:id="0" w:name="_GoBack"/>
      <w:bookmarkEnd w:id="0"/>
    </w:p>
    <w:p>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widowControl/>
        <w:spacing w:line="520" w:lineRule="exact"/>
        <w:ind w:firstLine="640" w:firstLineChars="200"/>
        <w:jc w:val="left"/>
        <w:rPr>
          <w:rFonts w:hint="eastAsia" w:ascii="仿宋_GB2312" w:hAnsi="仿宋" w:eastAsia="仿宋_GB2312"/>
          <w:sz w:val="32"/>
          <w:szCs w:val="32"/>
        </w:rPr>
      </w:pPr>
      <w:r>
        <w:rPr>
          <w:rFonts w:hint="eastAsia" w:ascii="楷体_GB2312" w:hAnsi="楷体_GB2312" w:eastAsia="楷体_GB2312" w:cs="楷体_GB2312"/>
          <w:sz w:val="32"/>
          <w:szCs w:val="32"/>
          <w:lang w:val="en-US" w:eastAsia="zh-CN"/>
        </w:rPr>
        <w:t xml:space="preserve"> </w:t>
      </w:r>
      <w:r>
        <w:rPr>
          <w:rFonts w:ascii="仿宋_GB2312" w:hAnsi="仿宋" w:eastAsia="仿宋_GB2312"/>
          <w:sz w:val="32"/>
          <w:szCs w:val="32"/>
        </w:rPr>
        <w:t>1</w:t>
      </w:r>
      <w:r>
        <w:rPr>
          <w:rFonts w:hint="eastAsia" w:ascii="仿宋_GB2312" w:hAnsi="仿宋" w:eastAsia="仿宋_GB2312"/>
          <w:sz w:val="32"/>
          <w:szCs w:val="32"/>
        </w:rPr>
        <w:t>、做好党的基层组织建设、党员教育管理、党员发展、党费管理、党的工作制度建设。</w:t>
      </w:r>
    </w:p>
    <w:p>
      <w:pPr>
        <w:widowControl/>
        <w:spacing w:line="520" w:lineRule="exact"/>
        <w:ind w:firstLine="960" w:firstLineChars="300"/>
        <w:jc w:val="left"/>
        <w:rPr>
          <w:rFonts w:hint="eastAsia"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、做好领导班子和干部队伍建设（公务员队伍建设）的宏观管理，包括管理体制、政策法规、干部人事制度改革等方面的规划、研究、指导等，对上级管理单位的领导班子换届、调整、任免等提出建议。</w:t>
      </w:r>
    </w:p>
    <w:p>
      <w:pPr>
        <w:widowControl/>
        <w:spacing w:line="52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3、做好人才工作和人才队伍建设宏观管理、政策法规研究制定，做好高层次人才引进工作和处理好干部的来信来访工作。</w:t>
      </w:r>
    </w:p>
    <w:p>
      <w:pPr>
        <w:widowControl/>
        <w:spacing w:line="520" w:lineRule="exact"/>
        <w:ind w:firstLine="640" w:firstLineChars="200"/>
        <w:jc w:val="left"/>
        <w:rPr>
          <w:rFonts w:hint="default" w:ascii="楷体_GB2312" w:hAnsi="楷体_GB2312" w:eastAsia="楷体_GB2312" w:cs="楷体_GB2312"/>
          <w:sz w:val="32"/>
          <w:szCs w:val="32"/>
          <w:lang w:val="en-US" w:eastAsia="zh-CN"/>
        </w:rPr>
      </w:pPr>
      <w:r>
        <w:rPr>
          <w:rFonts w:hint="eastAsia" w:ascii="仿宋_GB2312" w:hAnsi="仿宋" w:eastAsia="仿宋_GB2312"/>
          <w:sz w:val="32"/>
          <w:szCs w:val="32"/>
        </w:rPr>
        <w:t>4、做好干部教育培训工作的整体规划、宏观指导、协调服务、督促检查、制度规范，指导分级分类开展干部教育培训工作。</w:t>
      </w:r>
    </w:p>
    <w:p>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6"/>
        <w:widowControl/>
        <w:spacing w:line="520" w:lineRule="exact"/>
        <w:ind w:left="640" w:firstLine="0" w:firstLineChars="0"/>
        <w:rPr>
          <w:rFonts w:hint="eastAsia" w:ascii="仿宋_GB2312" w:hAnsi="仿宋" w:eastAsia="仿宋_GB2312" w:cs="Arial"/>
          <w:snapToGrid w:val="0"/>
          <w:color w:val="000000"/>
          <w:kern w:val="0"/>
          <w:sz w:val="32"/>
          <w:szCs w:val="32"/>
          <w:lang w:val="en-US" w:eastAsia="en-US" w:bidi="ar-SA"/>
        </w:rPr>
      </w:pPr>
      <w:r>
        <w:rPr>
          <w:rFonts w:hint="eastAsia" w:ascii="仿宋_GB2312" w:hAnsi="仿宋" w:eastAsia="仿宋_GB2312" w:cs="Arial"/>
          <w:snapToGrid w:val="0"/>
          <w:color w:val="000000"/>
          <w:kern w:val="0"/>
          <w:sz w:val="32"/>
          <w:szCs w:val="32"/>
          <w:lang w:val="en-US" w:eastAsia="en-US" w:bidi="ar-SA"/>
        </w:rPr>
        <w:t>（一）基本支出情况</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en-US" w:bidi="ar-SA"/>
        </w:rPr>
        <w:t>202</w:t>
      </w:r>
      <w:r>
        <w:rPr>
          <w:rFonts w:hint="eastAsia" w:ascii="仿宋_GB2312" w:hAnsi="仿宋" w:eastAsia="仿宋_GB2312" w:cs="Arial"/>
          <w:snapToGrid w:val="0"/>
          <w:color w:val="000000"/>
          <w:kern w:val="0"/>
          <w:sz w:val="32"/>
          <w:szCs w:val="32"/>
          <w:lang w:val="en-US" w:eastAsia="zh-CN" w:bidi="ar-SA"/>
        </w:rPr>
        <w:t>3</w:t>
      </w:r>
      <w:r>
        <w:rPr>
          <w:rFonts w:hint="eastAsia" w:ascii="仿宋_GB2312" w:hAnsi="仿宋" w:eastAsia="仿宋_GB2312" w:cs="Arial"/>
          <w:snapToGrid w:val="0"/>
          <w:color w:val="000000"/>
          <w:kern w:val="0"/>
          <w:sz w:val="32"/>
          <w:szCs w:val="32"/>
          <w:lang w:val="en-US" w:eastAsia="en-US" w:bidi="ar-SA"/>
        </w:rPr>
        <w:t>年基本支出总金额</w:t>
      </w:r>
      <w:r>
        <w:rPr>
          <w:rFonts w:hint="eastAsia" w:ascii="仿宋_GB2312" w:hAnsi="仿宋" w:eastAsia="仿宋_GB2312" w:cs="Arial"/>
          <w:snapToGrid w:val="0"/>
          <w:color w:val="000000"/>
          <w:kern w:val="0"/>
          <w:sz w:val="32"/>
          <w:szCs w:val="32"/>
          <w:lang w:val="en-US" w:eastAsia="zh-CN" w:bidi="ar-SA"/>
        </w:rPr>
        <w:t>318.38</w:t>
      </w:r>
      <w:r>
        <w:rPr>
          <w:rFonts w:hint="eastAsia" w:ascii="仿宋_GB2312" w:hAnsi="仿宋" w:eastAsia="仿宋_GB2312" w:cs="Arial"/>
          <w:snapToGrid w:val="0"/>
          <w:color w:val="000000"/>
          <w:kern w:val="0"/>
          <w:sz w:val="32"/>
          <w:szCs w:val="32"/>
          <w:lang w:val="en-US" w:eastAsia="en-US" w:bidi="ar-SA"/>
        </w:rPr>
        <w:t>万元。</w:t>
      </w:r>
      <w:r>
        <w:rPr>
          <w:rFonts w:hint="eastAsia" w:ascii="仿宋_GB2312" w:hAnsi="仿宋" w:eastAsia="仿宋_GB2312" w:cs="Arial"/>
          <w:snapToGrid w:val="0"/>
          <w:color w:val="000000"/>
          <w:kern w:val="0"/>
          <w:sz w:val="32"/>
          <w:szCs w:val="32"/>
          <w:lang w:val="en-US" w:eastAsia="zh-CN" w:bidi="ar-SA"/>
        </w:rPr>
        <w:t>其中人员经费支出218.65万元，主要是包括</w:t>
      </w:r>
      <w:r>
        <w:rPr>
          <w:rFonts w:hint="eastAsia" w:ascii="仿宋_GB2312" w:hAnsi="仿宋" w:eastAsia="仿宋_GB2312" w:cs="Arial"/>
          <w:snapToGrid w:val="0"/>
          <w:color w:val="000000"/>
          <w:kern w:val="0"/>
          <w:sz w:val="32"/>
          <w:szCs w:val="32"/>
          <w:lang w:val="en-US" w:eastAsia="en-US" w:bidi="ar-SA"/>
        </w:rPr>
        <w:t>基本工资、津贴补贴、奖金、</w:t>
      </w:r>
      <w:r>
        <w:rPr>
          <w:rFonts w:hint="eastAsia" w:ascii="仿宋_GB2312" w:hAnsi="仿宋" w:eastAsia="仿宋_GB2312" w:cs="Arial"/>
          <w:snapToGrid w:val="0"/>
          <w:color w:val="000000"/>
          <w:kern w:val="0"/>
          <w:sz w:val="32"/>
          <w:szCs w:val="32"/>
          <w:lang w:val="en-US" w:eastAsia="zh-CN" w:bidi="ar-SA"/>
        </w:rPr>
        <w:t>机关事业单位基本养老保险缴费、职工基本医疗保险缴费、其他社会保障缴费、住房公积金、其他工资福利支出。日常公用经费99.73万元。</w:t>
      </w:r>
      <w:r>
        <w:rPr>
          <w:rFonts w:hint="eastAsia" w:ascii="仿宋_GB2312" w:hAnsi="仿宋" w:eastAsia="仿宋_GB2312" w:cs="Arial"/>
          <w:snapToGrid w:val="0"/>
          <w:color w:val="000000"/>
          <w:kern w:val="0"/>
          <w:sz w:val="32"/>
          <w:szCs w:val="32"/>
          <w:lang w:val="en-US" w:eastAsia="en-US" w:bidi="ar-SA"/>
        </w:rPr>
        <w:t>主要包括办公费、</w:t>
      </w:r>
      <w:r>
        <w:rPr>
          <w:rFonts w:hint="eastAsia" w:ascii="仿宋_GB2312" w:hAnsi="仿宋" w:eastAsia="仿宋_GB2312" w:cs="Arial"/>
          <w:snapToGrid w:val="0"/>
          <w:color w:val="000000"/>
          <w:kern w:val="0"/>
          <w:sz w:val="32"/>
          <w:szCs w:val="32"/>
          <w:lang w:val="en-US" w:eastAsia="zh-CN" w:bidi="ar-SA"/>
        </w:rPr>
        <w:t>水费、电费、差旅费</w:t>
      </w:r>
      <w:r>
        <w:rPr>
          <w:rFonts w:hint="eastAsia" w:ascii="仿宋_GB2312" w:hAnsi="仿宋" w:eastAsia="仿宋_GB2312" w:cs="Arial"/>
          <w:snapToGrid w:val="0"/>
          <w:color w:val="000000"/>
          <w:kern w:val="0"/>
          <w:sz w:val="32"/>
          <w:szCs w:val="32"/>
          <w:lang w:val="en-US" w:eastAsia="en-US" w:bidi="ar-SA"/>
        </w:rPr>
        <w:t>、</w:t>
      </w:r>
      <w:r>
        <w:rPr>
          <w:rFonts w:hint="eastAsia" w:ascii="仿宋_GB2312" w:hAnsi="仿宋" w:eastAsia="仿宋_GB2312" w:cs="Arial"/>
          <w:snapToGrid w:val="0"/>
          <w:color w:val="000000"/>
          <w:kern w:val="0"/>
          <w:sz w:val="32"/>
          <w:szCs w:val="32"/>
          <w:lang w:val="en-US" w:eastAsia="zh-CN" w:bidi="ar-SA"/>
        </w:rPr>
        <w:t>维修（护）</w:t>
      </w:r>
      <w:r>
        <w:rPr>
          <w:rFonts w:hint="eastAsia" w:ascii="仿宋_GB2312" w:hAnsi="仿宋" w:eastAsia="仿宋_GB2312" w:cs="Arial"/>
          <w:snapToGrid w:val="0"/>
          <w:color w:val="000000"/>
          <w:kern w:val="0"/>
          <w:sz w:val="32"/>
          <w:szCs w:val="32"/>
          <w:lang w:val="en-US" w:eastAsia="en-US" w:bidi="ar-SA"/>
        </w:rPr>
        <w:t>费、</w:t>
      </w:r>
      <w:r>
        <w:rPr>
          <w:rFonts w:hint="eastAsia" w:ascii="仿宋_GB2312" w:hAnsi="仿宋" w:eastAsia="仿宋_GB2312" w:cs="Arial"/>
          <w:snapToGrid w:val="0"/>
          <w:color w:val="000000"/>
          <w:kern w:val="0"/>
          <w:sz w:val="32"/>
          <w:szCs w:val="32"/>
          <w:lang w:val="en-US" w:eastAsia="zh-CN" w:bidi="ar-SA"/>
        </w:rPr>
        <w:t>培训费、公务接待费、委托业务费、工会经费、福利费、公务车运行维护费、其他交通费用、其他商品和服务支出</w:t>
      </w:r>
      <w:r>
        <w:rPr>
          <w:rFonts w:hint="eastAsia" w:ascii="仿宋_GB2312" w:hAnsi="仿宋" w:eastAsia="仿宋_GB2312" w:cs="Arial"/>
          <w:snapToGrid w:val="0"/>
          <w:color w:val="000000"/>
          <w:kern w:val="0"/>
          <w:sz w:val="32"/>
          <w:szCs w:val="32"/>
          <w:lang w:val="en-US" w:eastAsia="en-US" w:bidi="ar-SA"/>
        </w:rPr>
        <w:t>。</w:t>
      </w:r>
    </w:p>
    <w:p>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widowControl/>
        <w:spacing w:line="520" w:lineRule="exact"/>
        <w:ind w:firstLine="640" w:firstLineChars="200"/>
        <w:jc w:val="left"/>
        <w:rPr>
          <w:rFonts w:hint="eastAsia" w:ascii="仿宋_GB2312" w:hAnsi="仿宋" w:eastAsia="仿宋_GB2312" w:cs="Arial"/>
          <w:snapToGrid w:val="0"/>
          <w:color w:val="000000"/>
          <w:kern w:val="0"/>
          <w:sz w:val="32"/>
          <w:szCs w:val="32"/>
          <w:lang w:val="en-US" w:eastAsia="en-US" w:bidi="ar-SA"/>
        </w:rPr>
      </w:pPr>
      <w:r>
        <w:rPr>
          <w:rFonts w:hint="eastAsia" w:ascii="仿宋_GB2312" w:hAnsi="仿宋" w:eastAsia="仿宋_GB2312" w:cs="Arial"/>
          <w:snapToGrid w:val="0"/>
          <w:color w:val="000000"/>
          <w:kern w:val="0"/>
          <w:sz w:val="32"/>
          <w:szCs w:val="32"/>
          <w:lang w:val="en-US" w:eastAsia="zh-CN" w:bidi="ar-SA"/>
        </w:rPr>
        <w:t>本单位项目支出安排650.2万元，项目支出包括组织部工作经费36.5万元，老干工作经费52万元，选调生补助31.19万元，</w:t>
      </w:r>
      <w:r>
        <w:rPr>
          <w:rFonts w:hint="eastAsia" w:ascii="仿宋_GB2312" w:hAnsi="仿宋" w:eastAsia="仿宋_GB2312" w:cs="Arial"/>
          <w:snapToGrid w:val="0"/>
          <w:color w:val="000000"/>
          <w:kern w:val="0"/>
          <w:sz w:val="32"/>
          <w:szCs w:val="32"/>
          <w:lang w:val="en-US" w:eastAsia="en-US" w:bidi="ar-SA"/>
        </w:rPr>
        <w:t>两新支</w:t>
      </w:r>
      <w:r>
        <w:rPr>
          <w:rFonts w:hint="eastAsia" w:ascii="仿宋_GB2312" w:hAnsi="仿宋" w:eastAsia="仿宋_GB2312" w:cs="Arial"/>
          <w:snapToGrid w:val="0"/>
          <w:color w:val="000000"/>
          <w:kern w:val="0"/>
          <w:sz w:val="32"/>
          <w:szCs w:val="32"/>
          <w:lang w:val="en-US" w:eastAsia="zh-CN" w:bidi="ar-SA"/>
        </w:rPr>
        <w:t>部书记津贴和工作经费46万元，党代表活动经费26.9万元，特需经费31.16万元，人才开发基金187.45万元，在任村主干工资239万元，占全年支出56.3%</w:t>
      </w:r>
      <w:r>
        <w:rPr>
          <w:rFonts w:hint="eastAsia" w:ascii="仿宋_GB2312" w:hAnsi="仿宋" w:eastAsia="仿宋_GB2312" w:cs="Arial"/>
          <w:snapToGrid w:val="0"/>
          <w:color w:val="000000"/>
          <w:kern w:val="0"/>
          <w:sz w:val="32"/>
          <w:szCs w:val="32"/>
          <w:lang w:val="en-US" w:eastAsia="en-US" w:bidi="ar-SA"/>
        </w:rPr>
        <w:t>。</w:t>
      </w:r>
    </w:p>
    <w:p>
      <w:pPr>
        <w:pStyle w:val="6"/>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政府性基金预算支出情况</w:t>
      </w:r>
    </w:p>
    <w:p>
      <w:pPr>
        <w:pStyle w:val="6"/>
        <w:widowControl/>
        <w:numPr>
          <w:ilvl w:val="0"/>
          <w:numId w:val="0"/>
        </w:numPr>
        <w:spacing w:line="520" w:lineRule="exact"/>
        <w:ind w:leftChars="200"/>
        <w:jc w:val="left"/>
        <w:rPr>
          <w:rFonts w:hint="default"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 xml:space="preserve">  2023年政府性基金预算支出186.27万元，其中项目人才专项支出170.82万元，关工委（老年大学联谊）经费15.45万元。</w:t>
      </w:r>
    </w:p>
    <w:p>
      <w:pPr>
        <w:pStyle w:val="6"/>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pPr>
        <w:pStyle w:val="6"/>
        <w:widowControl/>
        <w:numPr>
          <w:ilvl w:val="0"/>
          <w:numId w:val="0"/>
        </w:numPr>
        <w:spacing w:line="520" w:lineRule="exact"/>
        <w:ind w:leftChars="20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仿宋_GB2312" w:hAnsi="仿宋" w:eastAsia="仿宋_GB2312" w:cs="Arial"/>
          <w:snapToGrid w:val="0"/>
          <w:color w:val="000000"/>
          <w:kern w:val="0"/>
          <w:sz w:val="32"/>
          <w:szCs w:val="32"/>
          <w:lang w:val="en-US" w:eastAsia="zh-CN" w:bidi="ar-SA"/>
        </w:rPr>
        <w:t xml:space="preserve"> 本单位无国有资产经营预算支出。</w:t>
      </w:r>
    </w:p>
    <w:p>
      <w:pPr>
        <w:pStyle w:val="6"/>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6"/>
        <w:widowControl/>
        <w:numPr>
          <w:ilvl w:val="0"/>
          <w:numId w:val="0"/>
        </w:numPr>
        <w:spacing w:line="520" w:lineRule="exact"/>
        <w:ind w:leftChars="20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仿宋_GB2312" w:hAnsi="仿宋" w:eastAsia="仿宋_GB2312" w:cs="Arial"/>
          <w:snapToGrid w:val="0"/>
          <w:color w:val="000000"/>
          <w:kern w:val="0"/>
          <w:sz w:val="32"/>
          <w:szCs w:val="32"/>
          <w:lang w:val="en-US" w:eastAsia="zh-CN" w:bidi="ar-SA"/>
        </w:rPr>
        <w:t xml:space="preserve"> 本单位无社会保险基金预算支出。</w:t>
      </w:r>
    </w:p>
    <w:p>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pStyle w:val="6"/>
        <w:widowControl/>
        <w:spacing w:line="520" w:lineRule="exact"/>
        <w:ind w:firstLine="64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从整体上看2023年我单位资金运行维护决策正确，资金管理规范，项目管理到位，政策执行有力，有效发挥了财政资金的使用效率。根据我单位实际情况，整体支出绩效评价如下：</w:t>
      </w:r>
    </w:p>
    <w:p>
      <w:pPr>
        <w:pStyle w:val="6"/>
        <w:widowControl/>
        <w:spacing w:line="520" w:lineRule="exact"/>
        <w:ind w:left="640" w:firstLine="0" w:firstLineChars="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产出指标：</w:t>
      </w:r>
    </w:p>
    <w:p>
      <w:pPr>
        <w:pStyle w:val="6"/>
        <w:widowControl/>
        <w:spacing w:line="520" w:lineRule="exact"/>
        <w:ind w:firstLine="64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部门重点支出占部门整体支出的比例：100%；部门整体支出支付进度：按进度支付；部门预决算和三公经费预决算已按时按质进行了公开，政府采购执行率100%，固定资产利用率100%，重点工作办结率100%，重点工作质量达标率100%。</w:t>
      </w:r>
    </w:p>
    <w:p>
      <w:pPr>
        <w:pStyle w:val="6"/>
        <w:widowControl/>
        <w:spacing w:line="520" w:lineRule="exact"/>
        <w:ind w:left="640" w:firstLine="0" w:firstLineChars="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效益指标：</w:t>
      </w:r>
    </w:p>
    <w:p>
      <w:pPr>
        <w:pStyle w:val="6"/>
        <w:widowControl/>
        <w:spacing w:line="520" w:lineRule="exact"/>
        <w:ind w:firstLine="64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社会效益、可持续影响指标都已顺利完成，社会公众或服务对象满意度95%以上。</w:t>
      </w:r>
    </w:p>
    <w:p>
      <w:pPr>
        <w:pStyle w:val="6"/>
        <w:widowControl/>
        <w:spacing w:line="520" w:lineRule="exact"/>
        <w:ind w:firstLine="640"/>
        <w:rPr>
          <w:rFonts w:hint="eastAsia" w:ascii="仿宋_GB2312" w:hAnsi="仿宋" w:eastAsia="仿宋_GB2312" w:cs="Arial"/>
          <w:snapToGrid w:val="0"/>
          <w:color w:val="000000"/>
          <w:kern w:val="0"/>
          <w:sz w:val="32"/>
          <w:szCs w:val="32"/>
          <w:lang w:val="en-US" w:eastAsia="zh-CN" w:bidi="ar-SA"/>
        </w:rPr>
      </w:pPr>
      <w:r>
        <w:rPr>
          <w:rFonts w:hint="eastAsia" w:ascii="仿宋_GB2312" w:hAnsi="仿宋" w:eastAsia="仿宋_GB2312" w:cs="Arial"/>
          <w:snapToGrid w:val="0"/>
          <w:color w:val="000000"/>
          <w:kern w:val="0"/>
          <w:sz w:val="32"/>
          <w:szCs w:val="32"/>
          <w:lang w:val="en-US" w:eastAsia="zh-CN" w:bidi="ar-SA"/>
        </w:rPr>
        <w:t>部门整体支出绩效评价得分100分，圆满地完成了年初预期工作要点和工作计划。</w:t>
      </w: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widowControl/>
        <w:spacing w:line="520" w:lineRule="exact"/>
        <w:ind w:firstLine="640" w:firstLineChars="200"/>
        <w:jc w:val="left"/>
        <w:outlineLvl w:val="0"/>
        <w:rPr>
          <w:rFonts w:eastAsia="FangSong_GB2312"/>
          <w:sz w:val="32"/>
          <w:szCs w:val="32"/>
        </w:rPr>
      </w:pPr>
      <w:r>
        <w:rPr>
          <w:rFonts w:hint="eastAsia" w:eastAsia="FangSong_GB2312"/>
          <w:sz w:val="32"/>
          <w:szCs w:val="32"/>
        </w:rPr>
        <w:t>根据本次绩效评价情况，存在预算绩效申报时，编制的项目自评指标体系不够精细，绩效目标不具体，绩效目标未完全细化，分解工作任务不够具体，部分绩效指标不清晰。针对上述问题，在今后的预算绩效申报时，需相关业务科室将全年工作任务细化分解为具体的工作目标，并尽量采取定量的方式制定清晰、可衡量的绩效指标，提高项目使用经济功能精确度。</w:t>
      </w:r>
    </w:p>
    <w:p>
      <w:pPr>
        <w:widowControl/>
        <w:numPr>
          <w:ilvl w:val="0"/>
          <w:numId w:val="3"/>
        </w:numPr>
        <w:spacing w:line="520" w:lineRule="exact"/>
        <w:ind w:firstLine="640" w:firstLineChars="200"/>
        <w:jc w:val="left"/>
        <w:rPr>
          <w:rFonts w:eastAsia="黑体"/>
          <w:sz w:val="32"/>
          <w:szCs w:val="32"/>
        </w:rPr>
      </w:pPr>
      <w:r>
        <w:rPr>
          <w:rFonts w:eastAsia="黑体"/>
          <w:sz w:val="32"/>
          <w:szCs w:val="32"/>
        </w:rPr>
        <w:t>下一步改进措施</w:t>
      </w:r>
    </w:p>
    <w:p>
      <w:pPr>
        <w:widowControl/>
        <w:spacing w:line="520" w:lineRule="exact"/>
        <w:ind w:firstLine="640" w:firstLineChars="200"/>
        <w:jc w:val="left"/>
        <w:rPr>
          <w:rFonts w:hint="default" w:eastAsia="黑体"/>
          <w:sz w:val="32"/>
          <w:szCs w:val="32"/>
          <w:lang w:val="en-US" w:eastAsia="zh-CN"/>
        </w:rPr>
      </w:pPr>
      <w:r>
        <w:rPr>
          <w:rFonts w:hint="eastAsia" w:ascii="仿宋_GB2312" w:hAnsi="仿宋_GB2312" w:eastAsia="仿宋_GB2312" w:cs="仿宋_GB2312"/>
          <w:sz w:val="32"/>
          <w:szCs w:val="32"/>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进一步完善财政预决算、“三公经费”及重大专项公开工作。使重大项目管理制度更加科学合理，程序更加规范透明，分配更加公平公正，资金更加安全高效。</w:t>
      </w:r>
    </w:p>
    <w:p>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widowControl/>
        <w:spacing w:line="520" w:lineRule="exact"/>
        <w:ind w:firstLine="630" w:firstLineChars="300"/>
        <w:jc w:val="left"/>
        <w:rPr>
          <w:rFonts w:eastAsia="黑体"/>
          <w:sz w:val="32"/>
          <w:szCs w:val="32"/>
        </w:rPr>
      </w:pPr>
      <w:r>
        <w:rPr>
          <w:rFonts w:hint="eastAsia" w:eastAsia="宋体"/>
          <w:lang w:val="en-US" w:eastAsia="zh-CN"/>
        </w:rPr>
        <w:t xml:space="preserve"> </w:t>
      </w:r>
      <w:r>
        <w:rPr>
          <w:rFonts w:hint="eastAsia" w:ascii="FangSong_GB2312" w:eastAsia="FangSong_GB2312"/>
          <w:sz w:val="32"/>
          <w:szCs w:val="32"/>
        </w:rPr>
        <w:t>绩效自评结果为优。无其他需要说明的情况。</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eastAsia="宋体"/>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D028BAF1"/>
    <w:multiLevelType w:val="singleLevel"/>
    <w:tmpl w:val="D028BAF1"/>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YjUxMDdmYmQyYzRmYWZjMmFiMTUyMjAzOWI5NDUifQ=="/>
  </w:docVars>
  <w:rsids>
    <w:rsidRoot w:val="00000000"/>
    <w:rsid w:val="02DA018C"/>
    <w:rsid w:val="04E43544"/>
    <w:rsid w:val="067D6210"/>
    <w:rsid w:val="0B5B4113"/>
    <w:rsid w:val="0D741A71"/>
    <w:rsid w:val="133B07D3"/>
    <w:rsid w:val="1360023A"/>
    <w:rsid w:val="13F46189"/>
    <w:rsid w:val="15BF56EC"/>
    <w:rsid w:val="15F5735F"/>
    <w:rsid w:val="190B21D4"/>
    <w:rsid w:val="1B9725FA"/>
    <w:rsid w:val="1C6C40F3"/>
    <w:rsid w:val="22C26025"/>
    <w:rsid w:val="2D4A5D8B"/>
    <w:rsid w:val="2F9E416C"/>
    <w:rsid w:val="30C16364"/>
    <w:rsid w:val="33233306"/>
    <w:rsid w:val="33797546"/>
    <w:rsid w:val="34BF2BBB"/>
    <w:rsid w:val="35CB6416"/>
    <w:rsid w:val="39DE0A3C"/>
    <w:rsid w:val="3C30439E"/>
    <w:rsid w:val="3C577B7C"/>
    <w:rsid w:val="3C663869"/>
    <w:rsid w:val="3D8E5820"/>
    <w:rsid w:val="459E05CA"/>
    <w:rsid w:val="47C63E08"/>
    <w:rsid w:val="47EB386F"/>
    <w:rsid w:val="47ED4F01"/>
    <w:rsid w:val="4AEC627C"/>
    <w:rsid w:val="4B4334AB"/>
    <w:rsid w:val="4E524648"/>
    <w:rsid w:val="5403276E"/>
    <w:rsid w:val="54A86D6F"/>
    <w:rsid w:val="54C57A37"/>
    <w:rsid w:val="560F7B1C"/>
    <w:rsid w:val="56506B7F"/>
    <w:rsid w:val="58920462"/>
    <w:rsid w:val="58FA6008"/>
    <w:rsid w:val="59185886"/>
    <w:rsid w:val="59E36A9C"/>
    <w:rsid w:val="5DB22A0D"/>
    <w:rsid w:val="618172C6"/>
    <w:rsid w:val="6525440C"/>
    <w:rsid w:val="687C07E7"/>
    <w:rsid w:val="698018CE"/>
    <w:rsid w:val="6B8E4AB9"/>
    <w:rsid w:val="6E9F349D"/>
    <w:rsid w:val="73B01345"/>
    <w:rsid w:val="75284169"/>
    <w:rsid w:val="7A3C7DD6"/>
    <w:rsid w:val="7B14665D"/>
    <w:rsid w:val="7B542EFE"/>
    <w:rsid w:val="7C0C40B8"/>
    <w:rsid w:val="7E2C3CBE"/>
    <w:rsid w:val="7E8C56BA"/>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 w:type="paragraph" w:customStyle="1" w:styleId="7">
    <w:name w:val="Default"/>
    <w:autoRedefine/>
    <w:unhideWhenUsed/>
    <w:qFormat/>
    <w:uiPriority w:val="0"/>
    <w:pPr>
      <w:widowControl w:val="0"/>
      <w:autoSpaceDE w:val="0"/>
      <w:autoSpaceDN w:val="0"/>
      <w:adjustRightInd w:val="0"/>
      <w:spacing w:beforeLines="0" w:afterLines="0"/>
    </w:pPr>
    <w:rPr>
      <w:rFonts w:hint="eastAsia"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453</Words>
  <Characters>458</Characters>
  <Lines>0</Lines>
  <Paragraphs>0</Paragraphs>
  <TotalTime>2</TotalTime>
  <ScaleCrop>false</ScaleCrop>
  <LinksUpToDate>false</LinksUpToDate>
  <CharactersWithSpaces>458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芳</cp:lastModifiedBy>
  <dcterms:modified xsi:type="dcterms:W3CDTF">2024-10-01T09:30:59Z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DEC29D6FF1984251977FAFE43F2C91AB_12</vt:lpwstr>
  </property>
</Properties>
</file>