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2023年度中共炎陵县委党校</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C8FD96">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3158A75C">
      <w:pPr>
        <w:rPr>
          <w:rFonts w:hint="eastAsia" w:ascii="仿宋_GB2312" w:hAnsi="仿宋_GB2312" w:eastAsia="仿宋_GB2312" w:cs="仿宋_GB2312"/>
          <w:sz w:val="32"/>
          <w:szCs w:val="32"/>
          <w:lang w:val="en-US" w:eastAsia="zh-CN"/>
        </w:rPr>
      </w:pPr>
    </w:p>
    <w:p w14:paraId="660F4AB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25F1800">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规范财政资金管理，强化绩效意识和支出责任，切实提高财政资金使用效益，根据《炎陵县财政局关于开展2023年度县本级财政资金及政府专项债券资金绩效自评工作的通知》（炎财发〔2024〕52号）要求，中共炎陵县委党校认真开展财政资金及政府专项债券资金绩效自评工作。现将部门整体支出绩效自评情况报告如下：</w:t>
      </w:r>
    </w:p>
    <w:p w14:paraId="69FD9C40">
      <w:pPr>
        <w:pStyle w:val="6"/>
        <w:keepNext w:val="0"/>
        <w:keepLines w:val="0"/>
        <w:pageBreakBefore w:val="0"/>
        <w:widowControl/>
        <w:numPr>
          <w:ilvl w:val="0"/>
          <w:numId w:val="1"/>
        </w:numPr>
        <w:wordWrap/>
        <w:overflowPunct/>
        <w:topLinePunct w:val="0"/>
        <w:bidi w:val="0"/>
        <w:spacing w:line="600" w:lineRule="exact"/>
        <w:ind w:firstLine="640"/>
        <w:rPr>
          <w:rFonts w:hint="eastAsia" w:ascii="黑体" w:hAnsi="黑体" w:eastAsia="黑体" w:cs="黑体"/>
          <w:sz w:val="32"/>
          <w:szCs w:val="32"/>
        </w:rPr>
      </w:pPr>
      <w:r>
        <w:rPr>
          <w:rFonts w:hint="eastAsia" w:ascii="黑体" w:hAnsi="黑体" w:eastAsia="黑体" w:cs="黑体"/>
          <w:sz w:val="32"/>
          <w:szCs w:val="32"/>
        </w:rPr>
        <w:t>基本情况</w:t>
      </w:r>
    </w:p>
    <w:p w14:paraId="049DC1A2">
      <w:pPr>
        <w:pStyle w:val="6"/>
        <w:keepNext w:val="0"/>
        <w:keepLines w:val="0"/>
        <w:pageBreakBefore w:val="0"/>
        <w:widowControl/>
        <w:numPr>
          <w:ilvl w:val="0"/>
          <w:numId w:val="0"/>
        </w:numPr>
        <w:wordWrap/>
        <w:overflowPunct/>
        <w:topLinePunct w:val="0"/>
        <w:bidi w:val="0"/>
        <w:spacing w:line="60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（一）</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731E801E">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炎陵县委党校（炎陵县行政学校）贯彻落实党中央关于干部教育培训工作的方针政策和决策部署，全面落实省委、市委、县委相关部署要求，在履行职责过程中坚持和加强党对干部教育培训工作的集中统一领导。</w:t>
      </w:r>
    </w:p>
    <w:p w14:paraId="50E3C575">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1.主要职责</w:t>
      </w:r>
    </w:p>
    <w:p w14:paraId="2B066596">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（1）培训全县党政领导干部、公务员、国有企业领导人员、事业单位领导人员、年轻干部、理论宣传骨干、高层次人才、基层干部、党员</w:t>
      </w:r>
      <w:r>
        <w:rPr>
          <w:rFonts w:hint="eastAsia" w:ascii="Times New Roman" w:hAnsi="Times New Roman" w:eastAsia="仿宋_GB2312" w:cs="Times New Roman"/>
          <w:sz w:val="32"/>
          <w:szCs w:val="32"/>
          <w:lang w:val="en-US" w:eastAsia="zh-CN"/>
        </w:rPr>
        <w:t>；</w:t>
      </w:r>
    </w:p>
    <w:p w14:paraId="36403D32">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（2）负责全县各民主党派、无党派人士和统一战线其他方面代表人士培训，开展对外交流培训</w:t>
      </w:r>
      <w:r>
        <w:rPr>
          <w:rFonts w:hint="eastAsia" w:ascii="Times New Roman" w:hAnsi="Times New Roman" w:eastAsia="仿宋_GB2312" w:cs="Times New Roman"/>
          <w:sz w:val="32"/>
          <w:szCs w:val="32"/>
          <w:lang w:val="en-US" w:eastAsia="zh-CN"/>
        </w:rPr>
        <w:t>；</w:t>
      </w:r>
    </w:p>
    <w:p w14:paraId="176C5210">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（3）围绕党的中心工作，对改革开放和社会主义现代化进程中的重大理论和现实问题进行研究，开展马克思主义中国化最新成果的理论宣传，开展党的路线、方针、政策的宣传</w:t>
      </w:r>
      <w:r>
        <w:rPr>
          <w:rFonts w:hint="eastAsia" w:ascii="Times New Roman" w:hAnsi="Times New Roman" w:eastAsia="仿宋_GB2312" w:cs="Times New Roman"/>
          <w:sz w:val="32"/>
          <w:szCs w:val="32"/>
          <w:lang w:val="en-US" w:eastAsia="zh-CN"/>
        </w:rPr>
        <w:t>；</w:t>
      </w:r>
    </w:p>
    <w:p w14:paraId="11A1C3DF">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（4）承办县委和县政府以及相关部门举办的专题研讨班</w:t>
      </w:r>
      <w:r>
        <w:rPr>
          <w:rFonts w:hint="eastAsia" w:ascii="Times New Roman" w:hAnsi="Times New Roman" w:eastAsia="仿宋_GB2312" w:cs="Times New Roman"/>
          <w:sz w:val="32"/>
          <w:szCs w:val="32"/>
          <w:lang w:val="en-US" w:eastAsia="zh-CN"/>
        </w:rPr>
        <w:t>；</w:t>
      </w:r>
    </w:p>
    <w:p w14:paraId="6CBD84E4">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（5）开展同国（境）内外有关机构和组织的合作与交流</w:t>
      </w:r>
      <w:r>
        <w:rPr>
          <w:rFonts w:hint="eastAsia" w:ascii="Times New Roman" w:hAnsi="Times New Roman" w:eastAsia="仿宋_GB2312" w:cs="Times New Roman"/>
          <w:sz w:val="32"/>
          <w:szCs w:val="32"/>
          <w:lang w:val="en-US" w:eastAsia="zh-CN"/>
        </w:rPr>
        <w:t>；</w:t>
      </w:r>
    </w:p>
    <w:p w14:paraId="648EB901">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（6）参与县委、县政府关于县委党校工作政策以及干部培训计划的制定工作</w:t>
      </w:r>
      <w:r>
        <w:rPr>
          <w:rFonts w:hint="eastAsia" w:ascii="Times New Roman" w:hAnsi="Times New Roman" w:eastAsia="仿宋_GB2312" w:cs="Times New Roman"/>
          <w:sz w:val="32"/>
          <w:szCs w:val="32"/>
          <w:lang w:val="en-US" w:eastAsia="zh-CN"/>
        </w:rPr>
        <w:t>；</w:t>
      </w:r>
    </w:p>
    <w:p w14:paraId="41ABDAD2">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（7）承担县委、县政府交办的其他工作。</w:t>
      </w:r>
    </w:p>
    <w:p w14:paraId="02CD24D3">
      <w:pPr>
        <w:pStyle w:val="6"/>
        <w:keepNext w:val="0"/>
        <w:keepLines w:val="0"/>
        <w:pageBreakBefore w:val="0"/>
        <w:widowControl/>
        <w:numPr>
          <w:ilvl w:val="0"/>
          <w:numId w:val="0"/>
        </w:numPr>
        <w:wordWrap/>
        <w:overflowPunct/>
        <w:topLinePunct w:val="0"/>
        <w:bidi w:val="0"/>
        <w:spacing w:line="600" w:lineRule="exact"/>
        <w:ind w:left="-10" w:leftChars="0" w:firstLine="640" w:firstLineChars="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2.编制情况</w:t>
      </w:r>
    </w:p>
    <w:p w14:paraId="75987E61">
      <w:pPr>
        <w:pStyle w:val="6"/>
        <w:keepNext w:val="0"/>
        <w:keepLines w:val="0"/>
        <w:pageBreakBefore w:val="0"/>
        <w:widowControl/>
        <w:numPr>
          <w:ilvl w:val="0"/>
          <w:numId w:val="0"/>
        </w:numPr>
        <w:wordWrap/>
        <w:overflowPunct/>
        <w:topLinePunct w:val="0"/>
        <w:bidi w:val="0"/>
        <w:spacing w:line="600" w:lineRule="exact"/>
        <w:ind w:left="-10" w:leftChars="0" w:firstLine="640" w:firstLineChars="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lang w:val="en-US" w:eastAsia="zh-CN"/>
        </w:rPr>
        <w:t>现有内设处室部门4个，分别是办公室、教务室、科研室、后勤室。2023年11月29日，县委机构编制委员会审议了县委党校及所属事业单位机构编制调整事项。会议审议并原则同意：撤销炎陵县炎帝文化研究中心，核销一名副科级职数，将炎陵县炎帝文化研究中心承担的“炎帝文化研究、开发利用工作，炎帝文化研究资料的收集、归档整理、宣传推介”等工作职能及1名事业编制划转至炎帝陵管理局；将炎陵县炎帝文化研究中心承担的“炎帝文化教学普及”等职能划转至炎陵县委党校，并划转3名事业编制（其中2人连人带编划转，另一名按干部管理权限提交县委常委会研究）至党校。上述涉炎陵县炎帝文化研究中心机构编制有关事项，根据审批权限按程序报市委编办批复后实施。</w:t>
      </w:r>
    </w:p>
    <w:p w14:paraId="775B438A">
      <w:pPr>
        <w:pStyle w:val="6"/>
        <w:keepNext w:val="0"/>
        <w:keepLines w:val="0"/>
        <w:pageBreakBefore w:val="0"/>
        <w:widowControl/>
        <w:numPr>
          <w:ilvl w:val="0"/>
          <w:numId w:val="0"/>
        </w:numPr>
        <w:wordWrap/>
        <w:overflowPunct/>
        <w:topLinePunct w:val="0"/>
        <w:bidi w:val="0"/>
        <w:spacing w:line="600" w:lineRule="exact"/>
        <w:ind w:left="-10" w:leftChars="0" w:firstLine="640" w:firstLineChars="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3.人员情况</w:t>
      </w:r>
    </w:p>
    <w:p w14:paraId="793300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县委机构编制委员会</w:t>
      </w:r>
      <w:r>
        <w:rPr>
          <w:rFonts w:hint="default" w:ascii="Times New Roman" w:hAnsi="Times New Roman" w:eastAsia="仿宋_GB2312" w:cs="Times New Roman"/>
          <w:sz w:val="32"/>
          <w:szCs w:val="32"/>
          <w:lang w:val="en-US" w:eastAsia="zh-CN"/>
        </w:rPr>
        <w:t>调整意见，</w:t>
      </w:r>
      <w:r>
        <w:rPr>
          <w:rFonts w:hint="default" w:ascii="Times New Roman" w:hAnsi="Times New Roman" w:eastAsia="仿宋_GB2312" w:cs="Times New Roman"/>
          <w:sz w:val="32"/>
          <w:szCs w:val="32"/>
        </w:rPr>
        <w:t>划转后中共炎陵县委党校共有全额拨款事业编制16名，明确县委党校党政管理人员编制（参公管理）7名，全额拨款事业编制9名。县编办已</w:t>
      </w:r>
      <w:r>
        <w:rPr>
          <w:rFonts w:hint="eastAsia" w:ascii="Times New Roman" w:hAnsi="Times New Roman" w:eastAsia="仿宋_GB2312" w:cs="Times New Roman"/>
          <w:sz w:val="32"/>
          <w:szCs w:val="32"/>
          <w:lang w:val="en-US" w:eastAsia="zh-CN"/>
        </w:rPr>
        <w:t>于</w:t>
      </w:r>
      <w:bookmarkStart w:id="0" w:name="_GoBack"/>
      <w:bookmarkEnd w:id="0"/>
      <w:r>
        <w:rPr>
          <w:rFonts w:hint="default" w:ascii="Times New Roman" w:hAnsi="Times New Roman" w:eastAsia="仿宋_GB2312" w:cs="Times New Roman"/>
          <w:sz w:val="32"/>
          <w:szCs w:val="32"/>
        </w:rPr>
        <w:t>2023年12月14日印发了《关于调整中共炎陵县委党校（炎陵县行政学校）人员编制的通知》（炎编办〔2023〕45号）文件，下一步县委党校将根据文件精神，按程序抓好有关工作落实。</w:t>
      </w:r>
    </w:p>
    <w:p w14:paraId="5BFA1D8C">
      <w:pPr>
        <w:pStyle w:val="6"/>
        <w:keepNext w:val="0"/>
        <w:keepLines w:val="0"/>
        <w:pageBreakBefore w:val="0"/>
        <w:widowControl/>
        <w:numPr>
          <w:ilvl w:val="0"/>
          <w:numId w:val="0"/>
        </w:numPr>
        <w:wordWrap/>
        <w:overflowPunct/>
        <w:topLinePunct w:val="0"/>
        <w:bidi w:val="0"/>
        <w:spacing w:line="600" w:lineRule="exact"/>
        <w:ind w:left="-10" w:leftChars="0" w:firstLine="64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2023年12月，中共炎陵县委党校核定编制16人，实有人数11人（其中：行政编制5人，事业编制5人，事业工勤1人），上年末实有人数10人，2023年6月份新录用公务员1人，年内调动1人，退休1人，2023年末实有人数为11人。</w:t>
      </w:r>
    </w:p>
    <w:p w14:paraId="5556C9CE">
      <w:pPr>
        <w:pStyle w:val="6"/>
        <w:keepNext w:val="0"/>
        <w:keepLines w:val="0"/>
        <w:pageBreakBefore w:val="0"/>
        <w:widowControl/>
        <w:numPr>
          <w:ilvl w:val="0"/>
          <w:numId w:val="0"/>
        </w:numPr>
        <w:wordWrap/>
        <w:overflowPunct/>
        <w:topLinePunct w:val="0"/>
        <w:bidi w:val="0"/>
        <w:spacing w:line="60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（二）</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02562FA9">
      <w:pPr>
        <w:pStyle w:val="6"/>
        <w:keepNext w:val="0"/>
        <w:keepLines w:val="0"/>
        <w:pageBreakBefore w:val="0"/>
        <w:widowControl/>
        <w:numPr>
          <w:numId w:val="0"/>
        </w:numPr>
        <w:wordWrap/>
        <w:overflowPunct/>
        <w:topLinePunct w:val="0"/>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炎陵县委党校部门整体绩效目标、专项资金绩效目标、其他项目支出（除专项资金以外）绩效目标均围绕党校部门职能职责，始终坚持党校姓“党”的原则，按照围绕中心，服务大局的办学指导思想，不断深化改革，全面加强党校建设，完成干部教育培训任务。</w:t>
      </w:r>
    </w:p>
    <w:p w14:paraId="7587B28A">
      <w:pPr>
        <w:pStyle w:val="6"/>
        <w:keepNext w:val="0"/>
        <w:keepLines w:val="0"/>
        <w:pageBreakBefore w:val="0"/>
        <w:widowControl/>
        <w:wordWrap/>
        <w:overflowPunct/>
        <w:topLinePunct w:val="0"/>
        <w:bidi w:val="0"/>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keepNext w:val="0"/>
        <w:keepLines w:val="0"/>
        <w:pageBreakBefore w:val="0"/>
        <w:widowControl/>
        <w:wordWrap/>
        <w:overflowPunct/>
        <w:topLinePunct w:val="0"/>
        <w:bidi w:val="0"/>
        <w:spacing w:line="60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2FFB6244">
      <w:pPr>
        <w:pStyle w:val="6"/>
        <w:keepNext w:val="0"/>
        <w:keepLines w:val="0"/>
        <w:pageBreakBefore w:val="0"/>
        <w:widowControl/>
        <w:wordWrap/>
        <w:overflowPunct/>
        <w:topLinePunct w:val="0"/>
        <w:bidi w:val="0"/>
        <w:spacing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财政拨款基本支出2613994.67元，其中：人员经费1449688.92元，占基本支出的55.45%,公用经费1164305.75元，占基本支出的44.55%，主要是保障机构正常运转、完成日常工作任务而发生的各项支出，包括用于在职和离退休人员基本工资、津贴补贴等人员经费以及办公费、印刷费、水电费、办公设备购置等日常公用经费。</w:t>
      </w:r>
    </w:p>
    <w:p w14:paraId="7C11EFB6">
      <w:pPr>
        <w:pStyle w:val="6"/>
        <w:keepNext w:val="0"/>
        <w:keepLines w:val="0"/>
        <w:pageBreakBefore w:val="0"/>
        <w:widowControl/>
        <w:wordWrap/>
        <w:overflowPunct/>
        <w:topLinePunct w:val="0"/>
        <w:bidi w:val="0"/>
        <w:spacing w:line="60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25881FFB">
      <w:pPr>
        <w:keepNext w:val="0"/>
        <w:keepLines w:val="0"/>
        <w:pageBreakBefore w:val="0"/>
        <w:widowControl/>
        <w:wordWrap/>
        <w:overflowPunct/>
        <w:topLinePunct w:val="0"/>
        <w:bidi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lang w:val="en-US" w:eastAsia="zh-CN"/>
        </w:rPr>
        <w:t>“干训费”项目支出预算安排250000元，实际支出250000元，完成预算安排的100%。主要用于干部教育培训方面，为党校教育培训活动的开展提供有力保障。</w:t>
      </w:r>
    </w:p>
    <w:p w14:paraId="751A51C8">
      <w:pPr>
        <w:pStyle w:val="6"/>
        <w:keepNext w:val="0"/>
        <w:keepLines w:val="0"/>
        <w:pageBreakBefore w:val="0"/>
        <w:widowControl/>
        <w:wordWrap/>
        <w:overflowPunct/>
        <w:topLinePunct w:val="0"/>
        <w:bidi w:val="0"/>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5116879C">
      <w:pPr>
        <w:pStyle w:val="6"/>
        <w:keepNext w:val="0"/>
        <w:keepLines w:val="0"/>
        <w:pageBreakBefore w:val="0"/>
        <w:widowControl/>
        <w:wordWrap/>
        <w:overflowPunct/>
        <w:topLinePunct w:val="0"/>
        <w:bidi w:val="0"/>
        <w:spacing w:line="600" w:lineRule="exact"/>
        <w:jc w:val="left"/>
        <w:rPr>
          <w:rFonts w:hint="default" w:ascii="仿宋_GB2312" w:hAnsi="仿宋_GB2312" w:eastAsia="仿宋_GB2312" w:cs="仿宋_GB2312"/>
          <w:sz w:val="32"/>
          <w:szCs w:val="32"/>
          <w:lang w:val="en-US"/>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度本单位</w:t>
      </w:r>
      <w:r>
        <w:rPr>
          <w:rFonts w:hint="default" w:ascii="Times New Roman" w:hAnsi="Times New Roman" w:eastAsia="仿宋_GB2312" w:cs="Times New Roman"/>
          <w:sz w:val="32"/>
          <w:szCs w:val="32"/>
          <w:lang w:val="en-US" w:eastAsia="zh-CN"/>
        </w:rPr>
        <w:t>政府性基金预算支出</w:t>
      </w:r>
      <w:r>
        <w:rPr>
          <w:rFonts w:hint="eastAsia" w:ascii="Times New Roman" w:hAnsi="Times New Roman" w:eastAsia="仿宋_GB2312" w:cs="Times New Roman"/>
          <w:sz w:val="32"/>
          <w:szCs w:val="32"/>
          <w:lang w:val="en-US" w:eastAsia="zh-CN"/>
        </w:rPr>
        <w:t>460937.54元，全部用于中共炎陵县委党校学员宿舍楼项目工程的尾款支付。</w:t>
      </w:r>
    </w:p>
    <w:p w14:paraId="216101D4">
      <w:pPr>
        <w:pStyle w:val="6"/>
        <w:keepNext w:val="0"/>
        <w:keepLines w:val="0"/>
        <w:pageBreakBefore w:val="0"/>
        <w:widowControl/>
        <w:wordWrap/>
        <w:overflowPunct/>
        <w:topLinePunct w:val="0"/>
        <w:bidi w:val="0"/>
        <w:spacing w:line="60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14:paraId="4F25B5D4">
      <w:pPr>
        <w:pStyle w:val="6"/>
        <w:keepNext w:val="0"/>
        <w:keepLines w:val="0"/>
        <w:pageBreakBefore w:val="0"/>
        <w:widowControl/>
        <w:wordWrap/>
        <w:overflowPunct/>
        <w:topLinePunct w:val="0"/>
        <w:bidi w:val="0"/>
        <w:spacing w:line="600" w:lineRule="exact"/>
        <w:ind w:left="64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本单位无国有资本经营预算支出。</w:t>
      </w:r>
    </w:p>
    <w:p w14:paraId="690EE68D">
      <w:pPr>
        <w:pStyle w:val="6"/>
        <w:keepNext w:val="0"/>
        <w:keepLines w:val="0"/>
        <w:pageBreakBefore w:val="0"/>
        <w:widowControl/>
        <w:wordWrap/>
        <w:overflowPunct/>
        <w:topLinePunct w:val="0"/>
        <w:bidi w:val="0"/>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3CAB23B6">
      <w:pPr>
        <w:pStyle w:val="6"/>
        <w:keepNext w:val="0"/>
        <w:keepLines w:val="0"/>
        <w:pageBreakBefore w:val="0"/>
        <w:widowControl/>
        <w:wordWrap/>
        <w:overflowPunct/>
        <w:topLinePunct w:val="0"/>
        <w:bidi w:val="0"/>
        <w:spacing w:line="600" w:lineRule="exact"/>
        <w:ind w:left="64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本单位无社会保险基金预算支出。</w:t>
      </w:r>
    </w:p>
    <w:p w14:paraId="7074D3E2">
      <w:pPr>
        <w:keepNext w:val="0"/>
        <w:keepLines w:val="0"/>
        <w:pageBreakBefore w:val="0"/>
        <w:widowControl/>
        <w:wordWrap/>
        <w:overflowPunct/>
        <w:topLinePunct w:val="0"/>
        <w:bidi w:val="0"/>
        <w:spacing w:line="60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12766749">
      <w:pPr>
        <w:keepNext w:val="0"/>
        <w:keepLines w:val="0"/>
        <w:pageBreakBefore w:val="0"/>
        <w:widowControl/>
        <w:wordWrap/>
        <w:overflowPunct/>
        <w:topLinePunct w:val="0"/>
        <w:bidi w:val="0"/>
        <w:spacing w:line="600" w:lineRule="exact"/>
        <w:ind w:firstLine="645"/>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2023年，县委党校坚持以习近平新时代中国特色社会主义思想为指导，全面贯彻落实习近平总书记关于党校工作重要论述和在中央党校成立90周年纪念大会的重要讲话等系列批示指示精神，落实《条例》《规划》等文件精神，坚持“为党育才为党献策”，全面完成了全年目标任务。</w:t>
      </w:r>
    </w:p>
    <w:p w14:paraId="3AA49AA3">
      <w:pPr>
        <w:keepNext w:val="0"/>
        <w:keepLines w:val="0"/>
        <w:pageBreakBefore w:val="0"/>
        <w:widowControl/>
        <w:wordWrap/>
        <w:overflowPunct/>
        <w:topLinePunct w:val="0"/>
        <w:bidi w:val="0"/>
        <w:spacing w:line="600" w:lineRule="exact"/>
        <w:ind w:firstLine="645"/>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从运行成本、管理效率、履职效能、社会效应、可持续发展能力和服务对象满意度等方面</w:t>
      </w:r>
      <w:r>
        <w:rPr>
          <w:rFonts w:hint="eastAsia" w:ascii="Times New Roman" w:hAnsi="Times New Roman" w:eastAsia="仿宋_GB2312" w:cs="Times New Roman"/>
          <w:color w:val="000000"/>
          <w:sz w:val="32"/>
          <w:szCs w:val="32"/>
          <w:lang w:val="en-US" w:eastAsia="zh-CN"/>
        </w:rPr>
        <w:t>看</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本单位</w:t>
      </w:r>
      <w:r>
        <w:rPr>
          <w:rFonts w:hint="eastAsia" w:ascii="Times New Roman" w:hAnsi="Times New Roman" w:eastAsia="仿宋_GB2312" w:cs="Times New Roman"/>
          <w:color w:val="000000"/>
          <w:sz w:val="32"/>
          <w:szCs w:val="32"/>
          <w:lang w:val="en-US" w:eastAsia="zh-CN"/>
        </w:rPr>
        <w:t>在2023年</w:t>
      </w:r>
      <w:r>
        <w:rPr>
          <w:rFonts w:hint="default" w:ascii="Times New Roman" w:hAnsi="Times New Roman" w:eastAsia="仿宋_GB2312" w:cs="Times New Roman"/>
          <w:color w:val="000000"/>
          <w:sz w:val="32"/>
          <w:szCs w:val="32"/>
          <w:lang w:val="en-US" w:eastAsia="zh-CN"/>
        </w:rPr>
        <w:t>取得了以下成效：</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auto"/>
          <w:sz w:val="32"/>
          <w:szCs w:val="32"/>
          <w:lang w:val="en-US" w:eastAsia="zh-CN"/>
        </w:rPr>
        <w:t>成</w:t>
      </w:r>
      <w:r>
        <w:rPr>
          <w:rFonts w:hint="default" w:ascii="Times New Roman" w:hAnsi="Times New Roman" w:eastAsia="仿宋_GB2312" w:cs="Times New Roman"/>
          <w:sz w:val="32"/>
          <w:szCs w:val="32"/>
          <w:lang w:val="en-US" w:eastAsia="zh-CN"/>
        </w:rPr>
        <w:t>立学术委员会，强化科研兴校理念，激发教研人员科研积极性</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获全市2023年教学先进单位，党校办学质量评估获评市“优秀”</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理论文章在党校（行政学院）系统理论研讨会论文中分获全市一、二等奖，省二、三等奖；</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2023年向全省党校（行政学院）系统理论研讨会报送论文三篇，指导学员撰写调研报告117篇，并装订成册</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在市、县媒体报道党校工作30余篇。</w:t>
      </w:r>
    </w:p>
    <w:p w14:paraId="3E1E8DFA">
      <w:pPr>
        <w:pStyle w:val="6"/>
        <w:keepNext w:val="0"/>
        <w:keepLines w:val="0"/>
        <w:pageBreakBefore w:val="0"/>
        <w:widowControl/>
        <w:wordWrap/>
        <w:overflowPunct/>
        <w:topLinePunct w:val="0"/>
        <w:bidi w:val="0"/>
        <w:spacing w:line="600" w:lineRule="exact"/>
        <w:ind w:left="640" w:firstLine="0" w:firstLineChars="0"/>
        <w:jc w:val="left"/>
        <w:rPr>
          <w:rFonts w:hint="default" w:ascii="Times New Roman" w:hAnsi="Times New Roman" w:eastAsia="仿宋_GB2312" w:cs="Times New Roman"/>
          <w:sz w:val="32"/>
          <w:szCs w:val="32"/>
          <w:lang w:eastAsia="zh-CN"/>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3F04F65E">
      <w:pPr>
        <w:keepNext w:val="0"/>
        <w:keepLines w:val="0"/>
        <w:pageBreakBefore w:val="0"/>
        <w:widowControl/>
        <w:wordWrap/>
        <w:overflowPunct/>
        <w:topLinePunct w:val="0"/>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经单位自查自评，在绩效管理过程中存在以下问题：</w:t>
      </w:r>
    </w:p>
    <w:p w14:paraId="03F4537F">
      <w:pPr>
        <w:keepNext w:val="0"/>
        <w:keepLines w:val="0"/>
        <w:pageBreakBefore w:val="0"/>
        <w:widowControl/>
        <w:wordWrap/>
        <w:overflowPunct/>
        <w:topLinePunct w:val="0"/>
        <w:bidi w:val="0"/>
        <w:spacing w:line="600"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部分预算绩效管理工作开展不</w:t>
      </w:r>
      <w:r>
        <w:rPr>
          <w:rFonts w:hint="eastAsia"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rPr>
        <w:t>，预算绩效管理意识有待提高。</w:t>
      </w:r>
      <w:r>
        <w:rPr>
          <w:rFonts w:hint="eastAsia" w:ascii="Times New Roman" w:hAnsi="Times New Roman" w:eastAsia="仿宋_GB2312" w:cs="Times New Roman"/>
          <w:sz w:val="32"/>
          <w:szCs w:val="32"/>
          <w:lang w:val="en-US" w:eastAsia="zh-CN"/>
        </w:rPr>
        <w:t>主要原因为：1.</w:t>
      </w:r>
      <w:r>
        <w:rPr>
          <w:rFonts w:hint="default" w:ascii="Times New Roman" w:hAnsi="Times New Roman" w:eastAsia="仿宋_GB2312" w:cs="Times New Roman"/>
          <w:sz w:val="32"/>
          <w:szCs w:val="32"/>
        </w:rPr>
        <w:t>绩效目标指标</w:t>
      </w:r>
      <w:r>
        <w:rPr>
          <w:rFonts w:hint="eastAsia" w:ascii="Times New Roman" w:hAnsi="Times New Roman" w:eastAsia="仿宋_GB2312" w:cs="Times New Roman"/>
          <w:sz w:val="32"/>
          <w:szCs w:val="32"/>
          <w:lang w:val="en-US" w:eastAsia="zh-CN"/>
        </w:rPr>
        <w:t>值表述</w:t>
      </w:r>
      <w:r>
        <w:rPr>
          <w:rFonts w:hint="default" w:ascii="Times New Roman" w:hAnsi="Times New Roman" w:eastAsia="仿宋_GB2312" w:cs="Times New Roman"/>
          <w:sz w:val="32"/>
          <w:szCs w:val="32"/>
        </w:rPr>
        <w:t>比较笼统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没有将绩效目标分类化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部分绩效指标量化程度不高</w:t>
      </w:r>
      <w:r>
        <w:rPr>
          <w:rFonts w:hint="eastAsia" w:ascii="Times New Roman" w:hAnsi="Times New Roman" w:eastAsia="仿宋_GB2312" w:cs="Times New Roman"/>
          <w:sz w:val="32"/>
          <w:szCs w:val="32"/>
          <w:lang w:eastAsia="zh-CN"/>
        </w:rPr>
        <w:t>，缺乏具体可量化数值；</w:t>
      </w:r>
      <w:r>
        <w:rPr>
          <w:rFonts w:hint="eastAsia" w:ascii="Times New Roman" w:hAnsi="Times New Roman" w:eastAsia="仿宋_GB2312" w:cs="Times New Roman"/>
          <w:sz w:val="32"/>
          <w:szCs w:val="32"/>
          <w:lang w:val="en-US" w:eastAsia="zh-CN"/>
        </w:rPr>
        <w:t>3.绩效内容精细化不够深，不便于年底实质评估</w:t>
      </w:r>
      <w:r>
        <w:rPr>
          <w:rFonts w:hint="eastAsia" w:ascii="Times New Roman" w:hAnsi="Times New Roman" w:eastAsia="仿宋_GB2312" w:cs="Times New Roman"/>
          <w:sz w:val="32"/>
          <w:szCs w:val="32"/>
          <w:lang w:eastAsia="zh-CN"/>
        </w:rPr>
        <w:t>。</w:t>
      </w:r>
    </w:p>
    <w:p w14:paraId="5F227A28">
      <w:pPr>
        <w:keepNext w:val="0"/>
        <w:keepLines w:val="0"/>
        <w:pageBreakBefore w:val="0"/>
        <w:widowControl/>
        <w:wordWrap/>
        <w:overflowPunct/>
        <w:topLinePunct w:val="0"/>
        <w:bidi w:val="0"/>
        <w:spacing w:line="600" w:lineRule="exact"/>
        <w:ind w:firstLine="640" w:firstLineChars="200"/>
        <w:jc w:val="both"/>
        <w:rPr>
          <w:rFonts w:eastAsia="仿宋_GB2312"/>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绩效自评工作开展不到位。</w:t>
      </w:r>
      <w:r>
        <w:rPr>
          <w:rFonts w:hint="eastAsia" w:ascii="Times New Roman" w:hAnsi="Times New Roman" w:eastAsia="仿宋_GB2312" w:cs="Times New Roman"/>
          <w:sz w:val="32"/>
          <w:szCs w:val="32"/>
          <w:lang w:val="en-US" w:eastAsia="zh-CN"/>
        </w:rPr>
        <w:t>主要原因为：1.</w:t>
      </w:r>
      <w:r>
        <w:rPr>
          <w:rFonts w:hint="default" w:ascii="Times New Roman" w:hAnsi="Times New Roman" w:eastAsia="仿宋_GB2312" w:cs="Times New Roman"/>
          <w:sz w:val="32"/>
          <w:szCs w:val="32"/>
        </w:rPr>
        <w:t>部门绩效管理理念还未深入，部门未将预算绩效管理作为加强预算管理，提升资金使用绩效的有效管理模式，绩效管理工作大都存在被财政推着走的情况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部门内部协调机制不完善，绩效自评工作各相关业务处室配合有待加强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3.对政策解读把握不到位，绩效评价业务与财务融合度不够高</w:t>
      </w:r>
      <w:r>
        <w:rPr>
          <w:rFonts w:hint="default" w:ascii="Times New Roman" w:hAnsi="Times New Roman" w:eastAsia="仿宋_GB2312" w:cs="Times New Roman"/>
          <w:sz w:val="32"/>
          <w:szCs w:val="32"/>
        </w:rPr>
        <w:t>。</w:t>
      </w:r>
    </w:p>
    <w:p w14:paraId="455796B8">
      <w:pPr>
        <w:keepNext w:val="0"/>
        <w:keepLines w:val="0"/>
        <w:pageBreakBefore w:val="0"/>
        <w:widowControl/>
        <w:wordWrap/>
        <w:overflowPunct/>
        <w:topLinePunct w:val="0"/>
        <w:bidi w:val="0"/>
        <w:spacing w:line="60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14:paraId="0F78CCB5">
      <w:pPr>
        <w:keepNext w:val="0"/>
        <w:keepLines w:val="0"/>
        <w:pageBreakBefore w:val="0"/>
        <w:widowControl/>
        <w:wordWrap/>
        <w:overflowPunct/>
        <w:topLinePunct w:val="0"/>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针对上述绩效管理当中存在的问题，下一步改进措施如下：</w:t>
      </w:r>
    </w:p>
    <w:p w14:paraId="1FDB2532">
      <w:pPr>
        <w:keepNext w:val="0"/>
        <w:keepLines w:val="0"/>
        <w:pageBreakBefore w:val="0"/>
        <w:widowControl/>
        <w:wordWrap/>
        <w:overflowPunct/>
        <w:topLinePunct w:val="0"/>
        <w:bidi w:val="0"/>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一是加</w:t>
      </w:r>
      <w:r>
        <w:rPr>
          <w:rFonts w:hint="default" w:ascii="Times New Roman" w:hAnsi="Times New Roman" w:eastAsia="仿宋_GB2312" w:cs="Times New Roman"/>
          <w:sz w:val="32"/>
          <w:szCs w:val="32"/>
        </w:rPr>
        <w:t>强财务核算工作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提高财务的精细化管理，确保财务核算的真实、及时、准确、完整</w:t>
      </w:r>
      <w:r>
        <w:rPr>
          <w:rFonts w:hint="default" w:ascii="Times New Roman" w:hAnsi="Times New Roman" w:eastAsia="仿宋_GB2312" w:cs="Times New Roman"/>
          <w:sz w:val="32"/>
          <w:szCs w:val="32"/>
          <w:lang w:eastAsia="zh-CN"/>
        </w:rPr>
        <w:t>；</w:t>
      </w:r>
    </w:p>
    <w:p w14:paraId="33E645D6">
      <w:pPr>
        <w:keepNext w:val="0"/>
        <w:keepLines w:val="0"/>
        <w:pageBreakBefore w:val="0"/>
        <w:widowControl/>
        <w:wordWrap/>
        <w:overflowPunct/>
        <w:topLinePunct w:val="0"/>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二是科学设置预算绩效目标。将绩效目标设置作为预算安排的前置条件，加强对绩效目标设置的审核，合理细化、量化预算绩效指标</w:t>
      </w:r>
      <w:r>
        <w:rPr>
          <w:rFonts w:hint="eastAsia" w:ascii="Times New Roman" w:hAnsi="Times New Roman" w:eastAsia="仿宋_GB2312" w:cs="Times New Roman"/>
          <w:sz w:val="32"/>
          <w:szCs w:val="32"/>
          <w:lang w:val="en-US" w:eastAsia="zh-CN"/>
        </w:rPr>
        <w:t>；</w:t>
      </w:r>
    </w:p>
    <w:p w14:paraId="0484590A">
      <w:pPr>
        <w:keepNext w:val="0"/>
        <w:keepLines w:val="0"/>
        <w:pageBreakBefore w:val="0"/>
        <w:widowControl/>
        <w:wordWrap/>
        <w:overflowPunct/>
        <w:topLinePunct w:val="0"/>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三是加强项目开展进度的跟踪，及时开展项目绩效评价，确保项目绩效目标的完成。</w:t>
      </w:r>
    </w:p>
    <w:p w14:paraId="47BCC704">
      <w:pPr>
        <w:keepNext w:val="0"/>
        <w:keepLines w:val="0"/>
        <w:pageBreakBefore w:val="0"/>
        <w:widowControl/>
        <w:wordWrap/>
        <w:overflowPunct/>
        <w:topLinePunct w:val="0"/>
        <w:bidi w:val="0"/>
        <w:spacing w:line="60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本单位绩效自评结果为优。无其他需要说明的情况。</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310B5"/>
    <w:multiLevelType w:val="singleLevel"/>
    <w:tmpl w:val="FDC310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NDIyZGM3OWMwNTg0Nzc0YjJhOTE5YjFlYWNmNTEifQ=="/>
  </w:docVars>
  <w:rsids>
    <w:rsidRoot w:val="00000000"/>
    <w:rsid w:val="0E595ED6"/>
    <w:rsid w:val="0E643BC1"/>
    <w:rsid w:val="15A81C39"/>
    <w:rsid w:val="15BF56EC"/>
    <w:rsid w:val="18A701A3"/>
    <w:rsid w:val="195A1EDE"/>
    <w:rsid w:val="1A1D09C7"/>
    <w:rsid w:val="1A616FE2"/>
    <w:rsid w:val="1F9359FB"/>
    <w:rsid w:val="217A5B78"/>
    <w:rsid w:val="222861A6"/>
    <w:rsid w:val="25E25630"/>
    <w:rsid w:val="28F33BD2"/>
    <w:rsid w:val="2B2142FB"/>
    <w:rsid w:val="2C771EB1"/>
    <w:rsid w:val="2DD90EBD"/>
    <w:rsid w:val="33F86541"/>
    <w:rsid w:val="35CB6416"/>
    <w:rsid w:val="35FC75B3"/>
    <w:rsid w:val="383513E6"/>
    <w:rsid w:val="3AF410E4"/>
    <w:rsid w:val="40ED6D01"/>
    <w:rsid w:val="45056E81"/>
    <w:rsid w:val="4B4334AB"/>
    <w:rsid w:val="518E70C9"/>
    <w:rsid w:val="5403276E"/>
    <w:rsid w:val="54C57A37"/>
    <w:rsid w:val="55524BDB"/>
    <w:rsid w:val="591B3A1C"/>
    <w:rsid w:val="5B063975"/>
    <w:rsid w:val="5B35002B"/>
    <w:rsid w:val="5CB84210"/>
    <w:rsid w:val="5CCE7744"/>
    <w:rsid w:val="5D5E6B65"/>
    <w:rsid w:val="6070184B"/>
    <w:rsid w:val="65BB098D"/>
    <w:rsid w:val="66682803"/>
    <w:rsid w:val="67042216"/>
    <w:rsid w:val="671456E2"/>
    <w:rsid w:val="691D5B26"/>
    <w:rsid w:val="6F0F4163"/>
    <w:rsid w:val="6F667AFB"/>
    <w:rsid w:val="6FCA62DC"/>
    <w:rsid w:val="71D97200"/>
    <w:rsid w:val="75662603"/>
    <w:rsid w:val="779D60E5"/>
    <w:rsid w:val="7C3D3992"/>
    <w:rsid w:val="7D2A660C"/>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453</Words>
  <Characters>458</Characters>
  <Lines>0</Lines>
  <Paragraphs>0</Paragraphs>
  <TotalTime>10</TotalTime>
  <ScaleCrop>false</ScaleCrop>
  <LinksUpToDate>false</LinksUpToDate>
  <CharactersWithSpaces>458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钟亚备</cp:lastModifiedBy>
  <dcterms:modified xsi:type="dcterms:W3CDTF">2024-09-09T09:14:11Z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DEC29D6FF1984251977FAFE43F2C91AB_12</vt:lpwstr>
  </property>
</Properties>
</file>