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93" w:rsidRDefault="004900CA">
      <w:pPr>
        <w:spacing w:line="6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部门整体支出绩效自评报告</w:t>
      </w:r>
    </w:p>
    <w:p w:rsidR="000D4193" w:rsidRDefault="004900CA">
      <w:pPr>
        <w:numPr>
          <w:ilvl w:val="0"/>
          <w:numId w:val="1"/>
        </w:num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预算单位基本情况</w:t>
      </w:r>
    </w:p>
    <w:p w:rsidR="000D4193" w:rsidRDefault="004900CA">
      <w:pPr>
        <w:numPr>
          <w:ilvl w:val="0"/>
          <w:numId w:val="2"/>
        </w:numPr>
        <w:snapToGrid w:val="0"/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主要职能</w:t>
      </w:r>
    </w:p>
    <w:p w:rsidR="000D4193" w:rsidRDefault="004900CA">
      <w:pPr>
        <w:pStyle w:val="a3"/>
        <w:widowControl/>
        <w:spacing w:after="2" w:line="240" w:lineRule="atLeast"/>
        <w:ind w:firstLine="641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财务部门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保障人员经费发放。</w:t>
      </w:r>
    </w:p>
    <w:p w:rsidR="000D4193" w:rsidRDefault="004900CA">
      <w:pPr>
        <w:pStyle w:val="a3"/>
        <w:widowControl/>
        <w:spacing w:after="2" w:line="240" w:lineRule="atLeast"/>
        <w:ind w:firstLine="641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总务部门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高度重视安全、消防、财务、人事等工作，积极谋划，防范风险，确保学校教育教学正常运行、高效运行。</w:t>
      </w:r>
    </w:p>
    <w:p w:rsidR="000D4193" w:rsidRDefault="004900CA">
      <w:pPr>
        <w:pStyle w:val="a3"/>
        <w:widowControl/>
        <w:spacing w:after="2" w:line="240" w:lineRule="atLeast"/>
        <w:ind w:firstLine="641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教学部门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加强教师培训，积极开展教学和学法研究，整体提升教育教学水平，促进教师专业发展。</w:t>
      </w:r>
    </w:p>
    <w:p w:rsidR="000D4193" w:rsidRDefault="004900CA">
      <w:pPr>
        <w:snapToGrid w:val="0"/>
        <w:spacing w:line="240" w:lineRule="atLeast"/>
        <w:ind w:firstLineChars="100" w:firstLine="28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（二）机构情况</w:t>
      </w:r>
    </w:p>
    <w:p w:rsidR="000D4193" w:rsidRDefault="004900CA">
      <w:pPr>
        <w:pStyle w:val="msolistparagraph0"/>
        <w:widowControl/>
        <w:spacing w:line="240" w:lineRule="atLeast"/>
        <w:ind w:left="0" w:firstLineChars="200" w:firstLine="56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株洲市</w:t>
      </w:r>
      <w:proofErr w:type="gramStart"/>
      <w:r>
        <w:rPr>
          <w:rFonts w:cs="宋体"/>
          <w:color w:val="000000"/>
          <w:sz w:val="28"/>
          <w:szCs w:val="28"/>
        </w:rPr>
        <w:t>渌</w:t>
      </w:r>
      <w:proofErr w:type="gramEnd"/>
      <w:r>
        <w:rPr>
          <w:rFonts w:cs="宋体"/>
          <w:color w:val="000000"/>
          <w:sz w:val="28"/>
          <w:szCs w:val="28"/>
        </w:rPr>
        <w:t>口区育红小学内设部门3</w:t>
      </w:r>
      <w:r>
        <w:rPr>
          <w:rFonts w:cs="宋体"/>
          <w:color w:val="000000"/>
          <w:sz w:val="28"/>
          <w:szCs w:val="28"/>
        </w:rPr>
        <w:t>个包括：德育</w:t>
      </w:r>
      <w:r>
        <w:rPr>
          <w:rFonts w:cs="宋体"/>
          <w:color w:val="000000"/>
          <w:sz w:val="28"/>
          <w:szCs w:val="28"/>
        </w:rPr>
        <w:t>部门，教学部门,后勤部门</w:t>
      </w:r>
      <w:r>
        <w:rPr>
          <w:rFonts w:cs="宋体"/>
          <w:color w:val="000000"/>
          <w:sz w:val="28"/>
          <w:szCs w:val="28"/>
        </w:rPr>
        <w:t>。本部门共有编制人数111</w:t>
      </w:r>
      <w:r>
        <w:rPr>
          <w:rFonts w:cs="宋体"/>
          <w:color w:val="000000"/>
          <w:sz w:val="28"/>
          <w:szCs w:val="28"/>
        </w:rPr>
        <w:t>人</w:t>
      </w:r>
      <w:r>
        <w:rPr>
          <w:rFonts w:cs="宋体"/>
          <w:color w:val="000000"/>
          <w:sz w:val="28"/>
          <w:szCs w:val="28"/>
        </w:rPr>
        <w:t>,</w:t>
      </w:r>
      <w:r>
        <w:rPr>
          <w:rFonts w:cs="宋体"/>
          <w:color w:val="000000"/>
          <w:sz w:val="28"/>
          <w:szCs w:val="28"/>
        </w:rPr>
        <w:t>实有人数</w:t>
      </w:r>
      <w:r>
        <w:rPr>
          <w:rFonts w:cs="宋体"/>
          <w:color w:val="000000"/>
          <w:sz w:val="28"/>
          <w:szCs w:val="28"/>
        </w:rPr>
        <w:t>111</w:t>
      </w:r>
      <w:r>
        <w:rPr>
          <w:rFonts w:cs="宋体"/>
          <w:color w:val="000000"/>
          <w:sz w:val="28"/>
          <w:szCs w:val="28"/>
        </w:rPr>
        <w:t>人。</w:t>
      </w:r>
    </w:p>
    <w:p w:rsidR="000D4193" w:rsidRDefault="004900CA">
      <w:pPr>
        <w:pStyle w:val="msolistparagraph0"/>
        <w:widowControl/>
        <w:numPr>
          <w:ilvl w:val="0"/>
          <w:numId w:val="1"/>
        </w:numPr>
        <w:spacing w:line="240" w:lineRule="atLeast"/>
        <w:ind w:left="0"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一般公共预算支出情况</w:t>
      </w:r>
    </w:p>
    <w:p w:rsidR="000D4193" w:rsidRDefault="004900CA" w:rsidP="004900CA">
      <w:pPr>
        <w:pStyle w:val="msolistparagraph0"/>
        <w:widowControl/>
        <w:spacing w:line="240" w:lineRule="atLeast"/>
        <w:ind w:leftChars="200" w:left="420" w:firstLineChars="100" w:firstLine="280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2023</w:t>
      </w:r>
      <w:r>
        <w:rPr>
          <w:rFonts w:cs="宋体"/>
          <w:color w:val="000000"/>
          <w:sz w:val="28"/>
          <w:szCs w:val="28"/>
        </w:rPr>
        <w:t>年度财政拨款基本支出2464.11</w:t>
      </w:r>
      <w:r>
        <w:rPr>
          <w:rFonts w:cs="宋体"/>
          <w:color w:val="000000"/>
          <w:sz w:val="28"/>
          <w:szCs w:val="28"/>
        </w:rPr>
        <w:t>万元，其中：</w:t>
      </w:r>
    </w:p>
    <w:p w:rsidR="000D4193" w:rsidRDefault="004900CA">
      <w:pPr>
        <w:pStyle w:val="a3"/>
        <w:widowControl/>
        <w:spacing w:before="100" w:after="100"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人员经费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1,769.14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占基本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支出的71.8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%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主要包括：基本工资、奖金、绩效工资、机关事业单位基本养老保险缴费、职工基本医疗保险缴费、其他社会保障缴费、住房公积金、医疗费、其他工资福利支出、抚恤金、生活补助、助学金、其他对个人和家庭的补助。</w:t>
      </w:r>
    </w:p>
    <w:p w:rsidR="000D4193" w:rsidRDefault="004900CA">
      <w:pPr>
        <w:pStyle w:val="a3"/>
        <w:widowControl/>
        <w:spacing w:before="100" w:after="100"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公用经费190.32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万元，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占基本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支出的7.7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%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，主要包括：办公设备购置、专用设备购置、办公费、印刷费、水费、电费、维修（护）费、培训费、劳务费、工会经费、福利费、其他商品和服务支出。</w:t>
      </w:r>
    </w:p>
    <w:p w:rsidR="000D4193" w:rsidRDefault="004900CA" w:rsidP="004900CA">
      <w:pPr>
        <w:pStyle w:val="msolistparagraph0"/>
        <w:widowControl/>
        <w:spacing w:line="240" w:lineRule="atLeast"/>
        <w:ind w:leftChars="304" w:left="638" w:firstLineChars="52" w:firstLine="146"/>
        <w:rPr>
          <w:rFonts w:cs="宋体" w:hint="default"/>
          <w:sz w:val="28"/>
          <w:szCs w:val="28"/>
        </w:rPr>
      </w:pPr>
      <w:r>
        <w:rPr>
          <w:rFonts w:cs="宋体"/>
          <w:sz w:val="28"/>
          <w:szCs w:val="28"/>
        </w:rPr>
        <w:t>（二）项目支出情况</w:t>
      </w:r>
      <w:bookmarkStart w:id="0" w:name="_GoBack"/>
      <w:bookmarkEnd w:id="0"/>
    </w:p>
    <w:p w:rsidR="000D4193" w:rsidRDefault="004900CA">
      <w:p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无</w:t>
      </w:r>
    </w:p>
    <w:p w:rsidR="000D4193" w:rsidRDefault="004900CA">
      <w:pPr>
        <w:numPr>
          <w:ilvl w:val="0"/>
          <w:numId w:val="1"/>
        </w:num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lastRenderedPageBreak/>
        <w:t>部门整体支出绩效情况</w:t>
      </w:r>
    </w:p>
    <w:p w:rsidR="000D4193" w:rsidRDefault="004900CA" w:rsidP="004900CA">
      <w:pPr>
        <w:spacing w:line="240" w:lineRule="atLeast"/>
        <w:ind w:leftChars="200" w:left="420"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株洲市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ar"/>
        </w:rPr>
        <w:t>渌</w:t>
      </w:r>
      <w:proofErr w:type="gramEnd"/>
      <w:r>
        <w:rPr>
          <w:rFonts w:ascii="宋体" w:eastAsia="宋体" w:hAnsi="宋体" w:cs="宋体" w:hint="eastAsia"/>
          <w:sz w:val="28"/>
          <w:szCs w:val="28"/>
          <w:lang w:bidi="ar"/>
        </w:rPr>
        <w:t>口区育红小学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严格遵守各项财经纪律，加强学校财务管理工作，制定了相关规章制度，加强和细化了预算编制，严格按照预算执行，确保财务收支平衡，保障学校工作正常开展和教育教学目标的完成</w:t>
      </w:r>
    </w:p>
    <w:p w:rsidR="000D4193" w:rsidRDefault="004900CA">
      <w:p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四、</w:t>
      </w:r>
      <w:r>
        <w:rPr>
          <w:rFonts w:ascii="宋体" w:eastAsia="宋体" w:hAnsi="宋体" w:cs="宋体" w:hint="eastAsia"/>
          <w:sz w:val="28"/>
          <w:szCs w:val="28"/>
        </w:rPr>
        <w:t>存在的问题及原因分析</w:t>
      </w:r>
    </w:p>
    <w:p w:rsidR="004900CA" w:rsidRDefault="004900CA" w:rsidP="004900CA">
      <w:pPr>
        <w:pStyle w:val="msolistparagraph0"/>
        <w:widowControl/>
        <w:spacing w:line="240" w:lineRule="atLeast"/>
        <w:ind w:leftChars="100" w:left="210" w:firstLineChars="200" w:firstLine="560"/>
        <w:rPr>
          <w:rFonts w:cs="宋体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1</w:t>
      </w:r>
      <w:r>
        <w:rPr>
          <w:rFonts w:cs="宋体"/>
          <w:color w:val="000000"/>
          <w:sz w:val="28"/>
          <w:szCs w:val="28"/>
        </w:rPr>
        <w:t>、对预算绩效评价的关注度不足，无法满足绩效管理工作的发展要求。</w:t>
      </w:r>
    </w:p>
    <w:p w:rsidR="000D4193" w:rsidRDefault="004900CA" w:rsidP="004900CA">
      <w:pPr>
        <w:pStyle w:val="msolistparagraph0"/>
        <w:widowControl/>
        <w:spacing w:line="240" w:lineRule="atLeast"/>
        <w:ind w:leftChars="100" w:left="210" w:firstLineChars="50" w:firstLine="140"/>
        <w:rPr>
          <w:rFonts w:cs="宋体" w:hint="default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 xml:space="preserve">   </w:t>
      </w:r>
      <w:r>
        <w:rPr>
          <w:rFonts w:cs="宋体"/>
          <w:color w:val="000000"/>
          <w:sz w:val="28"/>
          <w:szCs w:val="28"/>
        </w:rPr>
        <w:t>2</w:t>
      </w:r>
      <w:r>
        <w:rPr>
          <w:rFonts w:cs="宋体"/>
          <w:color w:val="000000"/>
          <w:sz w:val="28"/>
          <w:szCs w:val="28"/>
        </w:rPr>
        <w:t>、预算绩效专业人员欠缺乏，导致预算绩效管理工作不能有效控制。</w:t>
      </w:r>
    </w:p>
    <w:p w:rsidR="000D4193" w:rsidRDefault="004900CA">
      <w:p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五、下一步改进措施</w:t>
      </w:r>
    </w:p>
    <w:p w:rsidR="000D4193" w:rsidRDefault="004900CA">
      <w:pPr>
        <w:tabs>
          <w:tab w:val="left" w:pos="7560"/>
        </w:tabs>
        <w:adjustRightInd w:val="0"/>
        <w:snapToGrid w:val="0"/>
        <w:spacing w:line="24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规范财务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收支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管理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督促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进一步对完善财务管理制度，规范资金支出，同时加强项目过程管理。</w:t>
      </w:r>
    </w:p>
    <w:p w:rsidR="000D4193" w:rsidRDefault="004900CA">
      <w:pPr>
        <w:numPr>
          <w:ilvl w:val="0"/>
          <w:numId w:val="3"/>
        </w:numPr>
        <w:spacing w:line="240" w:lineRule="atLeast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绩效自评结果拟应用和公开情况</w:t>
      </w:r>
    </w:p>
    <w:p w:rsidR="000D4193" w:rsidRDefault="004900CA">
      <w:pPr>
        <w:spacing w:line="24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绩效自评结果良好，所有项目信息在学校公开，接受互联网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监督和社会监督。</w:t>
      </w:r>
    </w:p>
    <w:sectPr w:rsidR="000D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100"/>
    <w:multiLevelType w:val="singleLevel"/>
    <w:tmpl w:val="DAE3E10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GJmYzU2Mzk1NmUwNzY5NWQwYThkMTc0ODE5YzIifQ=="/>
  </w:docVars>
  <w:rsids>
    <w:rsidRoot w:val="6BAF335A"/>
    <w:rsid w:val="000D4193"/>
    <w:rsid w:val="004900CA"/>
    <w:rsid w:val="3B0501DD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customStyle="1" w:styleId="msolistparagraph0">
    <w:name w:val="msolistparagraph"/>
    <w:basedOn w:val="a"/>
    <w:qFormat/>
    <w:pPr>
      <w:ind w:left="1079" w:hanging="309"/>
    </w:pPr>
    <w:rPr>
      <w:rFonts w:ascii="宋体" w:eastAsia="宋体" w:hAnsi="宋体" w:cs="Times New Roman" w:hint="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争飞</dc:creator>
  <cp:lastModifiedBy>Administrator</cp:lastModifiedBy>
  <cp:revision>2</cp:revision>
  <dcterms:created xsi:type="dcterms:W3CDTF">2024-09-19T01:44:00Z</dcterms:created>
  <dcterms:modified xsi:type="dcterms:W3CDTF">2024-09-19T01:44:00Z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F03EBB1DB34D43308DE0F0353DAD4A7C_13</vt:lpwstr>
  </property>
</Properties>
</file>