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tbl>
      <w:tblPr>
        <w:tblStyle w:val="3"/>
        <w:tblpPr w:leftFromText="180" w:rightFromText="180" w:vertAnchor="text" w:horzAnchor="page" w:tblpX="1185" w:tblpY="314"/>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090"/>
        <w:gridCol w:w="1215"/>
        <w:gridCol w:w="1069"/>
        <w:gridCol w:w="1102"/>
        <w:gridCol w:w="769"/>
        <w:gridCol w:w="83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45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湾塘110KV变电站项目建设缺口资金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2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0"/>
                <w:szCs w:val="20"/>
                <w:lang w:val="en-US" w:eastAsia="zh-CN" w:bidi="ar"/>
              </w:rPr>
              <w:t>区住房和城乡建设局</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0"/>
                <w:szCs w:val="20"/>
                <w:lang w:val="en-US" w:eastAsia="zh-CN" w:bidi="ar"/>
              </w:rPr>
              <w:t>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bookmarkStart w:id="0" w:name="_GoBack"/>
            <w:bookmarkEnd w:id="0"/>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208</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208</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建设完善和维护城市建设项目　　</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建设完善和维护城市建设项目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项目主体工程占地面积</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4352</w:t>
            </w: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4352</w:t>
            </w:r>
            <w:r>
              <w:rPr>
                <w:rFonts w:hint="eastAsia" w:ascii="宋体" w:hAnsi="宋体" w:eastAsia="宋体" w:cs="宋体"/>
                <w:i w:val="0"/>
                <w:iCs w:val="0"/>
                <w:color w:val="000000"/>
                <w:kern w:val="0"/>
                <w:sz w:val="18"/>
                <w:szCs w:val="18"/>
                <w:u w:val="none"/>
                <w:lang w:val="en-US" w:eastAsia="zh-CN" w:bidi="ar"/>
              </w:rPr>
              <w:t>㎡</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质量达标率</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相关质量要求</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建设工期</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120天</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120天</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资金到位率</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208万元</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208万元</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无</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无</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无</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8"/>
                <w:szCs w:val="18"/>
                <w:lang w:val="en-US" w:eastAsia="zh-CN"/>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城市建设</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提升城市形象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城市建设</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无</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无</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无</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无</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无</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无</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满意度</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≥95%</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仿宋" w:hAnsi="仿宋" w:eastAsia="仿宋" w:cs="仿宋"/>
                <w:i w:val="0"/>
                <w:iCs w:val="0"/>
                <w:color w:val="000000"/>
                <w:kern w:val="0"/>
                <w:sz w:val="18"/>
                <w:szCs w:val="18"/>
                <w:u w:val="none"/>
                <w:lang w:val="en-US" w:eastAsia="zh-CN" w:bidi="ar"/>
              </w:rPr>
              <w:t>≥95%</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5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w:t>
      </w:r>
      <w:r>
        <w:rPr>
          <w:rFonts w:hint="eastAsia" w:ascii="Times New Roman" w:hAnsi="Times New Roman" w:eastAsia="仿宋_GB2312" w:cs="Times New Roman"/>
          <w:kern w:val="0"/>
          <w:sz w:val="21"/>
          <w:szCs w:val="21"/>
          <w:lang w:val="en-US" w:eastAsia="zh-CN" w:bidi="ar"/>
        </w:rPr>
        <w:t>区住建局</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罗卓彦   </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17347335628</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2024.04.17</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 w:val="21"/>
          <w:szCs w:val="21"/>
          <w:lang w:val="en-US" w:eastAsia="zh-CN" w:bidi="ar"/>
        </w:rPr>
      </w:pPr>
    </w:p>
    <w:p>
      <w:pPr>
        <w:pStyle w:val="2"/>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pPr>
        <w:pStyle w:val="2"/>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pPr>
        <w:pStyle w:val="2"/>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湾塘</w:t>
      </w:r>
      <w:r>
        <w:rPr>
          <w:rFonts w:hint="eastAsia" w:ascii="方正小标宋_GBK" w:hAnsi="方正小标宋_GBK" w:eastAsia="方正小标宋_GBK" w:cs="方正小标宋_GBK"/>
          <w:bCs/>
          <w:w w:val="95"/>
          <w:sz w:val="44"/>
          <w:szCs w:val="44"/>
          <w:lang w:val="en-US" w:eastAsia="zh-CN"/>
        </w:rPr>
        <w:t>110千伏输变电配套附属工程</w:t>
      </w:r>
      <w:r>
        <w:rPr>
          <w:rFonts w:hint="eastAsia" w:ascii="方正小标宋_GBK" w:hAnsi="方正小标宋_GBK" w:eastAsia="方正小标宋_GBK" w:cs="方正小标宋_GBK"/>
          <w:bCs/>
          <w:w w:val="95"/>
          <w:sz w:val="44"/>
          <w:szCs w:val="44"/>
          <w:lang w:eastAsia="zh-CN"/>
        </w:rPr>
        <w:t>项目支出绩效自评报告</w:t>
      </w:r>
    </w:p>
    <w:p>
      <w:pPr>
        <w:pStyle w:val="5"/>
        <w:widowControl/>
        <w:numPr>
          <w:ilvl w:val="0"/>
          <w:numId w:val="1"/>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绩效自评工作开展情况</w:t>
      </w:r>
    </w:p>
    <w:p>
      <w:pPr>
        <w:pStyle w:val="5"/>
        <w:widowControl/>
        <w:numPr>
          <w:ilvl w:val="0"/>
          <w:numId w:val="0"/>
        </w:numPr>
        <w:spacing w:line="600" w:lineRule="exact"/>
        <w:ind w:right="0" w:rightChars="0" w:firstLine="576" w:firstLineChars="200"/>
        <w:rPr>
          <w:rFonts w:hint="eastAsia" w:ascii="仿宋" w:hAnsi="仿宋" w:eastAsia="仿宋" w:cs="仿宋"/>
          <w:w w:val="90"/>
          <w:sz w:val="32"/>
          <w:szCs w:val="32"/>
          <w:lang w:val="en-US"/>
        </w:rPr>
      </w:pPr>
      <w:r>
        <w:rPr>
          <w:rFonts w:hint="eastAsia" w:ascii="仿宋" w:hAnsi="仿宋" w:eastAsia="仿宋" w:cs="仿宋"/>
          <w:w w:val="90"/>
          <w:sz w:val="32"/>
          <w:szCs w:val="32"/>
          <w:lang w:eastAsia="zh-CN"/>
        </w:rPr>
        <w:t>湖南株洲株洲县湾塘</w:t>
      </w:r>
      <w:r>
        <w:rPr>
          <w:rFonts w:hint="eastAsia" w:ascii="仿宋" w:hAnsi="仿宋" w:eastAsia="仿宋" w:cs="仿宋"/>
          <w:w w:val="90"/>
          <w:sz w:val="32"/>
          <w:szCs w:val="32"/>
          <w:lang w:val="en-US" w:eastAsia="zh-CN"/>
        </w:rPr>
        <w:t>110千伏输变电配套附属工程</w:t>
      </w:r>
      <w:r>
        <w:rPr>
          <w:rFonts w:hint="eastAsia" w:ascii="仿宋" w:hAnsi="仿宋" w:eastAsia="仿宋" w:cs="仿宋"/>
          <w:w w:val="90"/>
          <w:sz w:val="32"/>
          <w:szCs w:val="32"/>
          <w:lang w:eastAsia="zh-CN"/>
        </w:rPr>
        <w:t>项目建设工期120天(2022 年03月动工，2022年06月竣工）。资金来源为区政府财政投入。</w:t>
      </w:r>
    </w:p>
    <w:p>
      <w:pPr>
        <w:pStyle w:val="5"/>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5"/>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5"/>
        <w:widowControl/>
        <w:numPr>
          <w:ilvl w:val="0"/>
          <w:numId w:val="2"/>
        </w:numPr>
        <w:tabs>
          <w:tab w:val="left" w:pos="1080"/>
        </w:tabs>
        <w:spacing w:line="600" w:lineRule="exact"/>
        <w:ind w:hanging="329"/>
        <w:jc w:val="left"/>
        <w:rPr>
          <w:rFonts w:hint="eastAsia" w:ascii="仿宋" w:hAnsi="仿宋" w:eastAsia="仿宋" w:cs="仿宋"/>
          <w:sz w:val="32"/>
          <w:szCs w:val="32"/>
          <w:lang w:val="en-US"/>
        </w:rPr>
      </w:pPr>
      <w:r>
        <w:rPr>
          <w:rFonts w:hint="eastAsia" w:ascii="仿宋" w:hAnsi="仿宋" w:eastAsia="仿宋" w:cs="仿宋"/>
          <w:w w:val="90"/>
          <w:sz w:val="32"/>
          <w:szCs w:val="32"/>
          <w:lang w:eastAsia="zh-CN"/>
        </w:rPr>
        <w:t>项目资金到位情况分析。</w:t>
      </w:r>
    </w:p>
    <w:p>
      <w:pPr>
        <w:pStyle w:val="5"/>
        <w:widowControl/>
        <w:numPr>
          <w:ilvl w:val="0"/>
          <w:numId w:val="0"/>
        </w:numPr>
        <w:tabs>
          <w:tab w:val="left" w:pos="1080"/>
        </w:tabs>
        <w:spacing w:line="600" w:lineRule="exact"/>
        <w:ind w:left="750" w:leftChars="0" w:right="0" w:rightChars="0"/>
        <w:jc w:val="left"/>
        <w:rPr>
          <w:rFonts w:hint="eastAsia" w:ascii="仿宋" w:hAnsi="仿宋" w:eastAsia="仿宋" w:cs="仿宋"/>
          <w:sz w:val="32"/>
          <w:szCs w:val="32"/>
          <w:lang w:val="en-US" w:eastAsia="zh-CN"/>
        </w:rPr>
      </w:pPr>
      <w:r>
        <w:rPr>
          <w:rFonts w:hint="eastAsia" w:ascii="仿宋" w:hAnsi="仿宋" w:eastAsia="仿宋" w:cs="仿宋"/>
          <w:bCs/>
          <w:w w:val="90"/>
          <w:sz w:val="32"/>
          <w:szCs w:val="32"/>
        </w:rPr>
        <w:t>项目</w:t>
      </w:r>
      <w:r>
        <w:rPr>
          <w:rFonts w:hint="eastAsia" w:ascii="仿宋" w:hAnsi="仿宋" w:eastAsia="仿宋" w:cs="仿宋"/>
          <w:sz w:val="32"/>
          <w:szCs w:val="32"/>
        </w:rPr>
        <w:t>全年累计支付</w:t>
      </w:r>
      <w:r>
        <w:rPr>
          <w:rFonts w:hint="eastAsia" w:ascii="仿宋" w:hAnsi="仿宋" w:eastAsia="仿宋" w:cs="仿宋"/>
          <w:sz w:val="32"/>
          <w:szCs w:val="32"/>
          <w:lang w:val="en-US" w:eastAsia="zh-CN"/>
        </w:rPr>
        <w:t>208</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5"/>
        <w:widowControl/>
        <w:numPr>
          <w:ilvl w:val="0"/>
          <w:numId w:val="2"/>
        </w:numPr>
        <w:tabs>
          <w:tab w:val="left" w:pos="1080"/>
        </w:tabs>
        <w:spacing w:line="600" w:lineRule="exact"/>
        <w:ind w:hanging="306"/>
        <w:jc w:val="left"/>
        <w:rPr>
          <w:rFonts w:hint="eastAsia" w:ascii="仿宋" w:hAnsi="仿宋" w:eastAsia="仿宋" w:cs="仿宋"/>
          <w:sz w:val="32"/>
          <w:szCs w:val="32"/>
          <w:lang w:val="en-US"/>
        </w:rPr>
      </w:pPr>
      <w:r>
        <w:rPr>
          <w:rFonts w:hint="eastAsia" w:ascii="仿宋" w:hAnsi="仿宋" w:eastAsia="仿宋" w:cs="仿宋"/>
          <w:w w:val="90"/>
          <w:sz w:val="32"/>
          <w:szCs w:val="32"/>
          <w:lang w:eastAsia="zh-CN"/>
        </w:rPr>
        <w:t>项目资金执行情况分析。</w:t>
      </w:r>
    </w:p>
    <w:p>
      <w:pPr>
        <w:pStyle w:val="5"/>
        <w:widowControl/>
        <w:numPr>
          <w:ilvl w:val="0"/>
          <w:numId w:val="0"/>
        </w:numPr>
        <w:tabs>
          <w:tab w:val="left" w:pos="1080"/>
        </w:tabs>
        <w:spacing w:line="600" w:lineRule="exact"/>
        <w:ind w:right="0" w:rightChars="0" w:firstLine="864" w:firstLineChars="300"/>
        <w:jc w:val="left"/>
        <w:rPr>
          <w:rFonts w:hint="eastAsia" w:ascii="仿宋" w:hAnsi="仿宋" w:eastAsia="仿宋" w:cs="仿宋"/>
          <w:sz w:val="32"/>
          <w:szCs w:val="32"/>
          <w:lang w:val="en-US"/>
        </w:rPr>
      </w:pPr>
      <w:r>
        <w:rPr>
          <w:rFonts w:hint="eastAsia" w:ascii="仿宋" w:hAnsi="仿宋" w:eastAsia="仿宋" w:cs="仿宋"/>
          <w:w w:val="90"/>
          <w:sz w:val="32"/>
          <w:szCs w:val="32"/>
          <w:lang w:eastAsia="zh-CN"/>
        </w:rPr>
        <w:t>资金来源为区政府财政投入，</w:t>
      </w:r>
      <w:r>
        <w:rPr>
          <w:rFonts w:hint="eastAsia" w:ascii="仿宋" w:hAnsi="仿宋" w:eastAsia="仿宋" w:cs="仿宋"/>
          <w:sz w:val="32"/>
          <w:szCs w:val="32"/>
        </w:rPr>
        <w:t>截止202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年12月31日全年累计支付</w:t>
      </w:r>
      <w:r>
        <w:rPr>
          <w:rFonts w:hint="eastAsia" w:ascii="仿宋" w:hAnsi="仿宋" w:eastAsia="仿宋" w:cs="仿宋"/>
          <w:sz w:val="32"/>
          <w:szCs w:val="32"/>
          <w:lang w:val="en-US" w:eastAsia="zh-CN"/>
        </w:rPr>
        <w:t>208</w:t>
      </w:r>
      <w:r>
        <w:rPr>
          <w:rFonts w:hint="eastAsia" w:ascii="仿宋" w:hAnsi="仿宋" w:eastAsia="仿宋" w:cs="仿宋"/>
          <w:sz w:val="32"/>
          <w:szCs w:val="32"/>
        </w:rPr>
        <w:t>万元。</w:t>
      </w:r>
    </w:p>
    <w:p>
      <w:pPr>
        <w:pStyle w:val="5"/>
        <w:widowControl/>
        <w:numPr>
          <w:ilvl w:val="0"/>
          <w:numId w:val="2"/>
        </w:numPr>
        <w:tabs>
          <w:tab w:val="left" w:pos="1080"/>
        </w:tabs>
        <w:spacing w:line="600" w:lineRule="exact"/>
        <w:ind w:hanging="298"/>
        <w:jc w:val="left"/>
        <w:rPr>
          <w:rFonts w:hint="eastAsia" w:ascii="仿宋" w:hAnsi="仿宋" w:eastAsia="仿宋" w:cs="仿宋"/>
          <w:sz w:val="32"/>
          <w:szCs w:val="32"/>
          <w:lang w:val="en-US"/>
        </w:rPr>
      </w:pPr>
      <w:r>
        <w:rPr>
          <w:rFonts w:hint="eastAsia" w:ascii="仿宋" w:hAnsi="仿宋" w:eastAsia="仿宋" w:cs="仿宋"/>
          <w:w w:val="90"/>
          <w:sz w:val="32"/>
          <w:szCs w:val="32"/>
          <w:lang w:eastAsia="zh-CN"/>
        </w:rPr>
        <w:t>项目资金管理情况分析。</w:t>
      </w:r>
    </w:p>
    <w:p>
      <w:pPr>
        <w:pStyle w:val="5"/>
        <w:widowControl/>
        <w:numPr>
          <w:ilvl w:val="0"/>
          <w:numId w:val="0"/>
        </w:numPr>
        <w:tabs>
          <w:tab w:val="left" w:pos="1080"/>
        </w:tabs>
        <w:spacing w:line="600" w:lineRule="exact"/>
        <w:ind w:right="0" w:rightChars="0" w:firstLine="864" w:firstLineChars="300"/>
        <w:jc w:val="left"/>
        <w:rPr>
          <w:rFonts w:hint="eastAsia" w:ascii="仿宋" w:hAnsi="仿宋" w:eastAsia="仿宋" w:cs="仿宋"/>
          <w:sz w:val="32"/>
          <w:szCs w:val="32"/>
          <w:lang w:val="en-US"/>
        </w:rPr>
      </w:pPr>
      <w:r>
        <w:rPr>
          <w:rFonts w:hint="eastAsia" w:ascii="仿宋" w:hAnsi="仿宋" w:eastAsia="仿宋" w:cs="仿宋"/>
          <w:w w:val="90"/>
          <w:sz w:val="32"/>
          <w:szCs w:val="32"/>
          <w:lang w:eastAsia="zh-CN"/>
        </w:rPr>
        <w:t>本项目严格控制工程量变更，对不达进度、不合质量标准的工程坚决不予验收和拨付资金。</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5"/>
        <w:widowControl/>
        <w:numPr>
          <w:ilvl w:val="0"/>
          <w:numId w:val="3"/>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2"/>
        <w:widowControl/>
        <w:spacing w:line="600" w:lineRule="exact"/>
        <w:ind w:firstLine="608"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5"/>
          <w:sz w:val="32"/>
          <w:szCs w:val="32"/>
          <w:lang w:eastAsia="zh-CN"/>
        </w:rPr>
        <w:t>项目总投资为1384.33万元，其中:工程费用1210.27万元，工程建设其他费120.63万元(不含本次实施的项目配套附属工程土地费用)，预备费 53.43 万元。</w:t>
      </w:r>
    </w:p>
    <w:p>
      <w:pPr>
        <w:pStyle w:val="5"/>
        <w:widowControl/>
        <w:numPr>
          <w:ilvl w:val="0"/>
          <w:numId w:val="3"/>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pStyle w:val="2"/>
        <w:widowControl/>
        <w:spacing w:line="600" w:lineRule="exact"/>
        <w:ind w:right="129" w:firstLine="576" w:firstLineChars="200"/>
        <w:rPr>
          <w:rFonts w:hint="eastAsia" w:ascii="仿宋" w:hAnsi="仿宋" w:eastAsia="仿宋" w:cs="仿宋"/>
          <w:sz w:val="32"/>
          <w:szCs w:val="32"/>
          <w:lang w:val="en-US"/>
        </w:rPr>
      </w:pPr>
      <w:r>
        <w:rPr>
          <w:rFonts w:hint="eastAsia" w:ascii="仿宋" w:hAnsi="仿宋" w:eastAsia="仿宋" w:cs="仿宋"/>
          <w:w w:val="90"/>
          <w:sz w:val="32"/>
          <w:szCs w:val="32"/>
          <w:lang w:eastAsia="zh-CN"/>
        </w:rPr>
        <w:t>项目的建设将缓解梅子湖生态新城的用电压力，满足该区域日益增长的用电需求，加快区域经济的发展，也带动周边区域的经济提高，还能为社会创造更多的就业机会，一定程度上解决社会的就业问题，为重要的民生的福祉项目，建设意义重大，具有明显的社会效益。该项目的实施有助于当地社会的稳定与经济的健康可持续发展，受到当地政府和居民支持。项目的建设与实施不会对当地居民的生活产生负面影响，不会对当地交通、环境产生破坏作用。</w:t>
      </w:r>
    </w:p>
    <w:p>
      <w:pPr>
        <w:pStyle w:val="5"/>
        <w:widowControl/>
        <w:numPr>
          <w:ilvl w:val="0"/>
          <w:numId w:val="3"/>
        </w:numPr>
        <w:tabs>
          <w:tab w:val="left" w:pos="1164"/>
        </w:tabs>
        <w:spacing w:line="600" w:lineRule="exact"/>
        <w:ind w:left="1163" w:hanging="303"/>
        <w:jc w:val="left"/>
        <w:rPr>
          <w:rFonts w:hint="eastAsia" w:ascii="仿宋" w:hAnsi="仿宋" w:eastAsia="仿宋" w:cs="仿宋"/>
          <w:sz w:val="32"/>
          <w:szCs w:val="32"/>
          <w:lang w:val="en-US"/>
        </w:rPr>
      </w:pPr>
      <w:r>
        <w:rPr>
          <w:rFonts w:hint="eastAsia" w:ascii="仿宋" w:hAnsi="仿宋" w:eastAsia="仿宋" w:cs="仿宋"/>
          <w:sz w:val="32"/>
          <w:szCs w:val="32"/>
          <w:lang w:eastAsia="zh-CN"/>
        </w:rPr>
        <w:t>满意度指标完成情况分析。</w:t>
      </w:r>
    </w:p>
    <w:p>
      <w:pPr>
        <w:pStyle w:val="5"/>
        <w:widowControl/>
        <w:numPr>
          <w:ilvl w:val="0"/>
          <w:numId w:val="0"/>
        </w:numPr>
        <w:tabs>
          <w:tab w:val="left" w:pos="1164"/>
        </w:tabs>
        <w:spacing w:line="600" w:lineRule="exact"/>
        <w:ind w:right="0" w:rightChars="0" w:firstLine="960" w:firstLineChars="300"/>
        <w:jc w:val="left"/>
        <w:rPr>
          <w:rFonts w:hint="eastAsia" w:ascii="仿宋" w:hAnsi="仿宋" w:eastAsia="仿宋" w:cs="仿宋"/>
          <w:sz w:val="32"/>
          <w:szCs w:val="32"/>
          <w:lang w:val="en-US"/>
        </w:rPr>
      </w:pPr>
      <w:r>
        <w:rPr>
          <w:rFonts w:hint="eastAsia" w:ascii="仿宋" w:hAnsi="仿宋" w:eastAsia="仿宋" w:cs="仿宋"/>
          <w:sz w:val="32"/>
          <w:szCs w:val="32"/>
          <w:lang w:val="en-US" w:eastAsia="zh-CN"/>
        </w:rPr>
        <w:t>公众满意度达到95%。</w:t>
      </w:r>
    </w:p>
    <w:p>
      <w:pPr>
        <w:pStyle w:val="5"/>
        <w:widowControl/>
        <w:numPr>
          <w:ilvl w:val="0"/>
          <w:numId w:val="4"/>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5"/>
        <w:widowControl/>
        <w:numPr>
          <w:ilvl w:val="0"/>
          <w:numId w:val="0"/>
        </w:numPr>
        <w:spacing w:line="600" w:lineRule="exact"/>
        <w:ind w:leftChars="200" w:right="0" w:rightChars="0" w:firstLine="320" w:firstLineChars="1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eastAsia" w:ascii="仿宋" w:hAnsi="仿宋" w:eastAsia="仿宋" w:cs="仿宋"/>
          <w:sz w:val="32"/>
          <w:szCs w:val="32"/>
          <w:lang w:val="en-US" w:eastAsia="zh-CN"/>
        </w:rPr>
        <w:t>全面实现绩效目标,未出现偏离绩效目标的情况。</w:t>
      </w:r>
    </w:p>
    <w:p>
      <w:pPr>
        <w:pStyle w:val="5"/>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资金及时足额到位，项目的组织管理有效；项目的产出基本达到目标，项目效果良好，项目的绩效基本实现。</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仿宋" w:hAnsi="仿宋" w:eastAsia="仿宋" w:cs="仿宋_GB2312"/>
          <w:kern w:val="0"/>
          <w:sz w:val="32"/>
          <w:szCs w:val="32"/>
        </w:rPr>
        <w:t>综上所述，项目总体自评分为“</w:t>
      </w:r>
      <w:r>
        <w:rPr>
          <w:rFonts w:hint="eastAsia" w:ascii="仿宋" w:hAnsi="仿宋" w:eastAsia="仿宋" w:cs="仿宋_GB2312"/>
          <w:kern w:val="0"/>
          <w:sz w:val="32"/>
          <w:szCs w:val="32"/>
          <w:lang w:val="en-US" w:eastAsia="zh-CN"/>
        </w:rPr>
        <w:t>95</w:t>
      </w:r>
      <w:r>
        <w:rPr>
          <w:rFonts w:hint="eastAsia" w:ascii="仿宋" w:hAnsi="仿宋" w:eastAsia="仿宋" w:cs="仿宋_GB2312"/>
          <w:kern w:val="0"/>
          <w:sz w:val="32"/>
          <w:szCs w:val="32"/>
        </w:rPr>
        <w:t>分”，自评级别为优。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8A256"/>
    <w:multiLevelType w:val="singleLevel"/>
    <w:tmpl w:val="C248A256"/>
    <w:lvl w:ilvl="0" w:tentative="0">
      <w:start w:val="1"/>
      <w:numFmt w:val="chineseCounting"/>
      <w:suff w:val="nothing"/>
      <w:lvlText w:val="%1、"/>
      <w:lvlJc w:val="left"/>
      <w:rPr>
        <w:rFonts w:hint="eastAsia"/>
      </w:rPr>
    </w:lvl>
  </w:abstractNum>
  <w:abstractNum w:abstractNumId="1">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abstractNum w:abstractNumId="3">
    <w:nsid w:val="7F31B364"/>
    <w:multiLevelType w:val="singleLevel"/>
    <w:tmpl w:val="7F31B364"/>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54AA0F06"/>
    <w:rsid w:val="068C79F0"/>
    <w:rsid w:val="0F284331"/>
    <w:rsid w:val="0FC36648"/>
    <w:rsid w:val="121E0096"/>
    <w:rsid w:val="17B9616B"/>
    <w:rsid w:val="1E2F1712"/>
    <w:rsid w:val="21747CD2"/>
    <w:rsid w:val="24F64E7A"/>
    <w:rsid w:val="285C326E"/>
    <w:rsid w:val="2A007C29"/>
    <w:rsid w:val="35D97A6E"/>
    <w:rsid w:val="374E6E42"/>
    <w:rsid w:val="3BD3519D"/>
    <w:rsid w:val="3F604F9A"/>
    <w:rsid w:val="44F24093"/>
    <w:rsid w:val="4A8A3813"/>
    <w:rsid w:val="4C526666"/>
    <w:rsid w:val="4ECE0172"/>
    <w:rsid w:val="52743188"/>
    <w:rsid w:val="54AA0F06"/>
    <w:rsid w:val="62F83658"/>
    <w:rsid w:val="66107265"/>
    <w:rsid w:val="6B6A2B79"/>
    <w:rsid w:val="6E10402A"/>
    <w:rsid w:val="6F98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customStyle="1" w:styleId="5">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2024-04-16T06:30:00Z</dcterms:created>
  <dc:creator>忘羡</dc:creator>
  <cp:lastModifiedBy>Administrator</cp:lastModifiedBy>
  <dcterms:modified xsi:type="dcterms:W3CDTF">2024-04-23T02:45:12Z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2D776C88A29F41A49E8D99DD2C7816A5_11</vt:lpwstr>
  </property>
</Properties>
</file>