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方正楷体_GBK" w:cs="Times New Roman"/>
          <w:sz w:val="32"/>
          <w:szCs w:val="32"/>
          <w:lang w:val="en-US"/>
        </w:rPr>
      </w:pPr>
      <w:r>
        <w:rPr>
          <w:rFonts w:hint="default" w:ascii="Times New Roman" w:hAnsi="Times New Roman" w:eastAsia="方正楷体_GBK" w:cs="Times New Roman"/>
          <w:kern w:val="2"/>
          <w:sz w:val="32"/>
          <w:szCs w:val="32"/>
          <w:lang w:val="en-US" w:eastAsia="zh-CN" w:bidi="ar"/>
        </w:rPr>
        <w:t>附件1</w:t>
      </w:r>
    </w:p>
    <w:p>
      <w:pPr>
        <w:keepNext w:val="0"/>
        <w:keepLines w:val="0"/>
        <w:widowControl/>
        <w:suppressLineNumbers w:val="0"/>
        <w:spacing w:before="0" w:beforeAutospacing="0" w:after="0" w:afterAutospacing="0"/>
        <w:ind w:left="0" w:right="0"/>
        <w:jc w:val="center"/>
        <w:rPr>
          <w:rFonts w:hint="eastAsia" w:ascii="方正黑体_GBK" w:hAnsi="方正黑体_GBK" w:eastAsia="方正黑体_GBK" w:cs="方正黑体_GBK"/>
          <w:kern w:val="0"/>
          <w:sz w:val="44"/>
          <w:szCs w:val="44"/>
          <w:lang w:val="en-US" w:eastAsia="zh-CN" w:bidi="ar"/>
        </w:rPr>
      </w:pPr>
      <w:r>
        <w:rPr>
          <w:rFonts w:hint="eastAsia" w:ascii="方正黑体_GBK" w:hAnsi="方正黑体_GBK" w:eastAsia="方正黑体_GBK" w:cs="方正黑体_GBK"/>
          <w:kern w:val="0"/>
          <w:sz w:val="44"/>
          <w:szCs w:val="44"/>
          <w:lang w:val="en-US" w:eastAsia="zh-CN" w:bidi="ar"/>
        </w:rPr>
        <w:t>部门整体支出绩效自评表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6"/>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88"/>
        <w:gridCol w:w="1345"/>
        <w:gridCol w:w="1358"/>
        <w:gridCol w:w="26"/>
        <w:gridCol w:w="1065"/>
        <w:gridCol w:w="26"/>
        <w:gridCol w:w="899"/>
        <w:gridCol w:w="900"/>
        <w:gridCol w:w="747"/>
        <w:gridCol w:w="862"/>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22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预算部门名称</w:t>
            </w:r>
          </w:p>
        </w:tc>
        <w:tc>
          <w:tcPr>
            <w:tcW w:w="7686"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株洲市渌口区疾病预防控制中心　</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年度预</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算申请</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7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年初</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预算数</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  预算数</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0"/>
                <w:sz w:val="21"/>
                <w:szCs w:val="21"/>
                <w:lang w:val="en-US" w:eastAsia="zh-CN" w:bidi="ar"/>
              </w:rPr>
              <w:t>年度资金总额</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855.29</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2396.99</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2396.99</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10分</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lang w:val="en-US"/>
              </w:rPr>
            </w:pPr>
            <w:r>
              <w:rPr>
                <w:rFonts w:hint="eastAsia" w:ascii="Times New Roman" w:hAnsi="Times New Roman" w:eastAsia="仿宋_GB2312" w:cs="Times New Roman"/>
                <w:szCs w:val="21"/>
                <w:lang w:val="en-US" w:eastAsia="zh-CN"/>
              </w:rPr>
              <w:t>100%</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szCs w:val="21"/>
                <w:lang w:val="en-US"/>
              </w:rPr>
            </w:pPr>
            <w:r>
              <w:rPr>
                <w:rFonts w:hint="eastAsia" w:ascii="Times New Roman" w:hAnsi="Times New Roman" w:eastAsia="仿宋_GB2312" w:cs="Times New Roman"/>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1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按收入性质分：</w:t>
            </w:r>
          </w:p>
        </w:tc>
        <w:tc>
          <w:tcPr>
            <w:tcW w:w="43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1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xml:space="preserve">  其中：  一般公共预算：</w:t>
            </w:r>
            <w:r>
              <w:rPr>
                <w:rFonts w:hint="eastAsia" w:ascii="Times New Roman" w:hAnsi="Times New Roman" w:eastAsia="仿宋_GB2312" w:cs="Times New Roman"/>
                <w:kern w:val="0"/>
                <w:sz w:val="21"/>
                <w:szCs w:val="21"/>
                <w:lang w:val="en-US" w:eastAsia="zh-CN" w:bidi="ar"/>
              </w:rPr>
              <w:t>1201.85</w:t>
            </w:r>
          </w:p>
        </w:tc>
        <w:tc>
          <w:tcPr>
            <w:tcW w:w="43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其中：基本支出：</w:t>
            </w:r>
            <w:r>
              <w:rPr>
                <w:rFonts w:hint="eastAsia" w:ascii="Times New Roman" w:hAnsi="Times New Roman" w:eastAsia="仿宋_GB2312" w:cs="Times New Roman"/>
                <w:kern w:val="0"/>
                <w:sz w:val="21"/>
                <w:szCs w:val="21"/>
                <w:lang w:val="en-US" w:eastAsia="zh-CN" w:bidi="ar"/>
              </w:rPr>
              <w:t>870.83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1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840" w:firstLineChars="4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政府性基金拨款：</w:t>
            </w:r>
          </w:p>
        </w:tc>
        <w:tc>
          <w:tcPr>
            <w:tcW w:w="43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w:t>
            </w:r>
            <w:r>
              <w:rPr>
                <w:rFonts w:hint="eastAsia" w:ascii="Times New Roman" w:hAnsi="Times New Roman" w:eastAsia="仿宋_GB2312" w:cs="Times New Roman"/>
                <w:kern w:val="0"/>
                <w:sz w:val="21"/>
                <w:szCs w:val="21"/>
                <w:lang w:val="en-US" w:eastAsia="zh-CN" w:bidi="ar"/>
              </w:rPr>
              <w:t>1526.16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1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纳入专户管理的非税收入拨款：</w:t>
            </w:r>
          </w:p>
        </w:tc>
        <w:tc>
          <w:tcPr>
            <w:tcW w:w="43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1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1470" w:firstLineChars="7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r>
              <w:rPr>
                <w:rFonts w:hint="eastAsia" w:ascii="Times New Roman" w:hAnsi="Times New Roman" w:eastAsia="仿宋_GB2312" w:cs="Times New Roman"/>
                <w:kern w:val="0"/>
                <w:sz w:val="21"/>
                <w:szCs w:val="21"/>
                <w:lang w:val="en-US" w:eastAsia="zh-CN" w:bidi="ar"/>
              </w:rPr>
              <w:t>1195.14</w:t>
            </w:r>
          </w:p>
        </w:tc>
        <w:tc>
          <w:tcPr>
            <w:tcW w:w="43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71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3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1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疾病预防控制以及公共卫生技术管理与服务，负责全区疾病预防控制、慢性病管理、免疫规划、健康教育以及对基层医疗机构开展相关业务培训等工作任务，具体承担国家基本公共卫生服务中预防接种、老年人健康管理、健康教育、慢性病管理、严重精神障碍患者管理、肺结核患者健康管理、传染病及突发公共卫生事件报告和处理等职能</w:t>
            </w:r>
            <w:r>
              <w:rPr>
                <w:rFonts w:hint="eastAsia" w:ascii="Times New Roman" w:hAnsi="Times New Roman"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　　</w:t>
            </w:r>
          </w:p>
        </w:tc>
        <w:tc>
          <w:tcPr>
            <w:tcW w:w="43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实施了疾病预防控制以及公共卫生技术管理与服务，负责了全区疾病预防控制、慢性病管理、免疫规划、健康教育以及对基层医疗机构开展相关业务培训等工作的开展，承担了国家基本公共卫生服务中预防接种、老年人健康管理、健康教育、慢性病管理、严重精神障碍患者管理、肺结核患者健康管理、传染病及突发公共卫生事件报告和处理等职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3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3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完成上述8项主要工作任务及其他工作任务</w:t>
            </w:r>
          </w:p>
        </w:tc>
        <w:tc>
          <w:tcPr>
            <w:tcW w:w="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100%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100%</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15</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15</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资金执行专款专用，资金及时支付</w:t>
            </w:r>
          </w:p>
        </w:tc>
        <w:tc>
          <w:tcPr>
            <w:tcW w:w="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100%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100%</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7.5</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2.5</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由于财政资金困难，项目资金</w:t>
            </w:r>
            <w:r>
              <w:rPr>
                <w:rFonts w:hint="eastAsia" w:ascii="Times New Roman" w:hAnsi="Times New Roman" w:eastAsia="仿宋_GB2312" w:cs="Times New Roman"/>
                <w:kern w:val="0"/>
                <w:sz w:val="21"/>
                <w:szCs w:val="21"/>
                <w:lang w:val="en-US" w:eastAsia="zh-CN" w:bidi="ar"/>
              </w:rPr>
              <w:t>支付及时率有所下降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项目实施达到考核标准</w:t>
            </w:r>
          </w:p>
        </w:tc>
        <w:tc>
          <w:tcPr>
            <w:tcW w:w="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仿宋_GB2312"/>
                <w:kern w:val="0"/>
                <w:sz w:val="21"/>
                <w:szCs w:val="21"/>
                <w:lang w:val="en-US" w:eastAsia="zh-CN" w:bidi="ar"/>
              </w:rPr>
              <w:t>100%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仿宋_GB2312"/>
                <w:kern w:val="0"/>
                <w:sz w:val="21"/>
                <w:szCs w:val="21"/>
                <w:lang w:val="en-US" w:eastAsia="zh-CN" w:bidi="ar"/>
              </w:rPr>
              <w:t>100%</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7.5</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7.5</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eastAsia="仿宋_GB2312"/>
                <w:kern w:val="0"/>
                <w:szCs w:val="21"/>
                <w:lang w:val="en-US" w:eastAsia="zh-CN"/>
              </w:rPr>
              <w:t>项目实施时间</w:t>
            </w:r>
          </w:p>
        </w:tc>
        <w:tc>
          <w:tcPr>
            <w:tcW w:w="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及时实施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100%</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10</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10</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财政经费保障</w:t>
            </w:r>
          </w:p>
        </w:tc>
        <w:tc>
          <w:tcPr>
            <w:tcW w:w="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仿宋_GB2312"/>
                <w:kern w:val="0"/>
                <w:sz w:val="21"/>
                <w:szCs w:val="21"/>
                <w:lang w:val="en-US" w:eastAsia="zh-CN" w:bidi="ar"/>
              </w:rPr>
              <w:t>2396.99万元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仿宋_GB2312"/>
                <w:kern w:val="0"/>
                <w:sz w:val="21"/>
                <w:szCs w:val="21"/>
                <w:lang w:val="en-US" w:eastAsia="zh-CN" w:bidi="ar"/>
              </w:rPr>
              <w:t>100%</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　</w:t>
            </w:r>
          </w:p>
        </w:tc>
        <w:tc>
          <w:tcPr>
            <w:tcW w:w="13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提供满足全区群众的疾病预防控制和公共卫生技术管理服务</w:t>
            </w:r>
          </w:p>
        </w:tc>
        <w:tc>
          <w:tcPr>
            <w:tcW w:w="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 w:val="21"/>
                <w:szCs w:val="21"/>
                <w:lang w:val="en-US" w:eastAsia="zh-CN" w:bidi="ar"/>
              </w:rPr>
              <w:t>100%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 w:val="21"/>
                <w:szCs w:val="21"/>
                <w:lang w:val="en-US" w:eastAsia="zh-CN" w:bidi="ar"/>
              </w:rPr>
              <w:t>100%</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 w:val="21"/>
                <w:szCs w:val="21"/>
                <w:lang w:val="en-US" w:eastAsia="zh-CN" w:bidi="ar"/>
              </w:rPr>
              <w:t>15</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eastAsia="仿宋_GB2312" w:cstheme="minorBidi"/>
                <w:kern w:val="0"/>
                <w:sz w:val="21"/>
                <w:szCs w:val="21"/>
                <w:lang w:val="en-US" w:eastAsia="zh-CN" w:bidi="ar-SA"/>
              </w:rPr>
              <w:t>15</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严密控制急性传染病</w:t>
            </w:r>
            <w:r>
              <w:rPr>
                <w:rFonts w:hint="eastAsia" w:ascii="Times New Roman" w:hAnsi="Times New Roman" w:eastAsia="仿宋_GB2312" w:cs="Times New Roman"/>
                <w:kern w:val="0"/>
                <w:szCs w:val="21"/>
                <w:lang w:val="en-US" w:eastAsia="zh-CN"/>
              </w:rPr>
              <w:t>，为提高人民的健康水平，促进社会经济发展做出更大的贡献</w:t>
            </w:r>
          </w:p>
        </w:tc>
        <w:tc>
          <w:tcPr>
            <w:tcW w:w="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 w:val="21"/>
                <w:szCs w:val="21"/>
                <w:lang w:val="en-US" w:eastAsia="zh-CN" w:bidi="ar"/>
              </w:rPr>
              <w:t>100%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 w:val="21"/>
                <w:szCs w:val="21"/>
                <w:lang w:val="en-US" w:eastAsia="zh-CN" w:bidi="ar"/>
              </w:rPr>
              <w:t>100%</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 w:val="21"/>
                <w:szCs w:val="21"/>
                <w:lang w:val="en-US" w:eastAsia="zh-CN" w:bidi="ar"/>
              </w:rPr>
              <w:t>15</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eastAsia="仿宋_GB2312" w:cstheme="minorBidi"/>
                <w:kern w:val="0"/>
                <w:sz w:val="21"/>
                <w:szCs w:val="21"/>
                <w:lang w:val="en-US" w:eastAsia="zh-CN" w:bidi="ar-SA"/>
              </w:rPr>
              <w:t>15</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3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群众满意度</w:t>
            </w:r>
          </w:p>
        </w:tc>
        <w:tc>
          <w:tcPr>
            <w:tcW w:w="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&gt;85%</w:t>
            </w:r>
            <w:r>
              <w:rPr>
                <w:rFonts w:hint="default" w:ascii="Times New Roman" w:hAnsi="Times New Roman" w:eastAsia="仿宋_GB2312" w:cs="Times New Roman"/>
                <w:kern w:val="0"/>
                <w:sz w:val="21"/>
                <w:szCs w:val="21"/>
                <w:lang w:val="en-US" w:eastAsia="zh-CN" w:bidi="ar"/>
              </w:rPr>
              <w:t>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&gt;85%</w:t>
            </w:r>
            <w:r>
              <w:rPr>
                <w:rFonts w:hint="default" w:ascii="Times New Roman" w:hAnsi="Times New Roman" w:eastAsia="仿宋_GB2312" w:cs="Times New Roman"/>
                <w:kern w:val="0"/>
                <w:sz w:val="21"/>
                <w:szCs w:val="21"/>
                <w:lang w:val="en-US" w:eastAsia="zh-CN" w:bidi="ar"/>
              </w:rPr>
              <w:t>　</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r>
              <w:rPr>
                <w:rFonts w:hint="default" w:ascii="Times New Roman" w:hAnsi="Times New Roman" w:eastAsia="仿宋_GB2312" w:cs="Times New Roman"/>
                <w:kern w:val="0"/>
                <w:sz w:val="21"/>
                <w:szCs w:val="21"/>
                <w:lang w:val="en-US" w:eastAsia="zh-CN" w:bidi="ar"/>
              </w:rPr>
              <w:t>　</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50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95</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sz w:val="32"/>
          <w:szCs w:val="32"/>
          <w:lang w:val="en-US"/>
        </w:rPr>
      </w:pP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杨玉</w:t>
      </w:r>
      <w:r>
        <w:rPr>
          <w:rFonts w:hint="default" w:ascii="Times New Roman" w:hAnsi="Times New Roman" w:eastAsia="仿宋_GB2312" w:cs="Times New Roman"/>
          <w:kern w:val="0"/>
          <w:sz w:val="21"/>
          <w:szCs w:val="21"/>
          <w:lang w:val="en-US" w:eastAsia="zh-CN" w:bidi="ar"/>
        </w:rPr>
        <w:t xml:space="preserve">     联系电话：</w:t>
      </w:r>
      <w:r>
        <w:rPr>
          <w:rFonts w:hint="eastAsia" w:ascii="Times New Roman" w:hAnsi="Times New Roman" w:eastAsia="仿宋_GB2312" w:cs="Times New Roman"/>
          <w:kern w:val="0"/>
          <w:sz w:val="21"/>
          <w:szCs w:val="21"/>
          <w:lang w:val="en-US" w:eastAsia="zh-CN" w:bidi="ar"/>
        </w:rPr>
        <w:t>27611157</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2024.4.8</w:t>
      </w:r>
      <w:r>
        <w:rPr>
          <w:rFonts w:hint="default" w:ascii="Times New Roman" w:hAnsi="Times New Roman" w:eastAsia="仿宋_GB2312" w:cs="Times New Roman"/>
          <w:kern w:val="0"/>
          <w:sz w:val="21"/>
          <w:szCs w:val="21"/>
          <w:lang w:val="en-US" w:eastAsia="zh-CN" w:bidi="ar"/>
        </w:rPr>
        <w:t xml:space="preserve">     单位负责人签字：</w:t>
      </w: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sz w:val="30"/>
          <w:szCs w:val="30"/>
          <w:lang w:val="en-US"/>
        </w:rPr>
      </w:pPr>
      <w:r>
        <w:rPr>
          <w:rFonts w:hint="default" w:ascii="Times New Roman" w:hAnsi="Times New Roman" w:eastAsia="楷体" w:cs="Times New Roman"/>
          <w:kern w:val="2"/>
          <w:sz w:val="30"/>
          <w:szCs w:val="30"/>
          <w:lang w:val="en-US" w:eastAsia="zh-CN" w:bidi="ar"/>
        </w:rPr>
        <w:t>附件2</w:t>
      </w: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sz w:val="44"/>
          <w:szCs w:val="44"/>
          <w:lang w:val="en-US"/>
        </w:rPr>
      </w:pPr>
      <w:r>
        <w:rPr>
          <w:rFonts w:hint="eastAsia" w:ascii="方正小标宋_GBK" w:hAnsi="方正小标宋_GBK" w:eastAsia="方正小标宋_GBK" w:cs="方正小标宋_GBK"/>
          <w:kern w:val="2"/>
          <w:sz w:val="44"/>
          <w:szCs w:val="44"/>
          <w:lang w:val="en-US" w:eastAsia="zh-CN" w:bidi="ar"/>
        </w:rPr>
        <w:t>部门整体支出绩效自评报告</w:t>
      </w: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（参考格式）</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32"/>
          <w:szCs w:val="32"/>
          <w:lang w:val="en-US"/>
        </w:rPr>
      </w:pP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一、预算单位基本情况</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sz w:val="32"/>
          <w:szCs w:val="32"/>
          <w:lang w:eastAsia="zh-CN"/>
        </w:rPr>
      </w:pPr>
      <w:r>
        <w:rPr>
          <w:rFonts w:hint="eastAsia" w:ascii="Times New Roman" w:hAnsi="Times New Roman" w:eastAsia="仿宋_GB2312" w:cs="Times New Roman"/>
          <w:kern w:val="2"/>
          <w:sz w:val="32"/>
          <w:szCs w:val="32"/>
          <w:lang w:val="en-US" w:eastAsia="zh-CN" w:bidi="ar"/>
        </w:rPr>
        <w:t>株洲市渌口区疾控中心是应用预防医学理论和技术开展疾病预防控制的专业技术机构，属公益一类事业单位。拥有实验办公用房约2488.66平米，内设8个科室，核编46人，2023年度在编人员44人，离退休人员32人，临聘2人。中心主要承担疾病预防与控制、卫生应急管理与处置、疫情收集与预警分析、健康危害因素监测与干预、检验检测与评价、卫生技术服务与管理、健康教育与健康促进等基本职能。</w:t>
      </w:r>
    </w:p>
    <w:p>
      <w:pPr>
        <w:pStyle w:val="9"/>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二、一般公共预算支出情况</w:t>
      </w:r>
    </w:p>
    <w:p>
      <w:pPr>
        <w:pStyle w:val="9"/>
        <w:widowControl/>
        <w:spacing w:line="600" w:lineRule="exact"/>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eastAsia="zh-CN"/>
        </w:rPr>
        <w:t>（一）基本支出情况</w:t>
      </w:r>
    </w:p>
    <w:p>
      <w:pPr>
        <w:pStyle w:val="9"/>
        <w:keepNext w:val="0"/>
        <w:keepLines w:val="0"/>
        <w:pageBreakBefore w:val="0"/>
        <w:widowControl/>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楷体_GB2312" w:cs="Times New Roman"/>
          <w:sz w:val="32"/>
          <w:szCs w:val="32"/>
          <w:lang w:eastAsia="zh-CN"/>
        </w:rPr>
      </w:pPr>
      <w:r>
        <w:rPr>
          <w:rFonts w:hint="eastAsia" w:ascii="Times New Roman" w:hAnsi="Times New Roman" w:eastAsia="仿宋_GB2312" w:cs="Times New Roman"/>
          <w:kern w:val="2"/>
          <w:sz w:val="32"/>
          <w:szCs w:val="32"/>
          <w:lang w:val="en-US" w:eastAsia="zh-CN" w:bidi="ar"/>
        </w:rPr>
        <w:t>2023年基本支出总额870.83万元，其中：人员经费支出723.21万元，公用经费支出147.62万元。</w:t>
      </w:r>
    </w:p>
    <w:p>
      <w:pPr>
        <w:pStyle w:val="9"/>
        <w:widowControl/>
        <w:spacing w:line="600" w:lineRule="exact"/>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eastAsia="zh-CN"/>
        </w:rPr>
        <w:t>（二）项目支出情况</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2023年项目支出1526.16万元。其中：专项资金支出382.51万元，</w:t>
      </w:r>
      <w:r>
        <w:rPr>
          <w:rFonts w:hint="default" w:ascii="Times New Roman" w:hAnsi="Times New Roman" w:eastAsia="仿宋_GB2312" w:cs="Times New Roman"/>
          <w:kern w:val="2"/>
          <w:sz w:val="32"/>
          <w:szCs w:val="32"/>
          <w:lang w:val="en-US" w:eastAsia="zh-CN" w:bidi="ar"/>
        </w:rPr>
        <w:t>专项资金以外的其他项目支出</w:t>
      </w:r>
      <w:r>
        <w:rPr>
          <w:rFonts w:hint="eastAsia" w:ascii="Times New Roman" w:hAnsi="Times New Roman" w:eastAsia="仿宋_GB2312" w:cs="Times New Roman"/>
          <w:kern w:val="2"/>
          <w:sz w:val="32"/>
          <w:szCs w:val="32"/>
          <w:lang w:val="en-US" w:eastAsia="zh-CN" w:bidi="ar"/>
        </w:rPr>
        <w:t>1143.65万元。</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专项资金支出构成为：其他卫生健康管理事务支出（慢性病防控）11.31万元，其他基层医疗卫生机构支出（疾病预防控制机构建设）0.51万元，基本公共卫生支出174.64万元，重大公共卫生支出（重大传染病防控和公共卫生服务）171.32万元，突发公共卫生支出（基本公共卫生服务）24.73万元。</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专项资金以外的其他项目支出</w:t>
      </w:r>
      <w:r>
        <w:rPr>
          <w:rFonts w:hint="eastAsia" w:ascii="Times New Roman" w:hAnsi="Times New Roman" w:eastAsia="仿宋_GB2312" w:cs="Times New Roman"/>
          <w:kern w:val="2"/>
          <w:sz w:val="32"/>
          <w:szCs w:val="32"/>
          <w:lang w:val="en-US" w:eastAsia="zh-CN" w:bidi="ar"/>
        </w:rPr>
        <w:t>是疫苗款往来结算资金1143.65万元。</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根据预算安排，资金全部到位；支出情况：根据会计法及财政有关法律法规，根据财政报账制度的要求，凭有效凭证报账，本单位资金做到了专款专用的原则，无违法违规行为。</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三、部门整体支出绩效情况</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2023年，本中心将部门整体支出绩效评价作为财政预算资金使用管理的一项重要工作，切实加强预算收支管理，全面梳理内部管理流程，建立健全内部管理制度，有效提升了部门整体支出管理水平。使单位的资金使用得到了有效控制，不该支出的费用坚决不支出，车辆外出采取资源共享，有效地节省了单位成本，使我单位的业务支出和人员支出都能有效地、可持续地进行。</w:t>
      </w:r>
    </w:p>
    <w:p>
      <w:pPr>
        <w:pStyle w:val="9"/>
        <w:widowControl/>
        <w:spacing w:line="600" w:lineRule="exact"/>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四、存在的问题及原因分析</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 w:cs="Times New Roman"/>
          <w:sz w:val="18"/>
          <w:szCs w:val="18"/>
          <w:lang w:val="en-US"/>
        </w:rPr>
      </w:pPr>
      <w:r>
        <w:rPr>
          <w:rFonts w:hint="default" w:ascii="Times New Roman" w:hAnsi="Times New Roman" w:eastAsia="仿宋_GB2312" w:cs="Times New Roman"/>
          <w:kern w:val="2"/>
          <w:sz w:val="32"/>
          <w:szCs w:val="32"/>
          <w:lang w:val="en-US" w:eastAsia="zh-CN" w:bidi="ar"/>
        </w:rPr>
        <w:t>预算支出执行</w:t>
      </w:r>
      <w:r>
        <w:rPr>
          <w:rFonts w:hint="eastAsia" w:ascii="Times New Roman" w:hAnsi="Times New Roman" w:eastAsia="仿宋_GB2312" w:cs="Times New Roman"/>
          <w:kern w:val="2"/>
          <w:sz w:val="32"/>
          <w:szCs w:val="32"/>
          <w:lang w:val="en-US" w:eastAsia="zh-CN" w:bidi="ar"/>
        </w:rPr>
        <w:t>整体未</w:t>
      </w:r>
      <w:r>
        <w:rPr>
          <w:rFonts w:hint="default" w:ascii="Times New Roman" w:hAnsi="Times New Roman" w:eastAsia="仿宋_GB2312" w:cs="Times New Roman"/>
          <w:kern w:val="2"/>
          <w:sz w:val="32"/>
          <w:szCs w:val="32"/>
          <w:lang w:val="en-US" w:eastAsia="zh-CN" w:bidi="ar"/>
        </w:rPr>
        <w:t>偏离绩效目标</w:t>
      </w:r>
      <w:r>
        <w:rPr>
          <w:rFonts w:hint="eastAsia" w:ascii="Times New Roman" w:hAnsi="Times New Roman" w:eastAsia="仿宋_GB2312" w:cs="Times New Roman"/>
          <w:kern w:val="2"/>
          <w:sz w:val="32"/>
          <w:szCs w:val="32"/>
          <w:lang w:val="en-US" w:eastAsia="zh-CN" w:bidi="ar"/>
        </w:rPr>
        <w:t>。仅存在</w:t>
      </w:r>
      <w:r>
        <w:rPr>
          <w:rFonts w:hint="eastAsia" w:ascii="Times New Roman" w:hAnsi="Times New Roman" w:eastAsia="仿宋_GB2312" w:cs="Times New Roman"/>
          <w:kern w:val="2"/>
          <w:sz w:val="32"/>
          <w:szCs w:val="32"/>
          <w:lang w:val="en-US" w:eastAsia="zh-CN" w:bidi="ar"/>
        </w:rPr>
        <w:t>因库款有限而延缓了部分项目资金的支付进度的现象。</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五、下一步改进措施</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积极对接，加快项目资金支付进度。</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六、绩效自评结果拟应用和公开情况</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Times New Roman"/>
          <w:kern w:val="2"/>
          <w:sz w:val="32"/>
          <w:szCs w:val="32"/>
          <w:lang w:val="en-US" w:eastAsia="zh-CN" w:bidi="ar"/>
        </w:rPr>
        <w:t>绩效自评结果根据要求在规定的时间和要求进行了网络公开。</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bookmarkStart w:id="0" w:name="_GoBack"/>
      <w:bookmarkEnd w:id="0"/>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xMmYxODk3OGI1YTk3ZWIzMGY0Mzg4NjA1MTQ5NWEifQ=="/>
  </w:docVars>
  <w:rsids>
    <w:rsidRoot w:val="00000000"/>
    <w:rsid w:val="05436869"/>
    <w:rsid w:val="06E8408C"/>
    <w:rsid w:val="097E3F67"/>
    <w:rsid w:val="0D564DFD"/>
    <w:rsid w:val="0DB57CB4"/>
    <w:rsid w:val="0E8845BE"/>
    <w:rsid w:val="14274190"/>
    <w:rsid w:val="18D620ED"/>
    <w:rsid w:val="18D97BBF"/>
    <w:rsid w:val="1C9A5481"/>
    <w:rsid w:val="1CA7072B"/>
    <w:rsid w:val="1CCE2DCF"/>
    <w:rsid w:val="1EE65901"/>
    <w:rsid w:val="1F397586"/>
    <w:rsid w:val="20221513"/>
    <w:rsid w:val="21C276E9"/>
    <w:rsid w:val="26F05D70"/>
    <w:rsid w:val="2B95569E"/>
    <w:rsid w:val="2C7A0860"/>
    <w:rsid w:val="2EFFB905"/>
    <w:rsid w:val="34A16E0A"/>
    <w:rsid w:val="37A570FA"/>
    <w:rsid w:val="38C45815"/>
    <w:rsid w:val="3E6A6D4F"/>
    <w:rsid w:val="3FB33E13"/>
    <w:rsid w:val="3FE693AD"/>
    <w:rsid w:val="4035158F"/>
    <w:rsid w:val="455137CA"/>
    <w:rsid w:val="456A0C8B"/>
    <w:rsid w:val="4A9A5B32"/>
    <w:rsid w:val="4AF01932"/>
    <w:rsid w:val="4DD57ADF"/>
    <w:rsid w:val="4F3BD62E"/>
    <w:rsid w:val="524C14DA"/>
    <w:rsid w:val="536974C6"/>
    <w:rsid w:val="53CB15B5"/>
    <w:rsid w:val="577C6C0C"/>
    <w:rsid w:val="590F614C"/>
    <w:rsid w:val="5E3D48E1"/>
    <w:rsid w:val="6186789B"/>
    <w:rsid w:val="63B32BC4"/>
    <w:rsid w:val="64C523D5"/>
    <w:rsid w:val="64CB5136"/>
    <w:rsid w:val="6B0851D1"/>
    <w:rsid w:val="6E9E78DE"/>
    <w:rsid w:val="733D46AE"/>
    <w:rsid w:val="74D80B53"/>
    <w:rsid w:val="77B909F0"/>
    <w:rsid w:val="782D65C2"/>
    <w:rsid w:val="78540864"/>
    <w:rsid w:val="7F4D52D0"/>
    <w:rsid w:val="7F55F449"/>
    <w:rsid w:val="BB96D3B8"/>
    <w:rsid w:val="BEB6EF53"/>
    <w:rsid w:val="DFFB7864"/>
    <w:rsid w:val="E7FFF3A3"/>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autoRedefine/>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w:basedOn w:val="1"/>
    <w:link w:val="10"/>
    <w:autoRedefine/>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1 Char"/>
    <w:basedOn w:val="7"/>
    <w:link w:val="2"/>
    <w:autoRedefine/>
    <w:qFormat/>
    <w:uiPriority w:val="0"/>
    <w:rPr>
      <w:rFonts w:hint="default" w:ascii="Calibri" w:hAnsi="Calibri" w:cs="Calibri"/>
      <w:b/>
      <w:bCs/>
      <w:kern w:val="44"/>
      <w:sz w:val="44"/>
      <w:szCs w:val="44"/>
    </w:rPr>
  </w:style>
  <w:style w:type="paragraph" w:customStyle="1" w:styleId="9">
    <w:name w:val="msolistparagraph"/>
    <w:basedOn w:val="1"/>
    <w:autoRedefine/>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10">
    <w:name w:val="正文文本 Char"/>
    <w:basedOn w:val="7"/>
    <w:link w:val="3"/>
    <w:autoRedefine/>
    <w:qFormat/>
    <w:uiPriority w:val="0"/>
    <w:rPr>
      <w:rFonts w:hint="eastAsia" w:ascii="宋体" w:hAnsi="宋体" w:eastAsia="宋体" w:cs="宋体"/>
      <w:kern w:val="2"/>
      <w:sz w:val="33"/>
      <w:szCs w:val="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6056</Words>
  <Characters>6211</Characters>
  <Lines>0</Lines>
  <Paragraphs>0</Paragraphs>
  <TotalTime>0</TotalTime>
  <ScaleCrop>false</ScaleCrop>
  <LinksUpToDate>false</LinksUpToDate>
  <CharactersWithSpaces>6762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2021-03-23T15:15:00Z</dcterms:created>
  <dc:creator>Administrator</dc:creator>
  <cp:lastModifiedBy>芋头</cp:lastModifiedBy>
  <cp:lastPrinted>2023-03-31T11:20:00Z</cp:lastPrinted>
  <dcterms:modified xsi:type="dcterms:W3CDTF">2024-04-08T07:20:27Z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B173AEFD022C447F9E92288B96365FF0_13</vt:lpwstr>
  </property>
</Properties>
</file>