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9"/>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4"/>
        <w:gridCol w:w="1145"/>
        <w:gridCol w:w="1332"/>
        <w:gridCol w:w="1135"/>
        <w:gridCol w:w="895"/>
        <w:gridCol w:w="1099"/>
        <w:gridCol w:w="767"/>
        <w:gridCol w:w="864"/>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环境卫生、卫生防疫服务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渌口区卫健局</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渌口区疾控中心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16.81</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16.81</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16.62</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98.64%</w:t>
            </w:r>
            <w:r>
              <w:rPr>
                <w:rFonts w:hint="default" w:ascii="Times New Roman" w:hAnsi="Times New Roman" w:eastAsia="仿宋_GB2312" w:cs="Times New Roman"/>
                <w:kern w:val="0"/>
                <w:sz w:val="21"/>
                <w:szCs w:val="21"/>
                <w:lang w:val="en-US" w:eastAsia="zh-CN" w:bidi="ar"/>
              </w:rPr>
              <w:t>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14</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14</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13.81</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2.81</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2.81</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2.81</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要求开展年度枯水期、丰水期农村饮用水卫生监测和第二、四季度农村千吨万人水厂饮用水卫生监测并进行监测数据网络上报；按要求开展全年各季度城区管网水水质卫生监测并进行监测数据网络上报和信息公开；按要求开展辖区托幼机构和学校饮用水水质卫生监测；按要求开展好年度食品微生物、污染物及有害因素监测并进行监测数据网络上报；按要求开展好食源性疾病监测并进行上报数据审核；开展好食品安全宣传周主题活动；做好青少年近视眼调查和学生常见病调查工作</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 xml:space="preserve">  　　</w:t>
            </w:r>
          </w:p>
        </w:tc>
        <w:tc>
          <w:tcPr>
            <w:tcW w:w="41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年度枯水期、丰水期农村饮用水卫生监测和第二、四季度农村千吨万人水厂饮用水卫生监测全年合计</w:t>
            </w:r>
            <w:r>
              <w:rPr>
                <w:rFonts w:hint="eastAsia" w:ascii="Times New Roman" w:hAnsi="Times New Roman" w:eastAsia="仿宋_GB2312" w:cs="Times New Roman"/>
                <w:kern w:val="0"/>
                <w:sz w:val="21"/>
                <w:szCs w:val="21"/>
                <w:lang w:val="en-US" w:eastAsia="zh-CN" w:bidi="ar"/>
              </w:rPr>
              <w:t>采取</w:t>
            </w:r>
            <w:r>
              <w:rPr>
                <w:rFonts w:hint="default" w:ascii="Times New Roman" w:hAnsi="Times New Roman" w:eastAsia="仿宋_GB2312" w:cs="Times New Roman"/>
                <w:kern w:val="0"/>
                <w:sz w:val="21"/>
                <w:szCs w:val="21"/>
                <w:lang w:val="en-US" w:eastAsia="zh-CN" w:bidi="ar"/>
              </w:rPr>
              <w:t>96份水样</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各季度城区管网水水质卫生监测全年合计24份水样</w:t>
            </w:r>
            <w:r>
              <w:rPr>
                <w:rFonts w:hint="eastAsia" w:ascii="Times New Roman" w:hAnsi="Times New Roman" w:eastAsia="仿宋_GB2312" w:cs="Times New Roman"/>
                <w:kern w:val="0"/>
                <w:sz w:val="21"/>
                <w:szCs w:val="21"/>
                <w:lang w:val="en-US" w:eastAsia="zh-CN" w:bidi="ar"/>
              </w:rPr>
              <w:t>；开展了</w:t>
            </w:r>
            <w:r>
              <w:rPr>
                <w:rFonts w:hint="default" w:ascii="Times New Roman" w:hAnsi="Times New Roman" w:eastAsia="仿宋_GB2312" w:cs="Times New Roman"/>
                <w:kern w:val="0"/>
                <w:sz w:val="21"/>
                <w:szCs w:val="21"/>
                <w:lang w:val="en-US" w:eastAsia="zh-CN" w:bidi="ar"/>
              </w:rPr>
              <w:t>托幼机构和学校饮用水水质卫生监测</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 xml:space="preserve"> 食品微生物、污染物及有害因素监测</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青少年近视眼调查和学生常见病调查工作</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城乡饮用水监测水样数</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216份</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仿宋" w:hAnsi="仿宋" w:eastAsia="仿宋" w:cs="仿宋"/>
                <w:kern w:val="0"/>
                <w:sz w:val="21"/>
                <w:szCs w:val="21"/>
                <w:lang w:val="en-US"/>
              </w:rPr>
              <w:t>216份</w:t>
            </w:r>
          </w:p>
        </w:tc>
        <w:tc>
          <w:tcPr>
            <w:tcW w:w="76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6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33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食品安全监测病例</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100例</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仿宋" w:hAnsi="仿宋" w:eastAsia="仿宋" w:cs="仿宋"/>
                <w:kern w:val="0"/>
                <w:sz w:val="21"/>
                <w:szCs w:val="21"/>
                <w:lang w:val="en-US" w:eastAsia="zh-CN" w:bidi="ar"/>
              </w:rPr>
              <w:t>100例</w:t>
            </w:r>
          </w:p>
        </w:tc>
        <w:tc>
          <w:tcPr>
            <w:tcW w:w="76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33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公共场所卫生监测采样数</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367份</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仿宋" w:hAnsi="仿宋" w:eastAsia="仿宋" w:cs="仿宋"/>
                <w:kern w:val="0"/>
                <w:sz w:val="21"/>
                <w:szCs w:val="21"/>
                <w:lang w:val="en-US" w:eastAsia="zh-CN" w:bidi="ar"/>
              </w:rPr>
              <w:t>367份</w:t>
            </w:r>
          </w:p>
        </w:tc>
        <w:tc>
          <w:tcPr>
            <w:tcW w:w="76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33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职业危害因素监测</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20家</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仿宋" w:hAnsi="仿宋" w:eastAsia="仿宋" w:cs="仿宋"/>
                <w:kern w:val="0"/>
                <w:sz w:val="21"/>
                <w:szCs w:val="21"/>
                <w:lang w:val="en-US" w:eastAsia="zh-CN" w:bidi="ar"/>
              </w:rPr>
              <w:t>20家</w:t>
            </w:r>
          </w:p>
        </w:tc>
        <w:tc>
          <w:tcPr>
            <w:tcW w:w="76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33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default" w:ascii="Times New Roman" w:hAnsi="Times New Roman" w:eastAsia="仿宋_GB2312" w:cs="Times New Roman"/>
                <w:kern w:val="0"/>
                <w:sz w:val="21"/>
                <w:szCs w:val="21"/>
                <w:lang w:val="en-US" w:eastAsia="zh-CN" w:bidi="ar"/>
              </w:rPr>
              <w:t>学生常见病调查</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1次</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1次</w:t>
            </w:r>
          </w:p>
        </w:tc>
        <w:tc>
          <w:tcPr>
            <w:tcW w:w="76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33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学生常见病宣传手册发放</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3000份</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 w:val="21"/>
                <w:szCs w:val="21"/>
                <w:lang w:val="en-US" w:eastAsia="zh-CN" w:bidi="ar"/>
              </w:rPr>
            </w:pPr>
            <w:r>
              <w:rPr>
                <w:rFonts w:hint="eastAsia" w:ascii="仿宋" w:hAnsi="仿宋" w:eastAsia="仿宋" w:cs="仿宋"/>
                <w:kern w:val="0"/>
                <w:sz w:val="21"/>
                <w:szCs w:val="21"/>
                <w:lang w:val="en-US" w:eastAsia="zh-CN" w:bidi="ar"/>
              </w:rPr>
              <w:t>3000份</w:t>
            </w:r>
          </w:p>
        </w:tc>
        <w:tc>
          <w:tcPr>
            <w:tcW w:w="76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33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default" w:ascii="Times New Roman" w:hAnsi="Times New Roman" w:eastAsia="仿宋_GB2312" w:cs="Times New Roman"/>
                <w:kern w:val="0"/>
                <w:sz w:val="21"/>
                <w:szCs w:val="21"/>
                <w:lang w:val="en-US" w:eastAsia="zh-CN" w:bidi="ar"/>
              </w:rPr>
              <w:t>青少年近视眼调查</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1次</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1次</w:t>
            </w:r>
          </w:p>
        </w:tc>
        <w:tc>
          <w:tcPr>
            <w:tcW w:w="76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饮用水国家监测任务完成率</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 w:val="21"/>
                <w:szCs w:val="21"/>
                <w:lang w:val="en-US" w:eastAsia="zh-CN" w:bidi="ar"/>
              </w:rPr>
            </w:pPr>
            <w:r>
              <w:rPr>
                <w:rStyle w:val="15"/>
                <w:rFonts w:hint="eastAsia" w:ascii="仿宋" w:hAnsi="仿宋" w:eastAsia="仿宋" w:cs="仿宋"/>
                <w:sz w:val="21"/>
                <w:szCs w:val="21"/>
                <w:lang w:val="en-US" w:eastAsia="zh-CN" w:bidi="ar"/>
              </w:rPr>
              <w:t>100%</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6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r>
              <w:rPr>
                <w:rFonts w:hint="default" w:ascii="Times New Roman" w:hAnsi="Times New Roman" w:eastAsia="仿宋_GB2312" w:cs="Times New Roman"/>
                <w:kern w:val="0"/>
                <w:sz w:val="21"/>
                <w:szCs w:val="21"/>
                <w:lang w:val="en-US" w:eastAsia="zh-CN" w:bidi="ar"/>
              </w:rPr>
              <w:t>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公共场所用具检测合格率</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 w:val="21"/>
                <w:szCs w:val="21"/>
                <w:lang w:val="en-US" w:eastAsia="zh-CN" w:bidi="ar"/>
              </w:rPr>
            </w:pPr>
            <w:r>
              <w:rPr>
                <w:rStyle w:val="15"/>
                <w:rFonts w:hint="eastAsia" w:ascii="仿宋" w:hAnsi="仿宋" w:eastAsia="仿宋" w:cs="仿宋"/>
                <w:sz w:val="21"/>
                <w:szCs w:val="21"/>
                <w:lang w:val="en-US" w:eastAsia="zh-CN" w:bidi="ar"/>
              </w:rPr>
              <w:t>100%</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尘肺患者随访调查</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1"/>
                <w:szCs w:val="21"/>
                <w:lang w:val="en-US" w:eastAsia="zh-CN" w:bidi="ar"/>
              </w:rPr>
            </w:pPr>
            <w:r>
              <w:rPr>
                <w:rStyle w:val="15"/>
                <w:rFonts w:hint="eastAsia" w:ascii="仿宋" w:hAnsi="仿宋" w:eastAsia="仿宋" w:cs="仿宋"/>
                <w:sz w:val="21"/>
                <w:szCs w:val="21"/>
                <w:lang w:val="en-US" w:eastAsia="zh-CN" w:bidi="ar"/>
              </w:rPr>
              <w:t>100%</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76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项目实施时间</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及时实施</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及时实施</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项目资金保障</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14万</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13.81万</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避免食品所致的传染性疾病发生，减少由此引起的经济负担。</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Style w:val="15"/>
                <w:rFonts w:hint="eastAsia" w:ascii="仿宋" w:hAnsi="仿宋" w:eastAsia="仿宋" w:cs="仿宋"/>
                <w:sz w:val="21"/>
                <w:szCs w:val="21"/>
                <w:lang w:val="en-US" w:eastAsia="zh-CN" w:bidi="ar"/>
              </w:rPr>
              <w:t>100%</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rPr>
              <w:t>掌握我区食品</w:t>
            </w:r>
            <w:r>
              <w:rPr>
                <w:rFonts w:hint="eastAsia" w:ascii="Times New Roman" w:hAnsi="Times New Roman" w:eastAsia="仿宋_GB2312" w:cs="Times New Roman"/>
                <w:kern w:val="0"/>
                <w:szCs w:val="21"/>
                <w:lang w:val="en-US" w:eastAsia="zh-CN"/>
              </w:rPr>
              <w:t>水质</w:t>
            </w:r>
            <w:r>
              <w:rPr>
                <w:rFonts w:hint="default" w:ascii="Times New Roman" w:hAnsi="Times New Roman" w:eastAsia="仿宋_GB2312" w:cs="Times New Roman"/>
                <w:kern w:val="0"/>
                <w:szCs w:val="21"/>
                <w:lang w:val="en-US"/>
              </w:rPr>
              <w:t>安全状况；</w:t>
            </w:r>
            <w:r>
              <w:rPr>
                <w:rFonts w:hint="eastAsia" w:ascii="Times New Roman" w:hAnsi="Times New Roman" w:eastAsia="仿宋_GB2312" w:cs="Times New Roman"/>
                <w:kern w:val="0"/>
                <w:szCs w:val="21"/>
                <w:lang w:val="en-US" w:eastAsia="zh-CN"/>
              </w:rPr>
              <w:t>预防</w:t>
            </w:r>
            <w:r>
              <w:rPr>
                <w:rFonts w:hint="default" w:ascii="Times New Roman" w:hAnsi="Times New Roman" w:eastAsia="仿宋_GB2312" w:cs="Times New Roman"/>
                <w:kern w:val="0"/>
                <w:szCs w:val="21"/>
                <w:lang w:val="en-US"/>
              </w:rPr>
              <w:t>青少年用眼问题</w:t>
            </w:r>
            <w:r>
              <w:rPr>
                <w:rFonts w:hint="eastAsia" w:ascii="Times New Roman" w:hAnsi="Times New Roman" w:eastAsia="仿宋_GB2312" w:cs="Times New Roman"/>
                <w:kern w:val="0"/>
                <w:szCs w:val="21"/>
                <w:lang w:val="en-US" w:eastAsia="zh-CN"/>
              </w:rPr>
              <w:t>。</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Style w:val="15"/>
                <w:rFonts w:hint="eastAsia" w:ascii="仿宋" w:hAnsi="仿宋" w:eastAsia="仿宋" w:cs="仿宋"/>
                <w:sz w:val="21"/>
                <w:szCs w:val="21"/>
                <w:lang w:val="en-US" w:eastAsia="zh-CN" w:bidi="ar"/>
              </w:rPr>
              <w:t>100%</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保障居民安全用水、保障劳动者职业卫生健康、保障群众食品安全</w:t>
            </w:r>
            <w:r>
              <w:rPr>
                <w:rFonts w:hint="default" w:ascii="Times New Roman" w:hAnsi="Times New Roman" w:eastAsia="仿宋_GB2312" w:cs="Times New Roman"/>
                <w:kern w:val="0"/>
                <w:sz w:val="21"/>
                <w:szCs w:val="21"/>
                <w:lang w:val="en-US" w:eastAsia="zh-CN" w:bidi="ar"/>
              </w:rPr>
              <w:t>　</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Style w:val="15"/>
                <w:rFonts w:hint="eastAsia" w:ascii="仿宋" w:hAnsi="仿宋" w:eastAsia="仿宋" w:cs="仿宋"/>
                <w:sz w:val="21"/>
                <w:szCs w:val="21"/>
                <w:lang w:val="en-US" w:eastAsia="zh-CN" w:bidi="ar"/>
              </w:rPr>
              <w:t>100%</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群众满意度</w:t>
            </w: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&gt;85%</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仿宋" w:hAnsi="仿宋" w:eastAsia="仿宋" w:cs="仿宋"/>
                <w:i w:val="0"/>
                <w:iCs w:val="0"/>
                <w:color w:val="000000"/>
                <w:kern w:val="0"/>
                <w:sz w:val="21"/>
                <w:szCs w:val="21"/>
                <w:u w:val="none"/>
                <w:lang w:val="en-US" w:eastAsia="zh-CN" w:bidi="ar"/>
              </w:rPr>
              <w:t>&gt;85%</w:t>
            </w:r>
            <w:r>
              <w:rPr>
                <w:rFonts w:hint="default" w:ascii="Times New Roman" w:hAnsi="Times New Roman" w:eastAsia="仿宋_GB2312" w:cs="Times New Roman"/>
                <w:kern w:val="0"/>
                <w:sz w:val="21"/>
                <w:szCs w:val="21"/>
                <w:lang w:val="en-US" w:eastAsia="zh-CN" w:bidi="ar"/>
              </w:rPr>
              <w:t>　</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：杨玉</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27611157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bookmarkStart w:id="0" w:name="_GoBack"/>
      <w:bookmarkEnd w:id="0"/>
      <w:r>
        <w:rPr>
          <w:rFonts w:hint="default" w:ascii="Times New Roman" w:hAnsi="Times New Roman" w:eastAsia="楷体" w:cs="Times New Roman"/>
          <w:kern w:val="2"/>
          <w:sz w:val="30"/>
          <w:szCs w:val="30"/>
          <w:lang w:val="en-US" w:eastAsia="zh-CN" w:bidi="ar"/>
        </w:rPr>
        <w:t>附件4</w:t>
      </w:r>
    </w:p>
    <w:p>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3"/>
        <w:widowControl/>
        <w:autoSpaceDE w:val="0"/>
        <w:autoSpaceDN w:val="0"/>
        <w:spacing w:line="660" w:lineRule="exact"/>
        <w:jc w:val="center"/>
        <w:rPr>
          <w:rFonts w:hint="default" w:ascii="Times New Roman" w:hAnsi="Times New Roman" w:eastAsia="仿宋" w:cs="Times New Roman"/>
          <w:w w:val="80"/>
          <w:sz w:val="32"/>
          <w:szCs w:val="32"/>
          <w:lang w:val="en-US"/>
        </w:rPr>
      </w:pPr>
      <w:r>
        <w:rPr>
          <w:rFonts w:hint="default" w:ascii="Times New Roman" w:hAnsi="Times New Roman" w:eastAsia="仿宋" w:cs="Times New Roman"/>
          <w:w w:val="80"/>
          <w:sz w:val="32"/>
          <w:szCs w:val="32"/>
          <w:lang w:eastAsia="zh-CN"/>
        </w:rPr>
        <w:t>（参考格式）</w:t>
      </w:r>
    </w:p>
    <w:p>
      <w:pPr>
        <w:pStyle w:val="12"/>
        <w:widowControl/>
        <w:spacing w:line="600" w:lineRule="exact"/>
        <w:ind w:left="0" w:firstLine="0"/>
        <w:rPr>
          <w:rFonts w:hint="default" w:ascii="Times New Roman" w:hAnsi="Times New Roman" w:eastAsia="仿宋" w:cs="Times New Roman"/>
          <w:bCs/>
          <w:sz w:val="32"/>
          <w:szCs w:val="32"/>
          <w:lang w:val="en-US"/>
        </w:rPr>
      </w:pPr>
    </w:p>
    <w:p>
      <w:pPr>
        <w:pStyle w:val="12"/>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12"/>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right="0" w:righ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本自评报告主要以2023年1月1日至12月31日的工作资料，对食品安全监测、饮用水监测、职业卫生监测、学校卫生监测工作等工作内容开展自评。</w:t>
      </w:r>
    </w:p>
    <w:p>
      <w:pPr>
        <w:pStyle w:val="12"/>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2"/>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2"/>
        <w:widowControl/>
        <w:numPr>
          <w:ilvl w:val="0"/>
          <w:numId w:val="1"/>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pPr>
        <w:pStyle w:val="12"/>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right="0" w:rightChars="0" w:firstLine="560" w:firstLineChars="200"/>
        <w:jc w:val="left"/>
        <w:textAlignment w:val="auto"/>
        <w:rPr>
          <w:rFonts w:hint="default" w:ascii="Times New Roman" w:hAnsi="Times New Roman" w:eastAsia="仿宋_GB2312" w:cs="Times New Roman"/>
          <w:sz w:val="32"/>
          <w:szCs w:val="32"/>
          <w:lang w:val="en-US"/>
        </w:rPr>
      </w:pPr>
      <w:r>
        <w:rPr>
          <w:rFonts w:hint="default" w:ascii="仿宋" w:hAnsi="仿宋" w:eastAsia="仿宋" w:cs="仿宋"/>
          <w:sz w:val="28"/>
          <w:szCs w:val="28"/>
          <w:lang w:val="en-US" w:eastAsia="zh-CN"/>
        </w:rPr>
        <w:t>截至评价日，</w:t>
      </w:r>
      <w:r>
        <w:rPr>
          <w:rFonts w:hint="eastAsia" w:ascii="仿宋" w:hAnsi="仿宋" w:eastAsia="仿宋" w:cs="仿宋"/>
          <w:sz w:val="28"/>
          <w:szCs w:val="28"/>
          <w:lang w:val="en-US" w:eastAsia="zh-CN"/>
        </w:rPr>
        <w:t>我单位共收到环境卫生检测和卫生防疫服务经费专项资金14万</w:t>
      </w:r>
      <w:r>
        <w:rPr>
          <w:rFonts w:hint="default" w:ascii="仿宋" w:hAnsi="仿宋" w:eastAsia="仿宋" w:cs="仿宋"/>
          <w:sz w:val="28"/>
          <w:szCs w:val="28"/>
          <w:lang w:val="en-US" w:eastAsia="zh-CN"/>
        </w:rPr>
        <w:t>元</w:t>
      </w:r>
      <w:r>
        <w:rPr>
          <w:rFonts w:hint="eastAsia" w:ascii="仿宋" w:hAnsi="仿宋" w:eastAsia="仿宋" w:cs="仿宋"/>
          <w:sz w:val="28"/>
          <w:szCs w:val="28"/>
          <w:lang w:val="en-US" w:eastAsia="zh-CN"/>
        </w:rPr>
        <w:t>，资金到位率100%。</w:t>
      </w:r>
    </w:p>
    <w:p>
      <w:pPr>
        <w:pStyle w:val="12"/>
        <w:widowControl/>
        <w:numPr>
          <w:ilvl w:val="0"/>
          <w:numId w:val="1"/>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pPr>
        <w:pStyle w:val="12"/>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right="0" w:rightChars="0" w:firstLine="560" w:firstLineChars="200"/>
        <w:jc w:val="left"/>
        <w:textAlignment w:val="auto"/>
        <w:rPr>
          <w:rFonts w:hint="default" w:ascii="Times New Roman" w:hAnsi="Times New Roman" w:eastAsia="仿宋_GB2312" w:cs="Times New Roman"/>
          <w:sz w:val="32"/>
          <w:szCs w:val="32"/>
          <w:lang w:val="en-US"/>
        </w:rPr>
      </w:pPr>
      <w:r>
        <w:rPr>
          <w:rFonts w:hint="eastAsia" w:ascii="仿宋" w:hAnsi="仿宋" w:eastAsia="仿宋" w:cs="仿宋"/>
          <w:sz w:val="28"/>
          <w:szCs w:val="28"/>
          <w:lang w:val="en-US" w:eastAsia="zh-CN"/>
        </w:rPr>
        <w:t>2023年环境卫生检测和卫生防疫服务经费总收入14万元，总支出13.81万元，资金执行率98.64%。项目资金主要用于保障食品安全监测、饮用水监测、职业卫生监测、学校卫生监测工作的开展实施，以保障项目实施达到上级考核指标。</w:t>
      </w:r>
    </w:p>
    <w:p>
      <w:pPr>
        <w:pStyle w:val="12"/>
        <w:widowControl/>
        <w:numPr>
          <w:ilvl w:val="0"/>
          <w:numId w:val="1"/>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pPr>
        <w:pStyle w:val="12"/>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right="0" w:rightChars="0" w:firstLine="560" w:firstLineChars="200"/>
        <w:jc w:val="left"/>
        <w:textAlignment w:val="auto"/>
        <w:rPr>
          <w:rFonts w:hint="default" w:ascii="Times New Roman" w:hAnsi="Times New Roman" w:eastAsia="方正楷体_GBK" w:cs="Times New Roman"/>
          <w:w w:val="95"/>
          <w:kern w:val="2"/>
          <w:sz w:val="32"/>
          <w:szCs w:val="32"/>
          <w:lang w:val="en-US" w:eastAsia="zh-CN" w:bidi="ar"/>
        </w:rPr>
      </w:pPr>
      <w:r>
        <w:rPr>
          <w:rFonts w:hint="default" w:ascii="仿宋" w:hAnsi="仿宋" w:eastAsia="仿宋" w:cs="仿宋"/>
          <w:sz w:val="28"/>
          <w:szCs w:val="28"/>
          <w:lang w:val="en-US" w:eastAsia="zh-CN"/>
        </w:rPr>
        <w:t>项目严格按照专项资金管理办法使用资金，专款专用。</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2"/>
        <w:widowControl/>
        <w:numPr>
          <w:ilvl w:val="0"/>
          <w:numId w:val="2"/>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562" w:firstLineChars="200"/>
        <w:jc w:val="both"/>
        <w:textAlignment w:val="auto"/>
        <w:rPr>
          <w:rFonts w:hint="eastAsia" w:ascii="仿宋" w:hAnsi="仿宋" w:eastAsia="仿宋" w:cs="仿宋"/>
          <w:sz w:val="28"/>
          <w:szCs w:val="28"/>
          <w:lang w:val="en-US"/>
        </w:rPr>
      </w:pPr>
      <w:r>
        <w:rPr>
          <w:rFonts w:hint="eastAsia" w:ascii="仿宋" w:hAnsi="仿宋" w:eastAsia="仿宋" w:cs="仿宋"/>
          <w:b/>
          <w:bCs/>
          <w:sz w:val="28"/>
          <w:szCs w:val="28"/>
          <w:lang w:val="en-US" w:eastAsia="zh-CN"/>
        </w:rPr>
        <w:t>2023年度城乡生活饮用水卫生监测如期完成任务，共采取</w:t>
      </w:r>
      <w:r>
        <w:rPr>
          <w:rFonts w:hint="eastAsia" w:ascii="仿宋" w:hAnsi="仿宋" w:eastAsia="仿宋" w:cs="仿宋"/>
          <w:sz w:val="28"/>
          <w:szCs w:val="28"/>
          <w:lang w:val="en-US" w:eastAsia="zh-CN"/>
        </w:rPr>
        <w:t>216份水样监测（包括平行样、复核样），其中城区管网水31份，农村饮用水107份，学校、托幼机构饮用水44份，水源水26份，疫情处置、委检等其他项目饮用水监测8份。国家监测项目监测任务完成率100%，同时按要求完成年度城乡饮用水监测网络上报和各季度城区管网水网络信息公开。其中，全年农村饮用水水样合格率为76.32%（80/96），较2022年基本持平。</w:t>
      </w:r>
      <w:r>
        <w:rPr>
          <w:rFonts w:hint="eastAsia" w:ascii="仿宋" w:hAnsi="仿宋" w:eastAsia="仿宋" w:cs="仿宋"/>
          <w:b/>
          <w:bCs/>
          <w:sz w:val="28"/>
          <w:szCs w:val="28"/>
          <w:lang w:val="en-US" w:eastAsia="zh-CN"/>
        </w:rPr>
        <w:t>食品安全风险监测工作方面：</w:t>
      </w:r>
      <w:r>
        <w:rPr>
          <w:rFonts w:hint="eastAsia" w:ascii="仿宋" w:hAnsi="仿宋" w:eastAsia="仿宋" w:cs="仿宋"/>
          <w:sz w:val="28"/>
          <w:szCs w:val="28"/>
          <w:lang w:val="en-US" w:eastAsia="zh-CN"/>
        </w:rPr>
        <w:t>全年辖区累计上报并审核食源性疾病监测病例数100例，其中区直医院累计上报44例，无病例零报医疗机构。累计处置疑似食源性疾病暴发事件14起，其中辖区内野生蘑菇暴发事件3起。全年无食源性疾病死亡，无重症。全年野生蘑菇中毒单病例事件4起。</w:t>
      </w:r>
      <w:r>
        <w:rPr>
          <w:rFonts w:hint="eastAsia" w:ascii="仿宋" w:hAnsi="仿宋" w:eastAsia="仿宋" w:cs="仿宋"/>
          <w:b/>
          <w:bCs/>
          <w:sz w:val="28"/>
          <w:szCs w:val="28"/>
          <w:lang w:val="en-US" w:eastAsia="zh-CN"/>
        </w:rPr>
        <w:t>公共产所卫生监测工作：</w:t>
      </w:r>
      <w:r>
        <w:rPr>
          <w:rFonts w:hint="eastAsia" w:ascii="仿宋" w:hAnsi="仿宋" w:eastAsia="仿宋" w:cs="仿宋"/>
          <w:sz w:val="28"/>
          <w:szCs w:val="28"/>
          <w:lang w:val="en-US" w:eastAsia="zh-CN"/>
        </w:rPr>
        <w:t>2023年监测工作全年抽检完成271家公共场所，样品367份，人工游泳池用水11份，公共场所用品、用具检测合格率均为100%，人工游泳池池水检测合格率为100%。对2家餐饮具消毒中心的消毒餐饮具进行卫生监测，共采集样品10件，样品合格率为100%。</w:t>
      </w:r>
      <w:r>
        <w:rPr>
          <w:rFonts w:hint="eastAsia" w:ascii="仿宋" w:hAnsi="仿宋" w:eastAsia="仿宋" w:cs="仿宋"/>
          <w:b/>
          <w:bCs/>
          <w:sz w:val="28"/>
          <w:szCs w:val="28"/>
          <w:lang w:val="en-US" w:eastAsia="zh-CN"/>
        </w:rPr>
        <w:t>职业病卫生监测工作：</w:t>
      </w:r>
      <w:r>
        <w:rPr>
          <w:rFonts w:hint="eastAsia" w:ascii="仿宋" w:hAnsi="仿宋" w:eastAsia="仿宋" w:cs="仿宋"/>
          <w:sz w:val="28"/>
          <w:szCs w:val="28"/>
          <w:lang w:val="en-US" w:eastAsia="zh-CN"/>
        </w:rPr>
        <w:t>本年度累计审核重点职业病职业健康档案2429条；累计审核疑似职业病病例信息1条；无职业病病例信息上报；累计审核农药中毒病例26例，其中生产性自用2例，生活性误服（用）3例，生活性自服的21例，死亡4人。完成对辖区内20名尘肺病患者的随访调查，其中存活（现患）病例数20例，死亡病例数1例，无失访病例，任务完成率100%，并已全部进行网络上报。累计开展工作场所职业病危害因素监测20家，并全部完成网络数据上报，任务完成率100%。完成13家放射诊疗机构的放射卫生基本情况调查、放射诊疗频度调查和个人剂量监测情况调查，任务完成率100%。</w:t>
      </w:r>
      <w:r>
        <w:rPr>
          <w:rFonts w:hint="eastAsia" w:ascii="仿宋" w:hAnsi="仿宋" w:eastAsia="仿宋" w:cs="仿宋"/>
          <w:b/>
          <w:bCs/>
          <w:sz w:val="28"/>
          <w:szCs w:val="28"/>
          <w:lang w:val="en-US" w:eastAsia="zh-CN"/>
        </w:rPr>
        <w:t>学校卫生监测工作：</w:t>
      </w:r>
      <w:r>
        <w:rPr>
          <w:rFonts w:hint="eastAsia" w:ascii="仿宋" w:hAnsi="仿宋" w:eastAsia="仿宋" w:cs="仿宋"/>
          <w:sz w:val="28"/>
          <w:szCs w:val="28"/>
          <w:lang w:val="en-US" w:eastAsia="zh-CN"/>
        </w:rPr>
        <w:t>完成了近三年湖南省各学校环境卫生设施新建改造情况调查表，对新扩建学校进行教学生活环境进行监测；开展并完成2023年学生常见病和健康影响因素监测与干预工作；成功开展“科学食养，助力儿童健康成长”的宣传活动；印制并发放学生常见病与传染病防控知识手册3000份。</w:t>
      </w:r>
    </w:p>
    <w:p>
      <w:pPr>
        <w:pStyle w:val="12"/>
        <w:widowControl/>
        <w:numPr>
          <w:ilvl w:val="0"/>
          <w:numId w:val="2"/>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pStyle w:val="12"/>
        <w:widowControl/>
        <w:numPr>
          <w:ilvl w:val="0"/>
          <w:numId w:val="0"/>
        </w:numPr>
        <w:tabs>
          <w:tab w:val="left" w:pos="1164"/>
        </w:tabs>
        <w:spacing w:line="600" w:lineRule="exact"/>
        <w:ind w:left="86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详见附表。</w:t>
      </w:r>
    </w:p>
    <w:p>
      <w:pPr>
        <w:pStyle w:val="12"/>
        <w:widowControl/>
        <w:numPr>
          <w:ilvl w:val="0"/>
          <w:numId w:val="2"/>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pPr>
        <w:pStyle w:val="12"/>
        <w:widowControl/>
        <w:numPr>
          <w:ilvl w:val="0"/>
          <w:numId w:val="0"/>
        </w:numPr>
        <w:tabs>
          <w:tab w:val="left" w:pos="1164"/>
        </w:tabs>
        <w:spacing w:line="600" w:lineRule="exact"/>
        <w:ind w:left="86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详见附表。</w:t>
      </w:r>
    </w:p>
    <w:p>
      <w:pPr>
        <w:pStyle w:val="12"/>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12"/>
        <w:widowControl/>
        <w:spacing w:line="600" w:lineRule="exact"/>
        <w:ind w:left="0" w:firstLine="560" w:firstLineChars="200"/>
        <w:rPr>
          <w:rFonts w:hint="default" w:ascii="Times New Roman" w:hAnsi="Times New Roman" w:eastAsia="方正黑体_GBK" w:cs="Times New Roman"/>
          <w:sz w:val="32"/>
          <w:szCs w:val="32"/>
          <w:lang w:eastAsia="zh-CN"/>
        </w:rPr>
      </w:pPr>
      <w:r>
        <w:rPr>
          <w:rFonts w:hint="eastAsia" w:ascii="仿宋" w:hAnsi="仿宋" w:eastAsia="仿宋" w:cs="仿宋"/>
          <w:color w:val="000000"/>
          <w:sz w:val="28"/>
          <w:szCs w:val="28"/>
          <w:lang w:val="en-US" w:eastAsia="zh-CN"/>
        </w:rPr>
        <w:t>2023年</w:t>
      </w:r>
      <w:r>
        <w:rPr>
          <w:rFonts w:hint="eastAsia" w:ascii="仿宋" w:hAnsi="仿宋" w:eastAsia="仿宋" w:cs="仿宋"/>
          <w:sz w:val="28"/>
          <w:szCs w:val="28"/>
          <w:lang w:val="en-US" w:eastAsia="zh-CN"/>
        </w:rPr>
        <w:t>环境卫生检测和卫生防疫服务</w:t>
      </w:r>
      <w:r>
        <w:rPr>
          <w:rFonts w:hint="eastAsia" w:ascii="仿宋" w:hAnsi="仿宋" w:eastAsia="仿宋" w:cs="仿宋"/>
          <w:color w:val="000000"/>
          <w:sz w:val="28"/>
          <w:szCs w:val="28"/>
          <w:lang w:val="en-US" w:eastAsia="zh-CN"/>
        </w:rPr>
        <w:t>项目实施未偏离绩效目标。</w:t>
      </w:r>
    </w:p>
    <w:p>
      <w:pPr>
        <w:pStyle w:val="12"/>
        <w:widowControl/>
        <w:numPr>
          <w:ilvl w:val="0"/>
          <w:numId w:val="3"/>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绩效自评结果拟应用和公开情况</w:t>
      </w:r>
    </w:p>
    <w:p>
      <w:pPr>
        <w:pStyle w:val="12"/>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right="0" w:rightChars="0" w:firstLine="560"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严格执行专项项目支出绩效评价管理暂行办法相关规定，积极探索建立与预算编制相结合，及时做好资金使用的监管，使评价结果得到有效运用，并将相应绩效自评结果，按照相关规定予以公开。</w:t>
      </w:r>
    </w:p>
    <w:p>
      <w:pPr>
        <w:pStyle w:val="12"/>
        <w:widowControl/>
        <w:numPr>
          <w:ilvl w:val="0"/>
          <w:numId w:val="0"/>
        </w:numPr>
        <w:spacing w:line="600" w:lineRule="exact"/>
        <w:ind w:leftChars="200" w:right="0" w:rightChars="0"/>
        <w:rPr>
          <w:rFonts w:hint="default" w:ascii="Times New Roman" w:hAnsi="Times New Roman" w:eastAsia="方正黑体_GBK" w:cs="Times New Roman"/>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1">
    <w:nsid w:val="15F672C3"/>
    <w:multiLevelType w:val="singleLevel"/>
    <w:tmpl w:val="15F672C3"/>
    <w:lvl w:ilvl="0" w:tentative="0">
      <w:start w:val="4"/>
      <w:numFmt w:val="chineseCounting"/>
      <w:suff w:val="nothing"/>
      <w:lvlText w:val="%1、"/>
      <w:lvlJc w:val="left"/>
      <w:rPr>
        <w:rFonts w:hint="eastAsia"/>
      </w:rPr>
    </w:lvl>
  </w:abstractNum>
  <w:abstractNum w:abstractNumId="2">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mYxODk3OGI1YTk3ZWIzMGY0Mzg4NjA1MTQ5NWEifQ=="/>
  </w:docVars>
  <w:rsids>
    <w:rsidRoot w:val="00000000"/>
    <w:rsid w:val="04547216"/>
    <w:rsid w:val="05436869"/>
    <w:rsid w:val="0843483A"/>
    <w:rsid w:val="0BDF3774"/>
    <w:rsid w:val="0D564DFD"/>
    <w:rsid w:val="0DB57CB4"/>
    <w:rsid w:val="0E8845BE"/>
    <w:rsid w:val="0F6F57D8"/>
    <w:rsid w:val="14274190"/>
    <w:rsid w:val="18D620ED"/>
    <w:rsid w:val="18D97BBF"/>
    <w:rsid w:val="1C9A5481"/>
    <w:rsid w:val="1CCE2DCF"/>
    <w:rsid w:val="1EE65901"/>
    <w:rsid w:val="1F397586"/>
    <w:rsid w:val="20221513"/>
    <w:rsid w:val="21C276E9"/>
    <w:rsid w:val="25E96E54"/>
    <w:rsid w:val="27D74B17"/>
    <w:rsid w:val="2B95569E"/>
    <w:rsid w:val="2BD0505A"/>
    <w:rsid w:val="2C7A0860"/>
    <w:rsid w:val="2EFFB905"/>
    <w:rsid w:val="322B0A7A"/>
    <w:rsid w:val="32596FE2"/>
    <w:rsid w:val="37A570FA"/>
    <w:rsid w:val="3E6A6D4F"/>
    <w:rsid w:val="3FE693AD"/>
    <w:rsid w:val="4035158F"/>
    <w:rsid w:val="41911120"/>
    <w:rsid w:val="44C750C1"/>
    <w:rsid w:val="455137CA"/>
    <w:rsid w:val="49CE1363"/>
    <w:rsid w:val="4A9A5B32"/>
    <w:rsid w:val="4AF01932"/>
    <w:rsid w:val="4DD57ADF"/>
    <w:rsid w:val="4E532AAF"/>
    <w:rsid w:val="4F3BD62E"/>
    <w:rsid w:val="524C14DA"/>
    <w:rsid w:val="5318379D"/>
    <w:rsid w:val="536974C6"/>
    <w:rsid w:val="53CB15B5"/>
    <w:rsid w:val="577C6C0C"/>
    <w:rsid w:val="590F614C"/>
    <w:rsid w:val="5A970344"/>
    <w:rsid w:val="5E3D48E1"/>
    <w:rsid w:val="6186789B"/>
    <w:rsid w:val="63B32BC4"/>
    <w:rsid w:val="64CB5136"/>
    <w:rsid w:val="64D65CFB"/>
    <w:rsid w:val="66C0263F"/>
    <w:rsid w:val="6B0851D1"/>
    <w:rsid w:val="77B909F0"/>
    <w:rsid w:val="7854086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3"/>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Body Text Indent"/>
    <w:basedOn w:val="1"/>
    <w:next w:val="5"/>
    <w:autoRedefine/>
    <w:qFormat/>
    <w:uiPriority w:val="0"/>
    <w:pPr>
      <w:spacing w:after="120"/>
      <w:ind w:left="420"/>
    </w:pPr>
    <w:rPr>
      <w:rFonts w:ascii="Times New Roman" w:hAnsi="Times New Roman" w:eastAsia="宋体" w:cs="Times New Roman"/>
      <w:lang w:bidi="ar-SA"/>
    </w:rPr>
  </w:style>
  <w:style w:type="paragraph" w:styleId="5">
    <w:name w:val="Normal (Web)"/>
    <w:basedOn w:val="1"/>
    <w:autoRedefine/>
    <w:qFormat/>
    <w:uiPriority w:val="99"/>
    <w:pPr>
      <w:spacing w:before="100" w:beforeAutospacing="1" w:after="100" w:afterAutospacing="1"/>
    </w:pPr>
    <w:rPr>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autoRedefine/>
    <w:qFormat/>
    <w:uiPriority w:val="0"/>
    <w:pPr>
      <w:ind w:left="0" w:firstLine="420"/>
    </w:pPr>
    <w:rPr>
      <w:rFonts w:ascii="仿宋_GB2312" w:eastAsia="仿宋_GB2312" w:cs="仿宋_GB2312"/>
      <w:sz w:val="32"/>
      <w:szCs w:val="32"/>
      <w:lang w:bidi="ar-SA"/>
    </w:rPr>
  </w:style>
  <w:style w:type="character" w:customStyle="1" w:styleId="11">
    <w:name w:val="标题 1 Char"/>
    <w:basedOn w:val="10"/>
    <w:link w:val="2"/>
    <w:autoRedefine/>
    <w:qFormat/>
    <w:uiPriority w:val="0"/>
    <w:rPr>
      <w:rFonts w:hint="default" w:ascii="Calibri" w:hAnsi="Calibri" w:cs="Calibri"/>
      <w:b/>
      <w:bCs/>
      <w:kern w:val="44"/>
      <w:sz w:val="44"/>
      <w:szCs w:val="44"/>
    </w:rPr>
  </w:style>
  <w:style w:type="paragraph" w:customStyle="1" w:styleId="12">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3">
    <w:name w:val="正文文本 Char"/>
    <w:basedOn w:val="10"/>
    <w:link w:val="3"/>
    <w:autoRedefine/>
    <w:qFormat/>
    <w:uiPriority w:val="0"/>
    <w:rPr>
      <w:rFonts w:hint="eastAsia" w:ascii="宋体" w:hAnsi="宋体" w:eastAsia="宋体" w:cs="宋体"/>
      <w:kern w:val="2"/>
      <w:sz w:val="33"/>
      <w:szCs w:val="33"/>
    </w:rPr>
  </w:style>
  <w:style w:type="character" w:customStyle="1" w:styleId="14">
    <w:name w:val="font21"/>
    <w:basedOn w:val="10"/>
    <w:uiPriority w:val="0"/>
    <w:rPr>
      <w:rFonts w:hint="eastAsia" w:ascii="宋体" w:hAnsi="宋体" w:eastAsia="宋体" w:cs="宋体"/>
      <w:color w:val="000000"/>
      <w:sz w:val="24"/>
      <w:szCs w:val="24"/>
      <w:u w:val="none"/>
    </w:rPr>
  </w:style>
  <w:style w:type="character" w:customStyle="1" w:styleId="15">
    <w:name w:val="font31"/>
    <w:basedOn w:val="10"/>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6056</Words>
  <Characters>6211</Characters>
  <Lines>0</Lines>
  <Paragraphs>0</Paragraphs>
  <TotalTime>5</TotalTime>
  <ScaleCrop>false</ScaleCrop>
  <LinksUpToDate>false</LinksUpToDate>
  <CharactersWithSpaces>6762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芋头</cp:lastModifiedBy>
  <cp:lastPrinted>2024-04-15T01:22:20Z</cp:lastPrinted>
  <dcterms:modified xsi:type="dcterms:W3CDTF">2024-04-15T01:59:34Z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B827E7F2C507419EB0B78A062DF7EBF7_13</vt:lpwstr>
  </property>
</Properties>
</file>