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1BDF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楷体" w:cs="Times New Roman"/>
          <w:color w:val="000000"/>
          <w:sz w:val="30"/>
          <w:szCs w:val="30"/>
        </w:rPr>
        <w:t xml:space="preserve">附件5 </w:t>
      </w:r>
    </w:p>
    <w:p w14:paraId="2BF3E76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w w:val="95"/>
          <w:kern w:val="2"/>
          <w:sz w:val="44"/>
          <w:szCs w:val="44"/>
          <w:lang w:val="en-US" w:eastAsia="zh-CN" w:bidi="ar"/>
        </w:rPr>
      </w:pPr>
      <w:r>
        <w:rPr>
          <w:rFonts w:hint="eastAsia" w:ascii="方正小标宋_GBK" w:hAnsi="方正小标宋_GBK" w:eastAsia="方正小标宋_GBK" w:cs="方正小标宋_GBK"/>
          <w:bCs/>
          <w:w w:val="95"/>
          <w:kern w:val="2"/>
          <w:sz w:val="44"/>
          <w:szCs w:val="44"/>
          <w:lang w:val="en-US" w:eastAsia="zh-CN" w:bidi="ar"/>
        </w:rPr>
        <w:t>渌口区2023年政府专项债券项目绩效自评表</w:t>
      </w:r>
    </w:p>
    <w:p w14:paraId="57BE611E">
      <w:pPr>
        <w:spacing w:line="4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填报单位（盖章）：</w:t>
      </w:r>
    </w:p>
    <w:tbl>
      <w:tblPr>
        <w:tblStyle w:val="10"/>
        <w:tblW w:w="9818" w:type="dxa"/>
        <w:jc w:val="center"/>
        <w:tblLayout w:type="fixed"/>
        <w:tblCellMar>
          <w:top w:w="0" w:type="dxa"/>
          <w:left w:w="108" w:type="dxa"/>
          <w:bottom w:w="0" w:type="dxa"/>
          <w:right w:w="108" w:type="dxa"/>
        </w:tblCellMar>
      </w:tblPr>
      <w:tblGrid>
        <w:gridCol w:w="705"/>
        <w:gridCol w:w="414"/>
        <w:gridCol w:w="415"/>
        <w:gridCol w:w="1104"/>
        <w:gridCol w:w="690"/>
        <w:gridCol w:w="1381"/>
        <w:gridCol w:w="828"/>
        <w:gridCol w:w="829"/>
        <w:gridCol w:w="414"/>
        <w:gridCol w:w="283"/>
        <w:gridCol w:w="683"/>
        <w:gridCol w:w="247"/>
        <w:gridCol w:w="1134"/>
        <w:gridCol w:w="691"/>
      </w:tblGrid>
      <w:tr w14:paraId="2F4D0F04">
        <w:tblPrEx>
          <w:tblCellMar>
            <w:top w:w="0" w:type="dxa"/>
            <w:left w:w="108" w:type="dxa"/>
            <w:bottom w:w="0" w:type="dxa"/>
            <w:right w:w="108" w:type="dxa"/>
          </w:tblCellMar>
        </w:tblPrEx>
        <w:trPr>
          <w:trHeight w:val="391" w:hRule="atLeast"/>
          <w:jc w:val="center"/>
        </w:trPr>
        <w:tc>
          <w:tcPr>
            <w:tcW w:w="11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A11E6B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项目名称</w:t>
            </w:r>
          </w:p>
        </w:tc>
        <w:tc>
          <w:tcPr>
            <w:tcW w:w="3590" w:type="dxa"/>
            <w:gridSpan w:val="4"/>
            <w:tcBorders>
              <w:top w:val="single" w:color="auto" w:sz="4" w:space="0"/>
              <w:left w:val="nil"/>
              <w:bottom w:val="single" w:color="auto" w:sz="4" w:space="0"/>
              <w:right w:val="single" w:color="000000" w:sz="4" w:space="0"/>
            </w:tcBorders>
            <w:shd w:val="clear" w:color="auto" w:fill="auto"/>
            <w:noWrap w:val="0"/>
            <w:vAlign w:val="center"/>
          </w:tcPr>
          <w:p w14:paraId="17BB093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株洲市渌口区渌口镇东西片区市政排污管网建设项目</w:t>
            </w:r>
          </w:p>
        </w:tc>
        <w:tc>
          <w:tcPr>
            <w:tcW w:w="2071" w:type="dxa"/>
            <w:gridSpan w:val="3"/>
            <w:tcBorders>
              <w:top w:val="single" w:color="auto" w:sz="4" w:space="0"/>
              <w:left w:val="nil"/>
              <w:bottom w:val="single" w:color="auto" w:sz="4" w:space="0"/>
              <w:right w:val="single" w:color="000000" w:sz="4" w:space="0"/>
            </w:tcBorders>
            <w:shd w:val="clear" w:color="auto" w:fill="auto"/>
            <w:noWrap w:val="0"/>
            <w:vAlign w:val="center"/>
          </w:tcPr>
          <w:p w14:paraId="25B87F7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实施期限</w:t>
            </w:r>
          </w:p>
        </w:tc>
        <w:tc>
          <w:tcPr>
            <w:tcW w:w="3038" w:type="dxa"/>
            <w:gridSpan w:val="5"/>
            <w:tcBorders>
              <w:top w:val="single" w:color="auto" w:sz="4" w:space="0"/>
              <w:left w:val="nil"/>
              <w:bottom w:val="single" w:color="auto" w:sz="4" w:space="0"/>
              <w:right w:val="single" w:color="000000" w:sz="4" w:space="0"/>
            </w:tcBorders>
            <w:shd w:val="clear" w:color="auto" w:fill="auto"/>
            <w:noWrap w:val="0"/>
            <w:vAlign w:val="center"/>
          </w:tcPr>
          <w:p w14:paraId="6A99E5F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2022.9-2024.8</w:t>
            </w:r>
          </w:p>
        </w:tc>
      </w:tr>
      <w:tr w14:paraId="758A97D9">
        <w:tblPrEx>
          <w:tblCellMar>
            <w:top w:w="0" w:type="dxa"/>
            <w:left w:w="108" w:type="dxa"/>
            <w:bottom w:w="0" w:type="dxa"/>
            <w:right w:w="108" w:type="dxa"/>
          </w:tblCellMar>
        </w:tblPrEx>
        <w:trPr>
          <w:trHeight w:val="315" w:hRule="atLeast"/>
          <w:jc w:val="center"/>
        </w:trPr>
        <w:tc>
          <w:tcPr>
            <w:tcW w:w="111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863CD4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主管部门</w:t>
            </w:r>
          </w:p>
        </w:tc>
        <w:tc>
          <w:tcPr>
            <w:tcW w:w="3590" w:type="dxa"/>
            <w:gridSpan w:val="4"/>
            <w:tcBorders>
              <w:top w:val="single" w:color="auto" w:sz="4" w:space="0"/>
              <w:left w:val="nil"/>
              <w:bottom w:val="single" w:color="auto" w:sz="4" w:space="0"/>
              <w:right w:val="single" w:color="auto" w:sz="4" w:space="0"/>
            </w:tcBorders>
            <w:shd w:val="clear" w:color="auto" w:fill="auto"/>
            <w:noWrap w:val="0"/>
            <w:vAlign w:val="center"/>
          </w:tcPr>
          <w:p w14:paraId="62873DF6">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eastAsia="zh-CN"/>
              </w:rPr>
              <w:t>株洲市渌口区住房和城乡建设局</w:t>
            </w:r>
          </w:p>
        </w:tc>
        <w:tc>
          <w:tcPr>
            <w:tcW w:w="2071" w:type="dxa"/>
            <w:gridSpan w:val="3"/>
            <w:tcBorders>
              <w:top w:val="nil"/>
              <w:left w:val="nil"/>
              <w:bottom w:val="single" w:color="auto" w:sz="4" w:space="0"/>
              <w:right w:val="single" w:color="auto" w:sz="4" w:space="0"/>
            </w:tcBorders>
            <w:shd w:val="clear" w:color="auto" w:fill="auto"/>
            <w:noWrap w:val="0"/>
            <w:vAlign w:val="center"/>
          </w:tcPr>
          <w:p w14:paraId="796F423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实施单位</w:t>
            </w:r>
          </w:p>
        </w:tc>
        <w:tc>
          <w:tcPr>
            <w:tcW w:w="3038" w:type="dxa"/>
            <w:gridSpan w:val="5"/>
            <w:tcBorders>
              <w:top w:val="single" w:color="auto" w:sz="4" w:space="0"/>
              <w:left w:val="nil"/>
              <w:bottom w:val="single" w:color="auto" w:sz="4" w:space="0"/>
              <w:right w:val="single" w:color="auto" w:sz="4" w:space="0"/>
            </w:tcBorders>
            <w:noWrap w:val="0"/>
            <w:vAlign w:val="center"/>
          </w:tcPr>
          <w:p w14:paraId="7A06E3E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株洲渌湘城市排水有限公司</w:t>
            </w:r>
          </w:p>
        </w:tc>
      </w:tr>
      <w:tr w14:paraId="6A9B0154">
        <w:tblPrEx>
          <w:tblCellMar>
            <w:top w:w="0" w:type="dxa"/>
            <w:left w:w="108" w:type="dxa"/>
            <w:bottom w:w="0" w:type="dxa"/>
            <w:right w:w="108" w:type="dxa"/>
          </w:tblCellMar>
        </w:tblPrEx>
        <w:trPr>
          <w:trHeight w:val="416" w:hRule="atLeast"/>
          <w:jc w:val="center"/>
        </w:trPr>
        <w:tc>
          <w:tcPr>
            <w:tcW w:w="1119" w:type="dxa"/>
            <w:gridSpan w:val="2"/>
            <w:vMerge w:val="restart"/>
            <w:tcBorders>
              <w:top w:val="single" w:color="auto" w:sz="4" w:space="0"/>
              <w:left w:val="single" w:color="auto" w:sz="4" w:space="0"/>
              <w:right w:val="single" w:color="auto" w:sz="4" w:space="0"/>
            </w:tcBorders>
            <w:shd w:val="clear" w:color="auto" w:fill="auto"/>
            <w:noWrap w:val="0"/>
            <w:vAlign w:val="center"/>
          </w:tcPr>
          <w:p w14:paraId="1FEEA81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项目资金</w:t>
            </w:r>
          </w:p>
          <w:p w14:paraId="6DDDAF1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（万元）</w:t>
            </w:r>
          </w:p>
        </w:tc>
        <w:tc>
          <w:tcPr>
            <w:tcW w:w="2209" w:type="dxa"/>
            <w:gridSpan w:val="3"/>
            <w:tcBorders>
              <w:top w:val="nil"/>
              <w:left w:val="nil"/>
              <w:bottom w:val="single" w:color="auto" w:sz="4" w:space="0"/>
              <w:right w:val="single" w:color="auto" w:sz="4" w:space="0"/>
            </w:tcBorders>
            <w:shd w:val="clear" w:color="auto" w:fill="auto"/>
            <w:noWrap w:val="0"/>
            <w:vAlign w:val="center"/>
          </w:tcPr>
          <w:p w14:paraId="6B1FB8E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381" w:type="dxa"/>
            <w:tcBorders>
              <w:top w:val="nil"/>
              <w:left w:val="nil"/>
              <w:bottom w:val="single" w:color="auto" w:sz="4" w:space="0"/>
              <w:right w:val="single" w:color="auto" w:sz="4" w:space="0"/>
            </w:tcBorders>
            <w:shd w:val="clear" w:color="auto" w:fill="auto"/>
            <w:noWrap w:val="0"/>
            <w:vAlign w:val="center"/>
          </w:tcPr>
          <w:p w14:paraId="1B4A57B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预算数</w:t>
            </w:r>
          </w:p>
        </w:tc>
        <w:tc>
          <w:tcPr>
            <w:tcW w:w="2071" w:type="dxa"/>
            <w:gridSpan w:val="3"/>
            <w:tcBorders>
              <w:top w:val="single" w:color="auto" w:sz="4" w:space="0"/>
              <w:left w:val="nil"/>
              <w:bottom w:val="single" w:color="auto" w:sz="4" w:space="0"/>
              <w:right w:val="single" w:color="auto" w:sz="4" w:space="0"/>
            </w:tcBorders>
            <w:shd w:val="clear" w:color="auto" w:fill="auto"/>
            <w:noWrap w:val="0"/>
            <w:vAlign w:val="center"/>
          </w:tcPr>
          <w:p w14:paraId="47557E1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执行数</w:t>
            </w:r>
          </w:p>
        </w:tc>
        <w:tc>
          <w:tcPr>
            <w:tcW w:w="966" w:type="dxa"/>
            <w:gridSpan w:val="2"/>
            <w:tcBorders>
              <w:top w:val="nil"/>
              <w:left w:val="nil"/>
              <w:bottom w:val="single" w:color="auto" w:sz="4" w:space="0"/>
              <w:right w:val="single" w:color="auto" w:sz="4" w:space="0"/>
            </w:tcBorders>
            <w:shd w:val="clear" w:color="auto" w:fill="auto"/>
            <w:noWrap w:val="0"/>
            <w:vAlign w:val="center"/>
          </w:tcPr>
          <w:p w14:paraId="0F894FC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1381" w:type="dxa"/>
            <w:gridSpan w:val="2"/>
            <w:tcBorders>
              <w:top w:val="nil"/>
              <w:left w:val="nil"/>
              <w:bottom w:val="single" w:color="auto" w:sz="4" w:space="0"/>
              <w:right w:val="single" w:color="auto" w:sz="4" w:space="0"/>
            </w:tcBorders>
            <w:shd w:val="clear" w:color="auto" w:fill="auto"/>
            <w:noWrap w:val="0"/>
            <w:vAlign w:val="center"/>
          </w:tcPr>
          <w:p w14:paraId="21A422D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执行率</w:t>
            </w:r>
          </w:p>
        </w:tc>
        <w:tc>
          <w:tcPr>
            <w:tcW w:w="691" w:type="dxa"/>
            <w:tcBorders>
              <w:top w:val="nil"/>
              <w:left w:val="nil"/>
              <w:bottom w:val="single" w:color="auto" w:sz="4" w:space="0"/>
              <w:right w:val="single" w:color="auto" w:sz="4" w:space="0"/>
            </w:tcBorders>
            <w:shd w:val="clear" w:color="auto" w:fill="auto"/>
            <w:noWrap w:val="0"/>
            <w:vAlign w:val="center"/>
          </w:tcPr>
          <w:p w14:paraId="36DB90C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r>
      <w:tr w14:paraId="0A40C77C">
        <w:tblPrEx>
          <w:tblCellMar>
            <w:top w:w="0" w:type="dxa"/>
            <w:left w:w="108" w:type="dxa"/>
            <w:bottom w:w="0" w:type="dxa"/>
            <w:right w:w="108" w:type="dxa"/>
          </w:tblCellMar>
        </w:tblPrEx>
        <w:trPr>
          <w:trHeight w:val="315" w:hRule="atLeast"/>
          <w:jc w:val="center"/>
        </w:trPr>
        <w:tc>
          <w:tcPr>
            <w:tcW w:w="1119" w:type="dxa"/>
            <w:gridSpan w:val="2"/>
            <w:vMerge w:val="continue"/>
            <w:tcBorders>
              <w:left w:val="single" w:color="auto" w:sz="4" w:space="0"/>
              <w:right w:val="single" w:color="auto" w:sz="4" w:space="0"/>
            </w:tcBorders>
            <w:shd w:val="clear" w:color="auto" w:fill="auto"/>
            <w:noWrap w:val="0"/>
            <w:vAlign w:val="center"/>
          </w:tcPr>
          <w:p w14:paraId="3ABB4BA4">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09" w:type="dxa"/>
            <w:gridSpan w:val="3"/>
            <w:tcBorders>
              <w:top w:val="nil"/>
              <w:left w:val="nil"/>
              <w:bottom w:val="single" w:color="auto" w:sz="4" w:space="0"/>
              <w:right w:val="single" w:color="auto" w:sz="4" w:space="0"/>
            </w:tcBorders>
            <w:shd w:val="clear" w:color="auto" w:fill="auto"/>
            <w:noWrap w:val="0"/>
            <w:vAlign w:val="center"/>
          </w:tcPr>
          <w:p w14:paraId="63D9482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年度资金总额</w:t>
            </w:r>
          </w:p>
        </w:tc>
        <w:tc>
          <w:tcPr>
            <w:tcW w:w="1381" w:type="dxa"/>
            <w:tcBorders>
              <w:top w:val="nil"/>
              <w:left w:val="nil"/>
              <w:bottom w:val="single" w:color="auto" w:sz="4" w:space="0"/>
              <w:right w:val="single" w:color="auto" w:sz="4" w:space="0"/>
            </w:tcBorders>
            <w:shd w:val="clear" w:color="auto" w:fill="auto"/>
            <w:noWrap w:val="0"/>
            <w:vAlign w:val="center"/>
          </w:tcPr>
          <w:p w14:paraId="469915E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rPr>
            </w:pPr>
            <w:r>
              <w:rPr>
                <w:rFonts w:hint="eastAsia" w:ascii="Times New Roman" w:hAnsi="Times New Roman" w:eastAsia="仿宋_GB2312" w:cs="Times New Roman"/>
                <w:color w:val="000000"/>
                <w:kern w:val="0"/>
                <w:sz w:val="20"/>
                <w:szCs w:val="20"/>
                <w:lang w:val="en-US" w:eastAsia="zh-CN"/>
              </w:rPr>
              <w:t>11000</w:t>
            </w:r>
          </w:p>
        </w:tc>
        <w:tc>
          <w:tcPr>
            <w:tcW w:w="2071" w:type="dxa"/>
            <w:gridSpan w:val="3"/>
            <w:tcBorders>
              <w:top w:val="single" w:color="auto" w:sz="4" w:space="0"/>
              <w:left w:val="nil"/>
              <w:bottom w:val="single" w:color="auto" w:sz="4" w:space="0"/>
              <w:right w:val="single" w:color="auto" w:sz="4" w:space="0"/>
            </w:tcBorders>
            <w:shd w:val="clear" w:color="auto" w:fill="auto"/>
            <w:noWrap w:val="0"/>
            <w:vAlign w:val="center"/>
          </w:tcPr>
          <w:p w14:paraId="1E71136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9000</w:t>
            </w:r>
          </w:p>
        </w:tc>
        <w:tc>
          <w:tcPr>
            <w:tcW w:w="966" w:type="dxa"/>
            <w:gridSpan w:val="2"/>
            <w:tcBorders>
              <w:top w:val="nil"/>
              <w:left w:val="nil"/>
              <w:bottom w:val="single" w:color="auto" w:sz="4" w:space="0"/>
              <w:right w:val="single" w:color="auto" w:sz="4" w:space="0"/>
            </w:tcBorders>
            <w:shd w:val="clear" w:color="auto" w:fill="auto"/>
            <w:noWrap w:val="0"/>
            <w:vAlign w:val="center"/>
          </w:tcPr>
          <w:p w14:paraId="06DB52B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20</w:t>
            </w:r>
          </w:p>
        </w:tc>
        <w:tc>
          <w:tcPr>
            <w:tcW w:w="1381" w:type="dxa"/>
            <w:gridSpan w:val="2"/>
            <w:tcBorders>
              <w:top w:val="nil"/>
              <w:left w:val="nil"/>
              <w:bottom w:val="single" w:color="auto" w:sz="4" w:space="0"/>
              <w:right w:val="single" w:color="auto" w:sz="4" w:space="0"/>
            </w:tcBorders>
            <w:shd w:val="clear" w:color="auto" w:fill="auto"/>
            <w:noWrap w:val="0"/>
            <w:vAlign w:val="center"/>
          </w:tcPr>
          <w:p w14:paraId="5F78826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81.82%</w:t>
            </w:r>
          </w:p>
        </w:tc>
        <w:tc>
          <w:tcPr>
            <w:tcW w:w="691" w:type="dxa"/>
            <w:tcBorders>
              <w:top w:val="nil"/>
              <w:left w:val="nil"/>
              <w:bottom w:val="single" w:color="auto" w:sz="4" w:space="0"/>
              <w:right w:val="single" w:color="auto" w:sz="4" w:space="0"/>
            </w:tcBorders>
            <w:shd w:val="clear" w:color="auto" w:fill="auto"/>
            <w:noWrap w:val="0"/>
            <w:vAlign w:val="center"/>
          </w:tcPr>
          <w:p w14:paraId="38FC0D6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16.36</w:t>
            </w:r>
          </w:p>
        </w:tc>
      </w:tr>
      <w:tr w14:paraId="025F83DC">
        <w:tblPrEx>
          <w:tblCellMar>
            <w:top w:w="0" w:type="dxa"/>
            <w:left w:w="108" w:type="dxa"/>
            <w:bottom w:w="0" w:type="dxa"/>
            <w:right w:w="108" w:type="dxa"/>
          </w:tblCellMar>
        </w:tblPrEx>
        <w:trPr>
          <w:trHeight w:val="396" w:hRule="atLeast"/>
          <w:jc w:val="center"/>
        </w:trPr>
        <w:tc>
          <w:tcPr>
            <w:tcW w:w="1119" w:type="dxa"/>
            <w:gridSpan w:val="2"/>
            <w:vMerge w:val="continue"/>
            <w:tcBorders>
              <w:left w:val="single" w:color="auto" w:sz="4" w:space="0"/>
              <w:right w:val="single" w:color="auto" w:sz="4" w:space="0"/>
            </w:tcBorders>
            <w:shd w:val="clear" w:color="auto" w:fill="auto"/>
            <w:noWrap w:val="0"/>
            <w:vAlign w:val="center"/>
          </w:tcPr>
          <w:p w14:paraId="3295A6C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09" w:type="dxa"/>
            <w:gridSpan w:val="3"/>
            <w:tcBorders>
              <w:top w:val="nil"/>
              <w:left w:val="nil"/>
              <w:bottom w:val="single" w:color="auto" w:sz="4" w:space="0"/>
              <w:right w:val="single" w:color="auto" w:sz="4" w:space="0"/>
            </w:tcBorders>
            <w:shd w:val="clear" w:color="auto" w:fill="auto"/>
            <w:noWrap w:val="0"/>
            <w:vAlign w:val="center"/>
          </w:tcPr>
          <w:p w14:paraId="45E3794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其中：债券资金</w:t>
            </w:r>
          </w:p>
        </w:tc>
        <w:tc>
          <w:tcPr>
            <w:tcW w:w="1381" w:type="dxa"/>
            <w:tcBorders>
              <w:top w:val="nil"/>
              <w:left w:val="nil"/>
              <w:bottom w:val="single" w:color="auto" w:sz="4" w:space="0"/>
              <w:right w:val="single" w:color="auto" w:sz="4" w:space="0"/>
            </w:tcBorders>
            <w:shd w:val="clear" w:color="auto" w:fill="auto"/>
            <w:noWrap w:val="0"/>
            <w:vAlign w:val="center"/>
          </w:tcPr>
          <w:p w14:paraId="58570F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rPr>
            </w:pPr>
            <w:r>
              <w:rPr>
                <w:rFonts w:hint="eastAsia" w:ascii="Times New Roman" w:hAnsi="Times New Roman" w:eastAsia="仿宋_GB2312" w:cs="Times New Roman"/>
                <w:color w:val="000000"/>
                <w:kern w:val="0"/>
                <w:sz w:val="20"/>
                <w:szCs w:val="20"/>
                <w:lang w:val="en-US" w:eastAsia="zh-CN"/>
              </w:rPr>
              <w:t>9000</w:t>
            </w:r>
          </w:p>
        </w:tc>
        <w:tc>
          <w:tcPr>
            <w:tcW w:w="2071" w:type="dxa"/>
            <w:gridSpan w:val="3"/>
            <w:tcBorders>
              <w:top w:val="single" w:color="auto" w:sz="4" w:space="0"/>
              <w:left w:val="nil"/>
              <w:bottom w:val="single" w:color="auto" w:sz="4" w:space="0"/>
              <w:right w:val="single" w:color="auto" w:sz="4" w:space="0"/>
            </w:tcBorders>
            <w:shd w:val="clear" w:color="auto" w:fill="auto"/>
            <w:noWrap w:val="0"/>
            <w:vAlign w:val="center"/>
          </w:tcPr>
          <w:p w14:paraId="5BE047E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9000</w:t>
            </w:r>
          </w:p>
        </w:tc>
        <w:tc>
          <w:tcPr>
            <w:tcW w:w="966" w:type="dxa"/>
            <w:gridSpan w:val="2"/>
            <w:tcBorders>
              <w:top w:val="nil"/>
              <w:left w:val="nil"/>
              <w:bottom w:val="single" w:color="auto" w:sz="4" w:space="0"/>
              <w:right w:val="single" w:color="auto" w:sz="4" w:space="0"/>
            </w:tcBorders>
            <w:shd w:val="clear" w:color="auto" w:fill="auto"/>
            <w:noWrap w:val="0"/>
            <w:vAlign w:val="center"/>
          </w:tcPr>
          <w:p w14:paraId="723AF6FF">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w:t>
            </w:r>
          </w:p>
        </w:tc>
        <w:tc>
          <w:tcPr>
            <w:tcW w:w="1381" w:type="dxa"/>
            <w:gridSpan w:val="2"/>
            <w:tcBorders>
              <w:top w:val="nil"/>
              <w:left w:val="nil"/>
              <w:bottom w:val="single" w:color="auto" w:sz="4" w:space="0"/>
              <w:right w:val="single" w:color="auto" w:sz="4" w:space="0"/>
            </w:tcBorders>
            <w:shd w:val="clear" w:color="auto" w:fill="auto"/>
            <w:noWrap w:val="0"/>
            <w:vAlign w:val="center"/>
          </w:tcPr>
          <w:p w14:paraId="1826C0B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w:t>
            </w:r>
          </w:p>
        </w:tc>
        <w:tc>
          <w:tcPr>
            <w:tcW w:w="691" w:type="dxa"/>
            <w:tcBorders>
              <w:top w:val="nil"/>
              <w:left w:val="nil"/>
              <w:bottom w:val="single" w:color="auto" w:sz="4" w:space="0"/>
              <w:right w:val="single" w:color="auto" w:sz="4" w:space="0"/>
            </w:tcBorders>
            <w:shd w:val="clear" w:color="auto" w:fill="auto"/>
            <w:noWrap w:val="0"/>
            <w:vAlign w:val="center"/>
          </w:tcPr>
          <w:p w14:paraId="713DB8CF">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w:t>
            </w:r>
          </w:p>
        </w:tc>
      </w:tr>
      <w:tr w14:paraId="6E066443">
        <w:tblPrEx>
          <w:tblCellMar>
            <w:top w:w="0" w:type="dxa"/>
            <w:left w:w="108" w:type="dxa"/>
            <w:bottom w:w="0" w:type="dxa"/>
            <w:right w:w="108" w:type="dxa"/>
          </w:tblCellMar>
        </w:tblPrEx>
        <w:trPr>
          <w:trHeight w:val="315" w:hRule="atLeast"/>
          <w:jc w:val="center"/>
        </w:trPr>
        <w:tc>
          <w:tcPr>
            <w:tcW w:w="1119" w:type="dxa"/>
            <w:gridSpan w:val="2"/>
            <w:vMerge w:val="continue"/>
            <w:tcBorders>
              <w:left w:val="single" w:color="auto" w:sz="4" w:space="0"/>
              <w:right w:val="single" w:color="auto" w:sz="4" w:space="0"/>
            </w:tcBorders>
            <w:shd w:val="clear" w:color="auto" w:fill="auto"/>
            <w:noWrap w:val="0"/>
            <w:vAlign w:val="center"/>
          </w:tcPr>
          <w:p w14:paraId="3DE04CC1">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09" w:type="dxa"/>
            <w:gridSpan w:val="3"/>
            <w:tcBorders>
              <w:top w:val="nil"/>
              <w:left w:val="nil"/>
              <w:bottom w:val="single" w:color="auto" w:sz="4" w:space="0"/>
              <w:right w:val="single" w:color="auto" w:sz="4" w:space="0"/>
            </w:tcBorders>
            <w:shd w:val="clear" w:color="auto" w:fill="auto"/>
            <w:noWrap w:val="0"/>
            <w:vAlign w:val="center"/>
          </w:tcPr>
          <w:p w14:paraId="1DD3E236">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其他资金</w:t>
            </w:r>
          </w:p>
        </w:tc>
        <w:tc>
          <w:tcPr>
            <w:tcW w:w="1381" w:type="dxa"/>
            <w:tcBorders>
              <w:top w:val="nil"/>
              <w:left w:val="nil"/>
              <w:bottom w:val="single" w:color="auto" w:sz="4" w:space="0"/>
              <w:right w:val="single" w:color="auto" w:sz="4" w:space="0"/>
            </w:tcBorders>
            <w:shd w:val="clear" w:color="auto" w:fill="auto"/>
            <w:noWrap w:val="0"/>
            <w:vAlign w:val="center"/>
          </w:tcPr>
          <w:p w14:paraId="4BDD553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rPr>
            </w:pPr>
            <w:r>
              <w:rPr>
                <w:rFonts w:hint="eastAsia" w:ascii="Times New Roman" w:hAnsi="Times New Roman" w:eastAsia="仿宋_GB2312" w:cs="Times New Roman"/>
                <w:color w:val="000000"/>
                <w:kern w:val="0"/>
                <w:sz w:val="20"/>
                <w:szCs w:val="20"/>
                <w:lang w:val="en-US" w:eastAsia="zh-CN"/>
              </w:rPr>
              <w:t>2000</w:t>
            </w:r>
          </w:p>
        </w:tc>
        <w:tc>
          <w:tcPr>
            <w:tcW w:w="2071" w:type="dxa"/>
            <w:gridSpan w:val="3"/>
            <w:tcBorders>
              <w:top w:val="single" w:color="auto" w:sz="4" w:space="0"/>
              <w:left w:val="nil"/>
              <w:bottom w:val="single" w:color="auto" w:sz="4" w:space="0"/>
              <w:right w:val="single" w:color="auto" w:sz="4" w:space="0"/>
            </w:tcBorders>
            <w:shd w:val="clear" w:color="auto" w:fill="auto"/>
            <w:noWrap w:val="0"/>
            <w:vAlign w:val="top"/>
          </w:tcPr>
          <w:p w14:paraId="1DFEAC5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0</w:t>
            </w:r>
          </w:p>
        </w:tc>
        <w:tc>
          <w:tcPr>
            <w:tcW w:w="966" w:type="dxa"/>
            <w:gridSpan w:val="2"/>
            <w:tcBorders>
              <w:top w:val="nil"/>
              <w:left w:val="nil"/>
              <w:bottom w:val="single" w:color="auto" w:sz="4" w:space="0"/>
              <w:right w:val="single" w:color="auto" w:sz="4" w:space="0"/>
            </w:tcBorders>
            <w:shd w:val="clear" w:color="auto" w:fill="auto"/>
            <w:noWrap w:val="0"/>
            <w:vAlign w:val="center"/>
          </w:tcPr>
          <w:p w14:paraId="789986EB">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w:t>
            </w:r>
          </w:p>
        </w:tc>
        <w:tc>
          <w:tcPr>
            <w:tcW w:w="1381" w:type="dxa"/>
            <w:gridSpan w:val="2"/>
            <w:tcBorders>
              <w:top w:val="nil"/>
              <w:left w:val="nil"/>
              <w:bottom w:val="single" w:color="auto" w:sz="4" w:space="0"/>
              <w:right w:val="single" w:color="auto" w:sz="4" w:space="0"/>
            </w:tcBorders>
            <w:shd w:val="clear" w:color="auto" w:fill="auto"/>
            <w:noWrap w:val="0"/>
            <w:vAlign w:val="center"/>
          </w:tcPr>
          <w:p w14:paraId="61A833A3">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w:t>
            </w:r>
          </w:p>
        </w:tc>
        <w:tc>
          <w:tcPr>
            <w:tcW w:w="691" w:type="dxa"/>
            <w:tcBorders>
              <w:top w:val="nil"/>
              <w:left w:val="nil"/>
              <w:bottom w:val="single" w:color="auto" w:sz="4" w:space="0"/>
              <w:right w:val="single" w:color="auto" w:sz="4" w:space="0"/>
            </w:tcBorders>
            <w:shd w:val="clear" w:color="auto" w:fill="auto"/>
            <w:noWrap w:val="0"/>
            <w:vAlign w:val="center"/>
          </w:tcPr>
          <w:p w14:paraId="5A3A5CB3">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w:t>
            </w:r>
          </w:p>
        </w:tc>
      </w:tr>
      <w:tr w14:paraId="37CAD02C">
        <w:tblPrEx>
          <w:tblCellMar>
            <w:top w:w="0" w:type="dxa"/>
            <w:left w:w="108" w:type="dxa"/>
            <w:bottom w:w="0" w:type="dxa"/>
            <w:right w:w="108" w:type="dxa"/>
          </w:tblCellMar>
        </w:tblPrEx>
        <w:trPr>
          <w:trHeight w:val="315" w:hRule="atLeast"/>
          <w:jc w:val="center"/>
        </w:trPr>
        <w:tc>
          <w:tcPr>
            <w:tcW w:w="1119" w:type="dxa"/>
            <w:gridSpan w:val="2"/>
            <w:vMerge w:val="continue"/>
            <w:tcBorders>
              <w:left w:val="single" w:color="auto" w:sz="4" w:space="0"/>
              <w:bottom w:val="single" w:color="auto" w:sz="4" w:space="0"/>
              <w:right w:val="single" w:color="auto" w:sz="4" w:space="0"/>
            </w:tcBorders>
            <w:shd w:val="clear" w:color="auto" w:fill="auto"/>
            <w:noWrap w:val="0"/>
            <w:vAlign w:val="center"/>
          </w:tcPr>
          <w:p w14:paraId="099C28EB">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09" w:type="dxa"/>
            <w:gridSpan w:val="3"/>
            <w:tcBorders>
              <w:top w:val="nil"/>
              <w:left w:val="nil"/>
              <w:bottom w:val="single" w:color="auto" w:sz="4" w:space="0"/>
              <w:right w:val="single" w:color="auto" w:sz="4" w:space="0"/>
            </w:tcBorders>
            <w:shd w:val="clear" w:color="auto" w:fill="auto"/>
            <w:noWrap w:val="0"/>
            <w:vAlign w:val="center"/>
          </w:tcPr>
          <w:p w14:paraId="7360474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381" w:type="dxa"/>
            <w:tcBorders>
              <w:top w:val="nil"/>
              <w:left w:val="nil"/>
              <w:bottom w:val="single" w:color="auto" w:sz="4" w:space="0"/>
              <w:right w:val="single" w:color="auto" w:sz="4" w:space="0"/>
            </w:tcBorders>
            <w:shd w:val="clear" w:color="auto" w:fill="auto"/>
            <w:noWrap w:val="0"/>
            <w:vAlign w:val="center"/>
          </w:tcPr>
          <w:p w14:paraId="58EF5A5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2071" w:type="dxa"/>
            <w:gridSpan w:val="3"/>
            <w:tcBorders>
              <w:top w:val="single" w:color="auto" w:sz="4" w:space="0"/>
              <w:left w:val="nil"/>
              <w:bottom w:val="single" w:color="auto" w:sz="4" w:space="0"/>
              <w:right w:val="single" w:color="auto" w:sz="4" w:space="0"/>
            </w:tcBorders>
            <w:shd w:val="clear" w:color="auto" w:fill="auto"/>
            <w:noWrap w:val="0"/>
            <w:vAlign w:val="top"/>
          </w:tcPr>
          <w:p w14:paraId="6E9E59D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966" w:type="dxa"/>
            <w:gridSpan w:val="2"/>
            <w:tcBorders>
              <w:top w:val="nil"/>
              <w:left w:val="nil"/>
              <w:bottom w:val="single" w:color="auto" w:sz="4" w:space="0"/>
              <w:right w:val="single" w:color="auto" w:sz="4" w:space="0"/>
            </w:tcBorders>
            <w:shd w:val="clear" w:color="auto" w:fill="auto"/>
            <w:noWrap w:val="0"/>
            <w:vAlign w:val="center"/>
          </w:tcPr>
          <w:p w14:paraId="2668E7E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1381" w:type="dxa"/>
            <w:gridSpan w:val="2"/>
            <w:tcBorders>
              <w:top w:val="nil"/>
              <w:left w:val="nil"/>
              <w:bottom w:val="single" w:color="auto" w:sz="4" w:space="0"/>
              <w:right w:val="single" w:color="auto" w:sz="4" w:space="0"/>
            </w:tcBorders>
            <w:shd w:val="clear" w:color="auto" w:fill="auto"/>
            <w:noWrap w:val="0"/>
            <w:vAlign w:val="center"/>
          </w:tcPr>
          <w:p w14:paraId="6302B35F">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691" w:type="dxa"/>
            <w:tcBorders>
              <w:top w:val="nil"/>
              <w:left w:val="nil"/>
              <w:bottom w:val="single" w:color="auto" w:sz="4" w:space="0"/>
              <w:right w:val="single" w:color="auto" w:sz="4" w:space="0"/>
            </w:tcBorders>
            <w:shd w:val="clear" w:color="auto" w:fill="auto"/>
            <w:noWrap w:val="0"/>
            <w:vAlign w:val="center"/>
          </w:tcPr>
          <w:p w14:paraId="3D2F789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14:paraId="13D0A588">
        <w:tblPrEx>
          <w:tblCellMar>
            <w:top w:w="0" w:type="dxa"/>
            <w:left w:w="108" w:type="dxa"/>
            <w:bottom w:w="0" w:type="dxa"/>
            <w:right w:w="108" w:type="dxa"/>
          </w:tblCellMar>
        </w:tblPrEx>
        <w:trPr>
          <w:trHeight w:val="849" w:hRule="atLeast"/>
          <w:jc w:val="center"/>
        </w:trPr>
        <w:tc>
          <w:tcPr>
            <w:tcW w:w="705" w:type="dxa"/>
            <w:tcBorders>
              <w:top w:val="nil"/>
              <w:left w:val="single" w:color="auto" w:sz="4" w:space="0"/>
              <w:bottom w:val="single" w:color="auto" w:sz="4" w:space="0"/>
              <w:right w:val="single" w:color="auto" w:sz="4" w:space="0"/>
            </w:tcBorders>
            <w:shd w:val="clear" w:color="auto" w:fill="auto"/>
            <w:noWrap w:val="0"/>
            <w:vAlign w:val="center"/>
          </w:tcPr>
          <w:p w14:paraId="50F5BAD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项目总体目标</w:t>
            </w:r>
          </w:p>
        </w:tc>
        <w:tc>
          <w:tcPr>
            <w:tcW w:w="9113" w:type="dxa"/>
            <w:gridSpan w:val="13"/>
            <w:tcBorders>
              <w:top w:val="single" w:color="auto" w:sz="4" w:space="0"/>
              <w:left w:val="nil"/>
              <w:bottom w:val="single" w:color="auto" w:sz="4" w:space="0"/>
              <w:right w:val="single" w:color="auto" w:sz="4" w:space="0"/>
            </w:tcBorders>
            <w:shd w:val="clear" w:color="auto" w:fill="auto"/>
            <w:noWrap w:val="0"/>
            <w:vAlign w:val="center"/>
          </w:tcPr>
          <w:p w14:paraId="5CAEF0E2">
            <w:pPr>
              <w:keepNext w:val="0"/>
              <w:keepLines w:val="0"/>
              <w:widowControl/>
              <w:suppressLineNumbers w:val="0"/>
              <w:spacing w:before="0" w:beforeAutospacing="0" w:after="0" w:afterAutospacing="0" w:line="240" w:lineRule="exact"/>
              <w:ind w:left="0" w:right="0"/>
              <w:jc w:val="left"/>
              <w:rPr>
                <w:rFonts w:hint="eastAsia" w:ascii="Times New Roman" w:hAnsi="Times New Roman" w:cs="Times New Roman" w:eastAsiaTheme="minorEastAsia"/>
                <w:color w:val="000000"/>
                <w:kern w:val="0"/>
                <w:sz w:val="20"/>
                <w:szCs w:val="20"/>
                <w:lang w:eastAsia="zh-CN"/>
              </w:rPr>
            </w:pPr>
            <w:r>
              <w:rPr>
                <w:rFonts w:hint="eastAsia" w:ascii="仿宋" w:hAnsi="仿宋" w:eastAsia="仿宋" w:cs="仿宋"/>
              </w:rPr>
              <w:t>将王家洲污水厂处理规模扩建至4万m 3/d（新增 处理规模为2万m 3/d）。新建主要构筑物包括粗格栅渠及提升泵站、细格栅渠及沉砂池、预处理池、生物池、深度处理池、接触消毒池、回用水池、贮泥池等。附属建筑物含变配电间及鼓风机房、机修间及在线监测房、污泥脱水及加药间、综合楼、门卫室等</w:t>
            </w:r>
            <w:r>
              <w:rPr>
                <w:rFonts w:hint="eastAsia" w:ascii="仿宋" w:hAnsi="仿宋" w:eastAsia="仿宋" w:cs="仿宋"/>
                <w:lang w:eastAsia="zh-CN"/>
              </w:rPr>
              <w:t>，</w:t>
            </w:r>
            <w:r>
              <w:rPr>
                <w:rFonts w:hint="eastAsia" w:ascii="仿宋" w:hAnsi="仿宋" w:eastAsia="仿宋" w:cs="仿宋"/>
              </w:rPr>
              <w:t>项目总投资为 18503.65 万元</w:t>
            </w:r>
            <w:r>
              <w:rPr>
                <w:rFonts w:hint="eastAsia" w:ascii="仿宋" w:hAnsi="仿宋" w:eastAsia="仿宋" w:cs="仿宋"/>
                <w:lang w:eastAsia="zh-CN"/>
              </w:rPr>
              <w:t>。</w:t>
            </w:r>
          </w:p>
        </w:tc>
      </w:tr>
      <w:tr w14:paraId="179DE072">
        <w:tblPrEx>
          <w:tblCellMar>
            <w:top w:w="0" w:type="dxa"/>
            <w:left w:w="108" w:type="dxa"/>
            <w:bottom w:w="0" w:type="dxa"/>
            <w:right w:w="108" w:type="dxa"/>
          </w:tblCellMar>
        </w:tblPrEx>
        <w:trPr>
          <w:trHeight w:val="498" w:hRule="atLeast"/>
          <w:jc w:val="center"/>
        </w:trPr>
        <w:tc>
          <w:tcPr>
            <w:tcW w:w="705" w:type="dxa"/>
            <w:vMerge w:val="restart"/>
            <w:tcBorders>
              <w:top w:val="nil"/>
              <w:left w:val="single" w:color="auto" w:sz="4" w:space="0"/>
              <w:bottom w:val="single" w:color="auto" w:sz="4" w:space="0"/>
              <w:right w:val="single" w:color="auto" w:sz="4" w:space="0"/>
            </w:tcBorders>
            <w:shd w:val="clear" w:color="auto" w:fill="auto"/>
            <w:noWrap w:val="0"/>
            <w:textDirection w:val="tbRlV"/>
            <w:vAlign w:val="center"/>
          </w:tcPr>
          <w:p w14:paraId="3DCD7A5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绩效指标</w:t>
            </w:r>
          </w:p>
        </w:tc>
        <w:tc>
          <w:tcPr>
            <w:tcW w:w="829" w:type="dxa"/>
            <w:gridSpan w:val="2"/>
            <w:tcBorders>
              <w:top w:val="nil"/>
              <w:left w:val="nil"/>
              <w:bottom w:val="single" w:color="auto" w:sz="4" w:space="0"/>
              <w:right w:val="single" w:color="auto" w:sz="4" w:space="0"/>
            </w:tcBorders>
            <w:shd w:val="clear" w:color="auto" w:fill="auto"/>
            <w:noWrap w:val="0"/>
            <w:vAlign w:val="center"/>
          </w:tcPr>
          <w:p w14:paraId="1CFDC6F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一级</w:t>
            </w:r>
            <w:r>
              <w:rPr>
                <w:rFonts w:hint="default" w:ascii="Times New Roman" w:hAnsi="Times New Roman" w:eastAsia="仿宋_GB2312" w:cs="Times New Roman"/>
                <w:color w:val="000000"/>
                <w:kern w:val="0"/>
                <w:sz w:val="20"/>
                <w:szCs w:val="20"/>
              </w:rPr>
              <w:br w:type="textWrapping"/>
            </w:r>
            <w:r>
              <w:rPr>
                <w:rFonts w:hint="default" w:ascii="Times New Roman" w:hAnsi="Times New Roman" w:eastAsia="仿宋_GB2312" w:cs="Times New Roman"/>
                <w:color w:val="000000"/>
                <w:kern w:val="0"/>
                <w:sz w:val="20"/>
                <w:szCs w:val="20"/>
              </w:rPr>
              <w:t>指标</w:t>
            </w:r>
          </w:p>
        </w:tc>
        <w:tc>
          <w:tcPr>
            <w:tcW w:w="1104" w:type="dxa"/>
            <w:tcBorders>
              <w:top w:val="nil"/>
              <w:left w:val="nil"/>
              <w:bottom w:val="single" w:color="auto" w:sz="4" w:space="0"/>
              <w:right w:val="single" w:color="auto" w:sz="4" w:space="0"/>
            </w:tcBorders>
            <w:shd w:val="clear" w:color="auto" w:fill="auto"/>
            <w:noWrap w:val="0"/>
            <w:vAlign w:val="center"/>
          </w:tcPr>
          <w:p w14:paraId="6C4C7AE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0DBBFD0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828" w:type="dxa"/>
            <w:tcBorders>
              <w:top w:val="nil"/>
              <w:left w:val="nil"/>
              <w:bottom w:val="single" w:color="auto" w:sz="4" w:space="0"/>
              <w:right w:val="single" w:color="auto" w:sz="4" w:space="0"/>
            </w:tcBorders>
            <w:shd w:val="clear" w:color="auto" w:fill="auto"/>
            <w:noWrap w:val="0"/>
            <w:vAlign w:val="center"/>
          </w:tcPr>
          <w:p w14:paraId="740A237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项目指标值</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456F19D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实际</w:t>
            </w:r>
          </w:p>
          <w:p w14:paraId="40F7CC2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16215B7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13B6A33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09E4C7F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偏差原因分析</w:t>
            </w:r>
          </w:p>
          <w:p w14:paraId="6B92BBA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及改进措施</w:t>
            </w:r>
          </w:p>
        </w:tc>
      </w:tr>
      <w:tr w14:paraId="3D4211AF">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F6BBD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restart"/>
            <w:tcBorders>
              <w:top w:val="nil"/>
              <w:left w:val="single" w:color="auto" w:sz="4" w:space="0"/>
              <w:right w:val="single" w:color="auto" w:sz="4" w:space="0"/>
            </w:tcBorders>
            <w:shd w:val="clear" w:color="auto" w:fill="auto"/>
            <w:noWrap w:val="0"/>
            <w:vAlign w:val="center"/>
          </w:tcPr>
          <w:p w14:paraId="74AD3E9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w:t>
            </w:r>
          </w:p>
          <w:p w14:paraId="6130BF0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eastAsia="zh-CN"/>
              </w:rPr>
              <w:t>决策</w:t>
            </w:r>
            <w:r>
              <w:rPr>
                <w:rFonts w:hint="default" w:ascii="Times New Roman" w:hAnsi="Times New Roman" w:eastAsia="仿宋_GB2312" w:cs="Times New Roman"/>
                <w:color w:val="000000"/>
                <w:kern w:val="0"/>
                <w:sz w:val="20"/>
                <w:szCs w:val="20"/>
              </w:rPr>
              <w:br w:type="textWrapping"/>
            </w:r>
          </w:p>
        </w:tc>
        <w:tc>
          <w:tcPr>
            <w:tcW w:w="1104" w:type="dxa"/>
            <w:vMerge w:val="restart"/>
            <w:tcBorders>
              <w:top w:val="nil"/>
              <w:left w:val="single" w:color="auto" w:sz="4" w:space="0"/>
              <w:right w:val="single" w:color="auto" w:sz="4" w:space="0"/>
            </w:tcBorders>
            <w:shd w:val="clear" w:color="auto" w:fill="auto"/>
            <w:noWrap w:val="0"/>
            <w:vAlign w:val="center"/>
          </w:tcPr>
          <w:p w14:paraId="364C6D0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项目立项</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0B917A8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项目储备</w:t>
            </w:r>
          </w:p>
        </w:tc>
        <w:tc>
          <w:tcPr>
            <w:tcW w:w="828" w:type="dxa"/>
            <w:tcBorders>
              <w:top w:val="nil"/>
              <w:left w:val="nil"/>
              <w:bottom w:val="single" w:color="auto" w:sz="4" w:space="0"/>
              <w:right w:val="single" w:color="auto" w:sz="4" w:space="0"/>
            </w:tcBorders>
            <w:shd w:val="clear" w:color="auto" w:fill="auto"/>
            <w:noWrap w:val="0"/>
            <w:vAlign w:val="center"/>
          </w:tcPr>
          <w:p w14:paraId="4C07A8E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完成</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5463A89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完成</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60A54EF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5A25C7B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7B8ADB5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08B54504">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4B76031">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57548FDA">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right w:val="single" w:color="auto" w:sz="4" w:space="0"/>
            </w:tcBorders>
            <w:shd w:val="clear" w:color="auto" w:fill="auto"/>
            <w:noWrap w:val="0"/>
            <w:vAlign w:val="center"/>
          </w:tcPr>
          <w:p w14:paraId="3B1A7DC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647B810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立项依据充分性</w:t>
            </w:r>
          </w:p>
        </w:tc>
        <w:tc>
          <w:tcPr>
            <w:tcW w:w="828" w:type="dxa"/>
            <w:tcBorders>
              <w:top w:val="nil"/>
              <w:left w:val="nil"/>
              <w:bottom w:val="single" w:color="auto" w:sz="4" w:space="0"/>
              <w:right w:val="single" w:color="auto" w:sz="4" w:space="0"/>
            </w:tcBorders>
            <w:shd w:val="clear" w:color="auto" w:fill="auto"/>
            <w:noWrap w:val="0"/>
            <w:vAlign w:val="center"/>
          </w:tcPr>
          <w:p w14:paraId="510287A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充分</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4A7A59F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充分</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597BD20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5B0C554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7D7270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FE71565">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DA5FFF">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119414E6">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bottom w:val="single" w:color="auto" w:sz="4" w:space="0"/>
              <w:right w:val="single" w:color="auto" w:sz="4" w:space="0"/>
            </w:tcBorders>
            <w:shd w:val="clear" w:color="auto" w:fill="auto"/>
            <w:noWrap w:val="0"/>
            <w:vAlign w:val="center"/>
          </w:tcPr>
          <w:p w14:paraId="5636FBA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1B5DAB9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立项程序规范性</w:t>
            </w:r>
          </w:p>
        </w:tc>
        <w:tc>
          <w:tcPr>
            <w:tcW w:w="828" w:type="dxa"/>
            <w:tcBorders>
              <w:top w:val="nil"/>
              <w:left w:val="nil"/>
              <w:bottom w:val="single" w:color="auto" w:sz="4" w:space="0"/>
              <w:right w:val="single" w:color="auto" w:sz="4" w:space="0"/>
            </w:tcBorders>
            <w:shd w:val="clear" w:color="auto" w:fill="auto"/>
            <w:noWrap w:val="0"/>
            <w:vAlign w:val="center"/>
          </w:tcPr>
          <w:p w14:paraId="6EAC920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规范</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773FD66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规范</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3980CBA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1FD6EA4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B13AB5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14:paraId="349E2466">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F73D34">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73434264">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restart"/>
            <w:tcBorders>
              <w:top w:val="nil"/>
              <w:left w:val="single" w:color="auto" w:sz="4" w:space="0"/>
              <w:bottom w:val="single" w:color="auto" w:sz="4" w:space="0"/>
              <w:right w:val="single" w:color="auto" w:sz="4" w:space="0"/>
            </w:tcBorders>
            <w:shd w:val="clear" w:color="auto" w:fill="auto"/>
            <w:noWrap w:val="0"/>
            <w:vAlign w:val="center"/>
          </w:tcPr>
          <w:p w14:paraId="0BB51BF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绩效目标</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6550191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绩效目标合理性</w:t>
            </w:r>
          </w:p>
        </w:tc>
        <w:tc>
          <w:tcPr>
            <w:tcW w:w="828" w:type="dxa"/>
            <w:tcBorders>
              <w:top w:val="nil"/>
              <w:left w:val="nil"/>
              <w:bottom w:val="single" w:color="auto" w:sz="4" w:space="0"/>
              <w:right w:val="single" w:color="auto" w:sz="4" w:space="0"/>
            </w:tcBorders>
            <w:shd w:val="clear" w:color="auto" w:fill="auto"/>
            <w:noWrap w:val="0"/>
            <w:vAlign w:val="center"/>
          </w:tcPr>
          <w:p w14:paraId="2333D54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合理</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21A74FB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合理</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0082DF3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53FC4F5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41028A7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268B7B5B">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36B8BDA">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04313277">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A3F5F00">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33AB7E5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绩效指标明确性</w:t>
            </w:r>
          </w:p>
        </w:tc>
        <w:tc>
          <w:tcPr>
            <w:tcW w:w="828" w:type="dxa"/>
            <w:tcBorders>
              <w:top w:val="nil"/>
              <w:left w:val="nil"/>
              <w:bottom w:val="single" w:color="auto" w:sz="4" w:space="0"/>
              <w:right w:val="single" w:color="auto" w:sz="4" w:space="0"/>
            </w:tcBorders>
            <w:shd w:val="clear" w:color="auto" w:fill="auto"/>
            <w:noWrap w:val="0"/>
            <w:vAlign w:val="center"/>
          </w:tcPr>
          <w:p w14:paraId="3A6D7CB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明确</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7D6555F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明确</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5CC9148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36B5057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4</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3BEE991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AEF231D">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A5679F7">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bottom w:val="single" w:color="auto" w:sz="4" w:space="0"/>
              <w:right w:val="single" w:color="auto" w:sz="4" w:space="0"/>
            </w:tcBorders>
            <w:shd w:val="clear" w:color="auto" w:fill="auto"/>
            <w:noWrap w:val="0"/>
            <w:vAlign w:val="center"/>
          </w:tcPr>
          <w:p w14:paraId="2865893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tcBorders>
              <w:top w:val="nil"/>
              <w:left w:val="single" w:color="auto" w:sz="4" w:space="0"/>
              <w:bottom w:val="single" w:color="auto" w:sz="4" w:space="0"/>
              <w:right w:val="single" w:color="auto" w:sz="4" w:space="0"/>
            </w:tcBorders>
            <w:shd w:val="clear" w:color="auto" w:fill="auto"/>
            <w:noWrap w:val="0"/>
            <w:vAlign w:val="center"/>
          </w:tcPr>
          <w:p w14:paraId="3811970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资金投入</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6826877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预算编制科学性</w:t>
            </w:r>
          </w:p>
        </w:tc>
        <w:tc>
          <w:tcPr>
            <w:tcW w:w="828" w:type="dxa"/>
            <w:tcBorders>
              <w:top w:val="nil"/>
              <w:left w:val="nil"/>
              <w:bottom w:val="single" w:color="auto" w:sz="4" w:space="0"/>
              <w:right w:val="single" w:color="auto" w:sz="4" w:space="0"/>
            </w:tcBorders>
            <w:shd w:val="clear" w:color="auto" w:fill="auto"/>
            <w:noWrap w:val="0"/>
            <w:vAlign w:val="center"/>
          </w:tcPr>
          <w:p w14:paraId="13D7F9F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科学</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313092D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科学</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1F686EC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751AA1C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45BFE3E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16DE6C7B">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5DCE6D1">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restart"/>
            <w:tcBorders>
              <w:top w:val="single" w:color="auto" w:sz="4" w:space="0"/>
              <w:left w:val="single" w:color="auto" w:sz="4" w:space="0"/>
              <w:right w:val="single" w:color="auto" w:sz="4" w:space="0"/>
            </w:tcBorders>
            <w:shd w:val="clear" w:color="auto" w:fill="auto"/>
            <w:noWrap w:val="0"/>
            <w:vAlign w:val="center"/>
          </w:tcPr>
          <w:p w14:paraId="01E5270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w:t>
            </w:r>
          </w:p>
          <w:p w14:paraId="34FBA73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eastAsia="zh-CN"/>
              </w:rPr>
              <w:t>过程</w:t>
            </w:r>
            <w:r>
              <w:rPr>
                <w:rFonts w:hint="default" w:ascii="Times New Roman" w:hAnsi="Times New Roman" w:eastAsia="仿宋_GB2312" w:cs="Times New Roman"/>
                <w:color w:val="000000"/>
                <w:kern w:val="0"/>
                <w:sz w:val="20"/>
                <w:szCs w:val="20"/>
              </w:rPr>
              <w:br w:type="textWrapping"/>
            </w:r>
          </w:p>
        </w:tc>
        <w:tc>
          <w:tcPr>
            <w:tcW w:w="1104" w:type="dxa"/>
            <w:vMerge w:val="restart"/>
            <w:tcBorders>
              <w:top w:val="nil"/>
              <w:left w:val="single" w:color="auto" w:sz="4" w:space="0"/>
              <w:right w:val="single" w:color="auto" w:sz="4" w:space="0"/>
            </w:tcBorders>
            <w:shd w:val="clear" w:color="auto" w:fill="auto"/>
            <w:noWrap w:val="0"/>
            <w:vAlign w:val="center"/>
          </w:tcPr>
          <w:p w14:paraId="7CE6628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资金管理</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52BD90A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资金到位率</w:t>
            </w:r>
          </w:p>
        </w:tc>
        <w:tc>
          <w:tcPr>
            <w:tcW w:w="828" w:type="dxa"/>
            <w:tcBorders>
              <w:top w:val="nil"/>
              <w:left w:val="nil"/>
              <w:bottom w:val="single" w:color="auto" w:sz="4" w:space="0"/>
              <w:right w:val="single" w:color="auto" w:sz="4" w:space="0"/>
            </w:tcBorders>
            <w:shd w:val="clear" w:color="auto" w:fill="auto"/>
            <w:noWrap w:val="0"/>
            <w:vAlign w:val="center"/>
          </w:tcPr>
          <w:p w14:paraId="170A5A3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100%</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5FCCE92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100%</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056903C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7712642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5C054A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20C5CB39">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47BD999">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34EE007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right w:val="single" w:color="auto" w:sz="4" w:space="0"/>
            </w:tcBorders>
            <w:shd w:val="clear" w:color="auto" w:fill="auto"/>
            <w:noWrap w:val="0"/>
            <w:vAlign w:val="center"/>
          </w:tcPr>
          <w:p w14:paraId="2116E470">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0CC88E1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预算执行率</w:t>
            </w:r>
          </w:p>
        </w:tc>
        <w:tc>
          <w:tcPr>
            <w:tcW w:w="828" w:type="dxa"/>
            <w:tcBorders>
              <w:top w:val="nil"/>
              <w:left w:val="nil"/>
              <w:bottom w:val="single" w:color="auto" w:sz="4" w:space="0"/>
              <w:right w:val="single" w:color="auto" w:sz="4" w:space="0"/>
            </w:tcBorders>
            <w:shd w:val="clear" w:color="auto" w:fill="auto"/>
            <w:noWrap w:val="0"/>
            <w:vAlign w:val="center"/>
          </w:tcPr>
          <w:p w14:paraId="1F02E63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100%</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1F56C64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100%</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1936055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2055881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294CD76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1D1953CA">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B603759">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2777DCB1">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right w:val="single" w:color="auto" w:sz="4" w:space="0"/>
            </w:tcBorders>
            <w:shd w:val="clear" w:color="auto" w:fill="auto"/>
            <w:noWrap w:val="0"/>
            <w:vAlign w:val="center"/>
          </w:tcPr>
          <w:p w14:paraId="5758369E">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1109AEF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资金使用合规性</w:t>
            </w:r>
          </w:p>
        </w:tc>
        <w:tc>
          <w:tcPr>
            <w:tcW w:w="828" w:type="dxa"/>
            <w:tcBorders>
              <w:top w:val="nil"/>
              <w:left w:val="nil"/>
              <w:bottom w:val="single" w:color="auto" w:sz="4" w:space="0"/>
              <w:right w:val="single" w:color="auto" w:sz="4" w:space="0"/>
            </w:tcBorders>
            <w:shd w:val="clear" w:color="auto" w:fill="auto"/>
            <w:noWrap w:val="0"/>
            <w:vAlign w:val="center"/>
          </w:tcPr>
          <w:p w14:paraId="23D9DB0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合规</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4C248CB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合规</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7347B78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0BFB9B9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3C7AD51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14:paraId="49F0A636">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2875EF">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1D2E2344">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bottom w:val="single" w:color="auto" w:sz="4" w:space="0"/>
              <w:right w:val="single" w:color="auto" w:sz="4" w:space="0"/>
            </w:tcBorders>
            <w:shd w:val="clear" w:color="auto" w:fill="auto"/>
            <w:noWrap w:val="0"/>
            <w:vAlign w:val="center"/>
          </w:tcPr>
          <w:p w14:paraId="02C5DD4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4268E84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还本付息</w:t>
            </w:r>
          </w:p>
        </w:tc>
        <w:tc>
          <w:tcPr>
            <w:tcW w:w="828" w:type="dxa"/>
            <w:tcBorders>
              <w:top w:val="nil"/>
              <w:left w:val="nil"/>
              <w:bottom w:val="single" w:color="auto" w:sz="4" w:space="0"/>
              <w:right w:val="single" w:color="auto" w:sz="4" w:space="0"/>
            </w:tcBorders>
            <w:shd w:val="clear" w:color="auto" w:fill="auto"/>
            <w:noWrap w:val="0"/>
            <w:vAlign w:val="center"/>
          </w:tcPr>
          <w:p w14:paraId="40FBDB5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及时</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06B5948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及时</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1763233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3382ACC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57CCC8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14:paraId="1D05E5B9">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9B66E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75C5BC4B">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restart"/>
            <w:tcBorders>
              <w:left w:val="single" w:color="auto" w:sz="4" w:space="0"/>
              <w:right w:val="single" w:color="auto" w:sz="4" w:space="0"/>
            </w:tcBorders>
            <w:shd w:val="clear" w:color="auto" w:fill="auto"/>
            <w:noWrap w:val="0"/>
            <w:vAlign w:val="center"/>
          </w:tcPr>
          <w:p w14:paraId="5046A6E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项目实施</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3650EA1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管理制度建设</w:t>
            </w:r>
          </w:p>
        </w:tc>
        <w:tc>
          <w:tcPr>
            <w:tcW w:w="828" w:type="dxa"/>
            <w:tcBorders>
              <w:top w:val="nil"/>
              <w:left w:val="nil"/>
              <w:bottom w:val="single" w:color="auto" w:sz="4" w:space="0"/>
              <w:right w:val="single" w:color="auto" w:sz="4" w:space="0"/>
            </w:tcBorders>
            <w:shd w:val="clear" w:color="auto" w:fill="auto"/>
            <w:noWrap w:val="0"/>
            <w:vAlign w:val="center"/>
          </w:tcPr>
          <w:p w14:paraId="1BA67E0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健全</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05DA175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健全</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4EA7091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67B13D0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BD717C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14:paraId="67472FA6">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9148E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16C661F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right w:val="single" w:color="auto" w:sz="4" w:space="0"/>
            </w:tcBorders>
            <w:shd w:val="clear" w:color="auto" w:fill="auto"/>
            <w:noWrap w:val="0"/>
            <w:vAlign w:val="center"/>
          </w:tcPr>
          <w:p w14:paraId="3475391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5C05DC5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项目质量控制</w:t>
            </w:r>
          </w:p>
        </w:tc>
        <w:tc>
          <w:tcPr>
            <w:tcW w:w="828" w:type="dxa"/>
            <w:tcBorders>
              <w:top w:val="nil"/>
              <w:left w:val="nil"/>
              <w:bottom w:val="single" w:color="auto" w:sz="4" w:space="0"/>
              <w:right w:val="single" w:color="auto" w:sz="4" w:space="0"/>
            </w:tcBorders>
            <w:shd w:val="clear" w:color="auto" w:fill="auto"/>
            <w:noWrap w:val="0"/>
            <w:vAlign w:val="center"/>
          </w:tcPr>
          <w:p w14:paraId="2910D64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健全</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5CD021E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健全</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3582858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3B2CE1A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75CC575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265C682A">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533D1C">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0D413460">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right w:val="single" w:color="auto" w:sz="4" w:space="0"/>
            </w:tcBorders>
            <w:shd w:val="clear" w:color="auto" w:fill="auto"/>
            <w:noWrap w:val="0"/>
            <w:vAlign w:val="center"/>
          </w:tcPr>
          <w:p w14:paraId="09039F6F">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292BBC8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招标及政府采购管理</w:t>
            </w:r>
          </w:p>
        </w:tc>
        <w:tc>
          <w:tcPr>
            <w:tcW w:w="828" w:type="dxa"/>
            <w:tcBorders>
              <w:top w:val="nil"/>
              <w:left w:val="nil"/>
              <w:bottom w:val="single" w:color="auto" w:sz="4" w:space="0"/>
              <w:right w:val="single" w:color="auto" w:sz="4" w:space="0"/>
            </w:tcBorders>
            <w:shd w:val="clear" w:color="auto" w:fill="auto"/>
            <w:noWrap w:val="0"/>
            <w:vAlign w:val="center"/>
          </w:tcPr>
          <w:p w14:paraId="09F586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规范</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48455D3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规范</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527F9B2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1905A4F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72AB9BB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20123485">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D613E9B">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631C989B">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left w:val="single" w:color="auto" w:sz="4" w:space="0"/>
              <w:bottom w:val="single" w:color="auto" w:sz="4" w:space="0"/>
              <w:right w:val="single" w:color="auto" w:sz="4" w:space="0"/>
            </w:tcBorders>
            <w:shd w:val="clear" w:color="auto" w:fill="auto"/>
            <w:noWrap w:val="0"/>
            <w:vAlign w:val="center"/>
          </w:tcPr>
          <w:p w14:paraId="002AF596">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134E15A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资产管理</w:t>
            </w:r>
          </w:p>
        </w:tc>
        <w:tc>
          <w:tcPr>
            <w:tcW w:w="828" w:type="dxa"/>
            <w:tcBorders>
              <w:top w:val="nil"/>
              <w:left w:val="nil"/>
              <w:bottom w:val="single" w:color="auto" w:sz="4" w:space="0"/>
              <w:right w:val="single" w:color="auto" w:sz="4" w:space="0"/>
            </w:tcBorders>
            <w:shd w:val="clear" w:color="auto" w:fill="auto"/>
            <w:noWrap w:val="0"/>
            <w:vAlign w:val="center"/>
          </w:tcPr>
          <w:p w14:paraId="5411058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规范</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6202E0D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规范</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05F1B76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5C5C9B7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736838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14:paraId="3CD14BFB">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E2F4DD5">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6BBC32A6">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restart"/>
            <w:tcBorders>
              <w:top w:val="nil"/>
              <w:left w:val="single" w:color="auto" w:sz="4" w:space="0"/>
              <w:bottom w:val="single" w:color="auto" w:sz="4" w:space="0"/>
              <w:right w:val="single" w:color="auto" w:sz="4" w:space="0"/>
            </w:tcBorders>
            <w:shd w:val="clear" w:color="auto" w:fill="auto"/>
            <w:noWrap w:val="0"/>
            <w:vAlign w:val="center"/>
          </w:tcPr>
          <w:p w14:paraId="7C29F1C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风险控制</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1D51591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信息公开</w:t>
            </w:r>
          </w:p>
        </w:tc>
        <w:tc>
          <w:tcPr>
            <w:tcW w:w="828" w:type="dxa"/>
            <w:tcBorders>
              <w:top w:val="nil"/>
              <w:left w:val="nil"/>
              <w:bottom w:val="single" w:color="auto" w:sz="4" w:space="0"/>
              <w:right w:val="single" w:color="auto" w:sz="4" w:space="0"/>
            </w:tcBorders>
            <w:shd w:val="clear" w:color="auto" w:fill="auto"/>
            <w:noWrap w:val="0"/>
            <w:vAlign w:val="center"/>
          </w:tcPr>
          <w:p w14:paraId="56CC501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及时</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31E55E6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及时</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17F64EF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7A0A765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1E8D14D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3B2EF787">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C43349">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5677AFF0">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6E62B4">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1370388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风控效果</w:t>
            </w:r>
          </w:p>
        </w:tc>
        <w:tc>
          <w:tcPr>
            <w:tcW w:w="828" w:type="dxa"/>
            <w:tcBorders>
              <w:top w:val="nil"/>
              <w:left w:val="nil"/>
              <w:bottom w:val="single" w:color="auto" w:sz="4" w:space="0"/>
              <w:right w:val="single" w:color="auto" w:sz="4" w:space="0"/>
            </w:tcBorders>
            <w:shd w:val="clear" w:color="auto" w:fill="auto"/>
            <w:noWrap w:val="0"/>
            <w:vAlign w:val="center"/>
          </w:tcPr>
          <w:p w14:paraId="5C97EC5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明显</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418A22A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明显</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2D3A5B4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33DDC31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004540B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44EAEED3">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D284C2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0E8E9F3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5C8AB23">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3597499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信息公开</w:t>
            </w:r>
          </w:p>
        </w:tc>
        <w:tc>
          <w:tcPr>
            <w:tcW w:w="828" w:type="dxa"/>
            <w:tcBorders>
              <w:top w:val="nil"/>
              <w:left w:val="nil"/>
              <w:bottom w:val="single" w:color="auto" w:sz="4" w:space="0"/>
              <w:right w:val="single" w:color="auto" w:sz="4" w:space="0"/>
            </w:tcBorders>
            <w:shd w:val="clear" w:color="auto" w:fill="auto"/>
            <w:noWrap w:val="0"/>
            <w:vAlign w:val="center"/>
          </w:tcPr>
          <w:p w14:paraId="4B5B239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及时</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17FC19A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及时</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5FBC8B6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4384785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F0652A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14:paraId="32834589">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6D93527">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bottom w:val="single" w:color="auto" w:sz="4" w:space="0"/>
              <w:right w:val="single" w:color="auto" w:sz="4" w:space="0"/>
            </w:tcBorders>
            <w:shd w:val="clear" w:color="auto" w:fill="auto"/>
            <w:noWrap w:val="0"/>
            <w:vAlign w:val="center"/>
          </w:tcPr>
          <w:p w14:paraId="74CA3F3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F0D061">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60C8AB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风险控制</w:t>
            </w:r>
          </w:p>
        </w:tc>
        <w:tc>
          <w:tcPr>
            <w:tcW w:w="828" w:type="dxa"/>
            <w:tcBorders>
              <w:top w:val="nil"/>
              <w:left w:val="nil"/>
              <w:bottom w:val="single" w:color="auto" w:sz="4" w:space="0"/>
              <w:right w:val="single" w:color="auto" w:sz="4" w:space="0"/>
            </w:tcBorders>
            <w:shd w:val="clear" w:color="auto" w:fill="auto"/>
            <w:noWrap w:val="0"/>
            <w:vAlign w:val="center"/>
          </w:tcPr>
          <w:p w14:paraId="7FFB19E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完善</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5101266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完善</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3A0F632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2B52244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98E381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6BD90BD2">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9F2B8CD">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restart"/>
            <w:tcBorders>
              <w:top w:val="single" w:color="auto" w:sz="4" w:space="0"/>
              <w:left w:val="single" w:color="auto" w:sz="4" w:space="0"/>
              <w:right w:val="single" w:color="auto" w:sz="4" w:space="0"/>
            </w:tcBorders>
            <w:shd w:val="clear" w:color="auto" w:fill="auto"/>
            <w:noWrap w:val="0"/>
            <w:vAlign w:val="center"/>
          </w:tcPr>
          <w:p w14:paraId="14C314A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w:t>
            </w:r>
          </w:p>
        </w:tc>
        <w:tc>
          <w:tcPr>
            <w:tcW w:w="1104" w:type="dxa"/>
            <w:tcBorders>
              <w:top w:val="nil"/>
              <w:left w:val="single" w:color="auto" w:sz="4" w:space="0"/>
              <w:bottom w:val="single" w:color="auto" w:sz="4" w:space="0"/>
              <w:right w:val="single" w:color="auto" w:sz="4" w:space="0"/>
            </w:tcBorders>
            <w:shd w:val="clear" w:color="auto" w:fill="auto"/>
            <w:noWrap w:val="0"/>
            <w:vAlign w:val="center"/>
          </w:tcPr>
          <w:p w14:paraId="7DA1D92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产出数量</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2AB6192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实际完成率</w:t>
            </w:r>
          </w:p>
        </w:tc>
        <w:tc>
          <w:tcPr>
            <w:tcW w:w="828" w:type="dxa"/>
            <w:tcBorders>
              <w:top w:val="nil"/>
              <w:left w:val="nil"/>
              <w:bottom w:val="single" w:color="auto" w:sz="4" w:space="0"/>
              <w:right w:val="single" w:color="auto" w:sz="4" w:space="0"/>
            </w:tcBorders>
            <w:shd w:val="clear" w:color="auto" w:fill="auto"/>
            <w:noWrap w:val="0"/>
            <w:vAlign w:val="center"/>
          </w:tcPr>
          <w:p w14:paraId="276618B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25B0633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0984801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19527BA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415AA06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1343CD49">
        <w:tblPrEx>
          <w:tblCellMar>
            <w:top w:w="0" w:type="dxa"/>
            <w:left w:w="108" w:type="dxa"/>
            <w:bottom w:w="0" w:type="dxa"/>
            <w:right w:w="108" w:type="dxa"/>
          </w:tblCellMar>
        </w:tblPrEx>
        <w:trPr>
          <w:trHeight w:val="273"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E137BF">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42D0F2BC">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04" w:type="dxa"/>
            <w:tcBorders>
              <w:top w:val="nil"/>
              <w:left w:val="single" w:color="auto" w:sz="4" w:space="0"/>
              <w:bottom w:val="single" w:color="auto" w:sz="4" w:space="0"/>
              <w:right w:val="single" w:color="auto" w:sz="4" w:space="0"/>
            </w:tcBorders>
            <w:shd w:val="clear" w:color="auto" w:fill="auto"/>
            <w:noWrap w:val="0"/>
            <w:vAlign w:val="center"/>
          </w:tcPr>
          <w:p w14:paraId="0AC07B8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产出质量</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67A5844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质量达标率</w:t>
            </w:r>
          </w:p>
        </w:tc>
        <w:tc>
          <w:tcPr>
            <w:tcW w:w="828" w:type="dxa"/>
            <w:tcBorders>
              <w:top w:val="nil"/>
              <w:left w:val="nil"/>
              <w:bottom w:val="single" w:color="auto" w:sz="4" w:space="0"/>
              <w:right w:val="single" w:color="auto" w:sz="4" w:space="0"/>
            </w:tcBorders>
            <w:shd w:val="clear" w:color="auto" w:fill="auto"/>
            <w:noWrap w:val="0"/>
            <w:vAlign w:val="center"/>
          </w:tcPr>
          <w:p w14:paraId="5A2A197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4461CCD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14F8D17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4CCEC9C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2738642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40467AF1">
        <w:tblPrEx>
          <w:tblCellMar>
            <w:top w:w="0" w:type="dxa"/>
            <w:left w:w="108" w:type="dxa"/>
            <w:bottom w:w="0" w:type="dxa"/>
            <w:right w:w="108" w:type="dxa"/>
          </w:tblCellMar>
        </w:tblPrEx>
        <w:trPr>
          <w:trHeight w:val="327"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9A5BD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6B743E1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04" w:type="dxa"/>
            <w:tcBorders>
              <w:top w:val="nil"/>
              <w:left w:val="single" w:color="auto" w:sz="4" w:space="0"/>
              <w:bottom w:val="single" w:color="auto" w:sz="4" w:space="0"/>
              <w:right w:val="single" w:color="auto" w:sz="4" w:space="0"/>
            </w:tcBorders>
            <w:shd w:val="clear" w:color="auto" w:fill="auto"/>
            <w:noWrap w:val="0"/>
            <w:vAlign w:val="center"/>
          </w:tcPr>
          <w:p w14:paraId="6A0A17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产出时效</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6EA13B9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完成及时性</w:t>
            </w:r>
          </w:p>
        </w:tc>
        <w:tc>
          <w:tcPr>
            <w:tcW w:w="828" w:type="dxa"/>
            <w:tcBorders>
              <w:top w:val="nil"/>
              <w:left w:val="nil"/>
              <w:bottom w:val="single" w:color="auto" w:sz="4" w:space="0"/>
              <w:right w:val="single" w:color="auto" w:sz="4" w:space="0"/>
            </w:tcBorders>
            <w:shd w:val="clear" w:color="auto" w:fill="auto"/>
            <w:noWrap w:val="0"/>
            <w:vAlign w:val="center"/>
          </w:tcPr>
          <w:p w14:paraId="1319229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及时</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554205F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及时</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4077D85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7A2FF5D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7515CA7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14:paraId="20742AC3">
        <w:tblPrEx>
          <w:tblCellMar>
            <w:top w:w="0" w:type="dxa"/>
            <w:left w:w="108" w:type="dxa"/>
            <w:bottom w:w="0" w:type="dxa"/>
            <w:right w:w="108" w:type="dxa"/>
          </w:tblCellMar>
        </w:tblPrEx>
        <w:trPr>
          <w:trHeight w:val="327"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CBAC6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left w:val="single" w:color="auto" w:sz="4" w:space="0"/>
              <w:right w:val="single" w:color="auto" w:sz="4" w:space="0"/>
            </w:tcBorders>
            <w:shd w:val="clear" w:color="auto" w:fill="auto"/>
            <w:noWrap w:val="0"/>
            <w:vAlign w:val="center"/>
          </w:tcPr>
          <w:p w14:paraId="517B006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94E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产出成本</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1AE9684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成本节约率</w:t>
            </w:r>
          </w:p>
        </w:tc>
        <w:tc>
          <w:tcPr>
            <w:tcW w:w="828" w:type="dxa"/>
            <w:tcBorders>
              <w:top w:val="nil"/>
              <w:left w:val="nil"/>
              <w:bottom w:val="single" w:color="auto" w:sz="4" w:space="0"/>
              <w:right w:val="single" w:color="auto" w:sz="4" w:space="0"/>
            </w:tcBorders>
            <w:shd w:val="clear" w:color="auto" w:fill="auto"/>
            <w:noWrap w:val="0"/>
            <w:vAlign w:val="center"/>
          </w:tcPr>
          <w:p w14:paraId="0A1766E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4E0247D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6192846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693CA5D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6C6DE9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14:paraId="6D8E0D5C">
        <w:tblPrEx>
          <w:tblCellMar>
            <w:top w:w="0" w:type="dxa"/>
            <w:left w:w="108" w:type="dxa"/>
            <w:bottom w:w="0" w:type="dxa"/>
            <w:right w:w="108" w:type="dxa"/>
          </w:tblCellMar>
        </w:tblPrEx>
        <w:trPr>
          <w:trHeight w:val="327"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5BD5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2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DC848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效益</w:t>
            </w:r>
          </w:p>
        </w:tc>
        <w:tc>
          <w:tcPr>
            <w:tcW w:w="110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8D827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项目效益</w:t>
            </w: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07EBC61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实施效益</w:t>
            </w:r>
          </w:p>
        </w:tc>
        <w:tc>
          <w:tcPr>
            <w:tcW w:w="828" w:type="dxa"/>
            <w:tcBorders>
              <w:top w:val="nil"/>
              <w:left w:val="nil"/>
              <w:bottom w:val="single" w:color="auto" w:sz="4" w:space="0"/>
              <w:right w:val="single" w:color="auto" w:sz="4" w:space="0"/>
            </w:tcBorders>
            <w:shd w:val="clear" w:color="auto" w:fill="auto"/>
            <w:noWrap w:val="0"/>
            <w:vAlign w:val="center"/>
          </w:tcPr>
          <w:p w14:paraId="302046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明显</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07CDE63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明显</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1F2EA81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6A06849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1D2CDD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22745C1C">
        <w:tblPrEx>
          <w:tblCellMar>
            <w:top w:w="0" w:type="dxa"/>
            <w:left w:w="108" w:type="dxa"/>
            <w:bottom w:w="0" w:type="dxa"/>
            <w:right w:w="108" w:type="dxa"/>
          </w:tblCellMar>
        </w:tblPrEx>
        <w:trPr>
          <w:trHeight w:val="327"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0282F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B98B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0DC0E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387554C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满意度</w:t>
            </w:r>
          </w:p>
        </w:tc>
        <w:tc>
          <w:tcPr>
            <w:tcW w:w="828" w:type="dxa"/>
            <w:tcBorders>
              <w:top w:val="nil"/>
              <w:left w:val="nil"/>
              <w:bottom w:val="single" w:color="auto" w:sz="4" w:space="0"/>
              <w:right w:val="single" w:color="auto" w:sz="4" w:space="0"/>
            </w:tcBorders>
            <w:shd w:val="clear" w:color="auto" w:fill="auto"/>
            <w:noWrap w:val="0"/>
            <w:vAlign w:val="center"/>
          </w:tcPr>
          <w:p w14:paraId="5A0400F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满意</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0838C7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满意</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4260E4D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22168B3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04705C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1BD7C496">
        <w:tblPrEx>
          <w:tblCellMar>
            <w:top w:w="0" w:type="dxa"/>
            <w:left w:w="108" w:type="dxa"/>
            <w:bottom w:w="0" w:type="dxa"/>
            <w:right w:w="108" w:type="dxa"/>
          </w:tblCellMar>
        </w:tblPrEx>
        <w:trPr>
          <w:trHeight w:val="327"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1A6D5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2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7F00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10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4A127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2071" w:type="dxa"/>
            <w:gridSpan w:val="2"/>
            <w:tcBorders>
              <w:top w:val="single" w:color="auto" w:sz="4" w:space="0"/>
              <w:left w:val="nil"/>
              <w:bottom w:val="single" w:color="auto" w:sz="4" w:space="0"/>
              <w:right w:val="single" w:color="auto" w:sz="4" w:space="0"/>
            </w:tcBorders>
            <w:shd w:val="clear" w:color="auto" w:fill="auto"/>
            <w:noWrap w:val="0"/>
            <w:vAlign w:val="center"/>
          </w:tcPr>
          <w:p w14:paraId="78E1BA9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可持续影响</w:t>
            </w:r>
          </w:p>
        </w:tc>
        <w:tc>
          <w:tcPr>
            <w:tcW w:w="828" w:type="dxa"/>
            <w:tcBorders>
              <w:top w:val="nil"/>
              <w:left w:val="nil"/>
              <w:bottom w:val="single" w:color="auto" w:sz="4" w:space="0"/>
              <w:right w:val="single" w:color="auto" w:sz="4" w:space="0"/>
            </w:tcBorders>
            <w:shd w:val="clear" w:color="auto" w:fill="auto"/>
            <w:noWrap w:val="0"/>
            <w:vAlign w:val="center"/>
          </w:tcPr>
          <w:p w14:paraId="22321F3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具备</w:t>
            </w:r>
          </w:p>
        </w:tc>
        <w:tc>
          <w:tcPr>
            <w:tcW w:w="829" w:type="dxa"/>
            <w:tcBorders>
              <w:top w:val="single" w:color="auto" w:sz="4" w:space="0"/>
              <w:left w:val="nil"/>
              <w:bottom w:val="single" w:color="auto" w:sz="4" w:space="0"/>
              <w:right w:val="single" w:color="auto" w:sz="4" w:space="0"/>
            </w:tcBorders>
            <w:shd w:val="clear" w:color="auto" w:fill="auto"/>
            <w:noWrap w:val="0"/>
            <w:vAlign w:val="center"/>
          </w:tcPr>
          <w:p w14:paraId="1059EF2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具备</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2B2DAB2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481F652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3</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109732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14:paraId="783D4837">
        <w:tblPrEx>
          <w:tblCellMar>
            <w:top w:w="0" w:type="dxa"/>
            <w:left w:w="108" w:type="dxa"/>
            <w:bottom w:w="0" w:type="dxa"/>
            <w:right w:w="108" w:type="dxa"/>
          </w:tblCellMar>
        </w:tblPrEx>
        <w:trPr>
          <w:trHeight w:val="337" w:hRule="atLeast"/>
          <w:jc w:val="center"/>
        </w:trPr>
        <w:tc>
          <w:tcPr>
            <w:tcW w:w="6366" w:type="dxa"/>
            <w:gridSpan w:val="8"/>
            <w:tcBorders>
              <w:top w:val="nil"/>
              <w:left w:val="single" w:color="auto" w:sz="4" w:space="0"/>
              <w:bottom w:val="single" w:color="auto" w:sz="4" w:space="0"/>
              <w:right w:val="single" w:color="auto" w:sz="4" w:space="0"/>
            </w:tcBorders>
            <w:shd w:val="clear" w:color="auto" w:fill="auto"/>
            <w:noWrap w:val="0"/>
            <w:vAlign w:val="center"/>
          </w:tcPr>
          <w:p w14:paraId="2BA8F1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bCs/>
                <w:color w:val="000000"/>
                <w:kern w:val="0"/>
                <w:sz w:val="20"/>
                <w:szCs w:val="20"/>
              </w:rPr>
              <w:t>总分</w:t>
            </w:r>
          </w:p>
        </w:tc>
        <w:tc>
          <w:tcPr>
            <w:tcW w:w="697" w:type="dxa"/>
            <w:gridSpan w:val="2"/>
            <w:tcBorders>
              <w:top w:val="single" w:color="auto" w:sz="4" w:space="0"/>
              <w:left w:val="nil"/>
              <w:bottom w:val="single" w:color="auto" w:sz="4" w:space="0"/>
              <w:right w:val="single" w:color="auto" w:sz="4" w:space="0"/>
            </w:tcBorders>
            <w:shd w:val="clear" w:color="auto" w:fill="auto"/>
            <w:noWrap w:val="0"/>
            <w:vAlign w:val="center"/>
          </w:tcPr>
          <w:p w14:paraId="65C27D0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100</w:t>
            </w:r>
          </w:p>
        </w:tc>
        <w:tc>
          <w:tcPr>
            <w:tcW w:w="930" w:type="dxa"/>
            <w:gridSpan w:val="2"/>
            <w:tcBorders>
              <w:top w:val="nil"/>
              <w:left w:val="single" w:color="auto" w:sz="4" w:space="0"/>
              <w:bottom w:val="single" w:color="auto" w:sz="4" w:space="0"/>
              <w:right w:val="single" w:color="auto" w:sz="4" w:space="0"/>
            </w:tcBorders>
            <w:shd w:val="clear" w:color="auto" w:fill="auto"/>
            <w:noWrap w:val="0"/>
            <w:vAlign w:val="center"/>
          </w:tcPr>
          <w:p w14:paraId="71BA6A0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96.36</w:t>
            </w:r>
          </w:p>
        </w:tc>
        <w:tc>
          <w:tcPr>
            <w:tcW w:w="1825" w:type="dxa"/>
            <w:gridSpan w:val="2"/>
            <w:tcBorders>
              <w:top w:val="single" w:color="auto" w:sz="4" w:space="0"/>
              <w:left w:val="nil"/>
              <w:bottom w:val="single" w:color="auto" w:sz="4" w:space="0"/>
              <w:right w:val="single" w:color="auto" w:sz="4" w:space="0"/>
            </w:tcBorders>
            <w:shd w:val="clear" w:color="auto" w:fill="auto"/>
            <w:noWrap w:val="0"/>
            <w:vAlign w:val="center"/>
          </w:tcPr>
          <w:p w14:paraId="761BC2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bl>
    <w:p w14:paraId="457699C6">
      <w:pPr>
        <w:widowControl/>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20"/>
          <w:szCs w:val="20"/>
        </w:rPr>
        <w:t>填报人：</w:t>
      </w:r>
      <w:r>
        <w:rPr>
          <w:rFonts w:hint="eastAsia" w:ascii="Times New Roman" w:hAnsi="Times New Roman" w:eastAsia="仿宋_GB2312" w:cs="Times New Roman"/>
          <w:color w:val="000000"/>
          <w:kern w:val="0"/>
          <w:sz w:val="20"/>
          <w:szCs w:val="20"/>
          <w:lang w:eastAsia="zh-CN"/>
        </w:rPr>
        <w:t>刘尚波</w:t>
      </w:r>
      <w:r>
        <w:rPr>
          <w:rFonts w:hint="default" w:ascii="Times New Roman" w:hAnsi="Times New Roman" w:eastAsia="仿宋_GB2312" w:cs="Times New Roman"/>
          <w:color w:val="000000"/>
          <w:kern w:val="0"/>
          <w:sz w:val="20"/>
          <w:szCs w:val="20"/>
        </w:rPr>
        <w:t xml:space="preserve">   联系电话：</w:t>
      </w:r>
      <w:r>
        <w:rPr>
          <w:rFonts w:hint="eastAsia" w:ascii="Times New Roman" w:hAnsi="Times New Roman" w:eastAsia="仿宋_GB2312" w:cs="Times New Roman"/>
          <w:color w:val="000000"/>
          <w:kern w:val="0"/>
          <w:sz w:val="20"/>
          <w:szCs w:val="20"/>
          <w:lang w:val="en-US" w:eastAsia="zh-CN"/>
        </w:rPr>
        <w:t>18873346323</w:t>
      </w:r>
      <w:r>
        <w:rPr>
          <w:rFonts w:hint="default" w:ascii="Times New Roman" w:hAnsi="Times New Roman" w:eastAsia="仿宋_GB2312" w:cs="Times New Roman"/>
          <w:color w:val="000000"/>
          <w:kern w:val="0"/>
          <w:sz w:val="20"/>
          <w:szCs w:val="20"/>
        </w:rPr>
        <w:t xml:space="preserve">    填报日期：</w:t>
      </w:r>
      <w:r>
        <w:rPr>
          <w:rFonts w:hint="eastAsia" w:ascii="Times New Roman" w:hAnsi="Times New Roman" w:eastAsia="仿宋_GB2312" w:cs="Times New Roman"/>
          <w:color w:val="000000"/>
          <w:kern w:val="0"/>
          <w:sz w:val="20"/>
          <w:szCs w:val="20"/>
          <w:lang w:val="en-US" w:eastAsia="zh-CN"/>
        </w:rPr>
        <w:t>2024.04.18</w:t>
      </w:r>
      <w:r>
        <w:rPr>
          <w:rFonts w:hint="default" w:ascii="Times New Roman" w:hAnsi="Times New Roman" w:eastAsia="仿宋_GB2312" w:cs="Times New Roman"/>
          <w:color w:val="000000"/>
          <w:kern w:val="0"/>
          <w:sz w:val="20"/>
          <w:szCs w:val="20"/>
        </w:rPr>
        <w:t xml:space="preserve">   单位负责人签字：</w:t>
      </w:r>
    </w:p>
    <w:p w14:paraId="6AC697FC">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bookmarkStart w:id="0" w:name="_GoBack"/>
      <w:bookmarkEnd w:id="0"/>
      <w:r>
        <w:rPr>
          <w:rFonts w:hint="eastAsia" w:ascii="方正小标宋_GBK" w:hAnsi="方正小标宋_GBK" w:eastAsia="方正小标宋_GBK" w:cs="方正小标宋_GBK"/>
          <w:bCs/>
          <w:w w:val="95"/>
          <w:sz w:val="44"/>
          <w:szCs w:val="44"/>
          <w:lang w:val="en-US" w:eastAsia="zh-CN"/>
        </w:rPr>
        <w:t>2023年</w:t>
      </w:r>
      <w:r>
        <w:rPr>
          <w:rFonts w:hint="eastAsia" w:ascii="方正小标宋_GBK" w:hAnsi="方正小标宋_GBK" w:eastAsia="方正小标宋_GBK" w:cs="方正小标宋_GBK"/>
          <w:bCs/>
          <w:w w:val="95"/>
          <w:sz w:val="44"/>
          <w:szCs w:val="44"/>
          <w:lang w:eastAsia="zh-CN"/>
        </w:rPr>
        <w:t>株洲市渌口区渌口镇东西片区市政排污管网建设项目绩效评价报告</w:t>
      </w:r>
    </w:p>
    <w:p w14:paraId="1E95A51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904" w:firstLineChars="3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w:t>
      </w:r>
      <w:r>
        <w:rPr>
          <w:rFonts w:hint="eastAsia" w:ascii="仿宋" w:hAnsi="仿宋" w:eastAsia="仿宋" w:cs="仿宋"/>
          <w:b/>
          <w:bCs/>
          <w:sz w:val="30"/>
          <w:szCs w:val="30"/>
          <w:highlight w:val="none"/>
        </w:rPr>
        <w:t>项目</w:t>
      </w:r>
      <w:r>
        <w:rPr>
          <w:rFonts w:hint="eastAsia" w:ascii="仿宋" w:hAnsi="仿宋" w:eastAsia="仿宋" w:cs="仿宋"/>
          <w:b/>
          <w:bCs/>
          <w:sz w:val="30"/>
          <w:szCs w:val="30"/>
          <w:highlight w:val="none"/>
          <w:lang w:val="en-US" w:eastAsia="zh-CN"/>
        </w:rPr>
        <w:t>基本情况</w:t>
      </w:r>
    </w:p>
    <w:p w14:paraId="768D729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02" w:firstLineChars="200"/>
        <w:textAlignment w:val="auto"/>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（一）项目概况</w:t>
      </w:r>
    </w:p>
    <w:p w14:paraId="07BE1245">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1、项目名称：</w:t>
      </w:r>
      <w:r>
        <w:rPr>
          <w:rFonts w:hint="eastAsia" w:ascii="仿宋" w:hAnsi="仿宋" w:eastAsia="仿宋" w:cs="仿宋"/>
          <w:sz w:val="30"/>
          <w:szCs w:val="30"/>
          <w:highlight w:val="none"/>
          <w:lang w:val="en-US" w:eastAsia="zh-CN"/>
        </w:rPr>
        <w:t>株洲市渌口区渌口镇东西片区市政排污管网建设项目</w:t>
      </w:r>
      <w:r>
        <w:rPr>
          <w:rFonts w:hint="default" w:ascii="仿宋" w:hAnsi="仿宋" w:eastAsia="仿宋" w:cs="仿宋"/>
          <w:sz w:val="30"/>
          <w:szCs w:val="30"/>
          <w:highlight w:val="none"/>
          <w:lang w:val="en-US" w:eastAsia="zh-CN"/>
        </w:rPr>
        <w:t>。</w:t>
      </w:r>
    </w:p>
    <w:p w14:paraId="068DE78A">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2、项目业主单位：</w:t>
      </w:r>
      <w:r>
        <w:rPr>
          <w:rFonts w:hint="default" w:ascii="仿宋" w:hAnsi="仿宋" w:eastAsia="仿宋" w:cs="Times New Roman"/>
          <w:sz w:val="28"/>
          <w:szCs w:val="28"/>
          <w:lang w:eastAsia="zh-CN"/>
        </w:rPr>
        <w:t>株洲渌湘城市排水有限公司</w:t>
      </w:r>
    </w:p>
    <w:p w14:paraId="4CFAC08F">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类   型：</w:t>
      </w:r>
      <w:r>
        <w:rPr>
          <w:rFonts w:hint="eastAsia" w:ascii="仿宋" w:hAnsi="仿宋" w:eastAsia="仿宋" w:cs="仿宋"/>
          <w:sz w:val="30"/>
          <w:szCs w:val="30"/>
          <w:highlight w:val="none"/>
          <w:lang w:val="en-US" w:eastAsia="zh-CN"/>
        </w:rPr>
        <w:t>有限责任公司</w:t>
      </w:r>
    </w:p>
    <w:p w14:paraId="63A3F655">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法定代表人：</w:t>
      </w:r>
      <w:r>
        <w:rPr>
          <w:rFonts w:hint="eastAsia" w:ascii="仿宋" w:hAnsi="仿宋" w:eastAsia="仿宋" w:cs="仿宋"/>
          <w:sz w:val="30"/>
          <w:szCs w:val="30"/>
          <w:highlight w:val="none"/>
          <w:lang w:val="en-US" w:eastAsia="zh-CN"/>
        </w:rPr>
        <w:t>陈剑</w:t>
      </w:r>
    </w:p>
    <w:p w14:paraId="742EBA66">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3、项目实施单位：株洲市渌口区住房和城乡建设局</w:t>
      </w:r>
    </w:p>
    <w:p w14:paraId="7AD75FE3">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4、建设内容：</w:t>
      </w:r>
    </w:p>
    <w:p w14:paraId="19A8DA9A">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王家洲污水处理厂扩建工程：将王家洲污水处理厂处理规模扩建至4万吨/天（新增处理规模2万吨/天）。</w:t>
      </w:r>
    </w:p>
    <w:p w14:paraId="43512174">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东片区排污管网：新建污水管道7.49公里,排污管沟清淤及疏通2.14公里,黑臭水体整治1.23公里。</w:t>
      </w:r>
    </w:p>
    <w:p w14:paraId="48B725D7">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西片区排污管网：新建污水管道10.76公里,排污管沟清淤及疏通2.22公里,黑臭水体整治1.42公里。</w:t>
      </w:r>
    </w:p>
    <w:p w14:paraId="14585050">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5、项目总投资：18,503.65万元；</w:t>
      </w:r>
    </w:p>
    <w:p w14:paraId="5CAC51A0">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6、建设地点：本项目位于</w:t>
      </w:r>
      <w:r>
        <w:rPr>
          <w:rFonts w:hint="eastAsia" w:ascii="仿宋" w:hAnsi="仿宋" w:eastAsia="仿宋" w:cs="仿宋"/>
          <w:sz w:val="30"/>
          <w:szCs w:val="30"/>
          <w:highlight w:val="none"/>
          <w:lang w:val="en-US" w:eastAsia="zh-CN"/>
        </w:rPr>
        <w:t>株洲市渌口镇东、西片区</w:t>
      </w:r>
    </w:p>
    <w:p w14:paraId="76F74AE3">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7、建设期：建设期为24</w:t>
      </w:r>
      <w:r>
        <w:rPr>
          <w:rFonts w:hint="eastAsia" w:ascii="仿宋" w:hAnsi="仿宋" w:eastAsia="仿宋" w:cs="仿宋"/>
          <w:sz w:val="30"/>
          <w:szCs w:val="30"/>
          <w:highlight w:val="none"/>
          <w:lang w:val="en-US" w:eastAsia="zh-CN"/>
        </w:rPr>
        <w:t>个月</w:t>
      </w:r>
      <w:r>
        <w:rPr>
          <w:rFonts w:hint="default" w:ascii="仿宋" w:hAnsi="仿宋" w:eastAsia="仿宋" w:cs="仿宋"/>
          <w:sz w:val="30"/>
          <w:szCs w:val="30"/>
          <w:highlight w:val="none"/>
          <w:lang w:val="en-US" w:eastAsia="zh-CN"/>
        </w:rPr>
        <w:t>，即</w:t>
      </w:r>
      <w:r>
        <w:rPr>
          <w:rFonts w:hint="eastAsia" w:ascii="仿宋" w:hAnsi="仿宋" w:eastAsia="仿宋" w:cs="仿宋"/>
          <w:sz w:val="30"/>
          <w:szCs w:val="30"/>
          <w:highlight w:val="none"/>
          <w:lang w:val="en-US" w:eastAsia="zh-CN"/>
        </w:rPr>
        <w:t>202</w:t>
      </w:r>
      <w:r>
        <w:rPr>
          <w:rFonts w:hint="default" w:ascii="仿宋" w:hAnsi="仿宋" w:eastAsia="仿宋" w:cs="仿宋"/>
          <w:sz w:val="30"/>
          <w:szCs w:val="30"/>
          <w:highlight w:val="none"/>
          <w:lang w:val="en-US" w:eastAsia="zh-CN"/>
        </w:rPr>
        <w:t>2年9月至</w:t>
      </w:r>
      <w:r>
        <w:rPr>
          <w:rFonts w:hint="eastAsia" w:ascii="仿宋" w:hAnsi="仿宋" w:eastAsia="仿宋" w:cs="仿宋"/>
          <w:sz w:val="30"/>
          <w:szCs w:val="30"/>
          <w:highlight w:val="none"/>
          <w:lang w:val="en-US" w:eastAsia="zh-CN"/>
        </w:rPr>
        <w:t>20</w:t>
      </w:r>
      <w:r>
        <w:rPr>
          <w:rFonts w:hint="default" w:ascii="仿宋" w:hAnsi="仿宋" w:eastAsia="仿宋" w:cs="仿宋"/>
          <w:sz w:val="30"/>
          <w:szCs w:val="30"/>
          <w:highlight w:val="none"/>
          <w:lang w:val="en-US" w:eastAsia="zh-CN"/>
        </w:rPr>
        <w:t>24年8月。</w:t>
      </w:r>
    </w:p>
    <w:p w14:paraId="4AA68E30">
      <w:pPr>
        <w:pStyle w:val="17"/>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02" w:firstLineChars="200"/>
        <w:jc w:val="both"/>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（二）资金与项目管理情况。</w:t>
      </w:r>
    </w:p>
    <w:p w14:paraId="5D27BB9C">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本项目投资的资金来源有二个渠道：</w:t>
      </w:r>
      <w:r>
        <w:rPr>
          <w:rFonts w:hint="default" w:ascii="仿宋" w:hAnsi="仿宋" w:eastAsia="仿宋" w:cs="仿宋"/>
          <w:sz w:val="30"/>
          <w:szCs w:val="30"/>
          <w:highlight w:val="none"/>
          <w:lang w:val="en-US" w:eastAsia="zh-CN"/>
        </w:rPr>
        <w:t>株洲市渌口区渌口镇东西片区市政排污管网建设项目总投资18,503.65万元，</w:t>
      </w:r>
      <w:r>
        <w:rPr>
          <w:rFonts w:hint="eastAsia" w:ascii="仿宋" w:hAnsi="仿宋" w:eastAsia="仿宋" w:cs="仿宋"/>
          <w:sz w:val="30"/>
          <w:szCs w:val="30"/>
          <w:highlight w:val="none"/>
          <w:lang w:val="en-US" w:eastAsia="zh-CN"/>
        </w:rPr>
        <w:t>其中，财政资金</w:t>
      </w:r>
      <w:r>
        <w:rPr>
          <w:rFonts w:hint="default" w:ascii="仿宋" w:hAnsi="仿宋" w:eastAsia="仿宋" w:cs="仿宋"/>
          <w:sz w:val="30"/>
          <w:szCs w:val="30"/>
          <w:highlight w:val="none"/>
          <w:lang w:val="en-US" w:eastAsia="zh-CN"/>
        </w:rPr>
        <w:t>9,503.65</w:t>
      </w:r>
      <w:r>
        <w:rPr>
          <w:rFonts w:hint="eastAsia" w:ascii="仿宋" w:hAnsi="仿宋" w:eastAsia="仿宋" w:cs="仿宋"/>
          <w:sz w:val="30"/>
          <w:szCs w:val="30"/>
          <w:highlight w:val="none"/>
          <w:lang w:val="en-US" w:eastAsia="zh-CN"/>
        </w:rPr>
        <w:t>万元，占比</w:t>
      </w:r>
      <w:r>
        <w:rPr>
          <w:rFonts w:hint="default" w:ascii="仿宋" w:hAnsi="仿宋" w:eastAsia="仿宋" w:cs="仿宋"/>
          <w:sz w:val="30"/>
          <w:szCs w:val="30"/>
          <w:highlight w:val="none"/>
          <w:lang w:val="en-US" w:eastAsia="zh-CN"/>
        </w:rPr>
        <w:t>51</w:t>
      </w:r>
      <w:r>
        <w:rPr>
          <w:rFonts w:hint="eastAsia" w:ascii="仿宋" w:hAnsi="仿宋" w:eastAsia="仿宋" w:cs="仿宋"/>
          <w:sz w:val="30"/>
          <w:szCs w:val="30"/>
          <w:highlight w:val="none"/>
          <w:lang w:val="en-US" w:eastAsia="zh-CN"/>
        </w:rPr>
        <w:t>.</w:t>
      </w:r>
      <w:r>
        <w:rPr>
          <w:rFonts w:hint="default" w:ascii="仿宋" w:hAnsi="仿宋" w:eastAsia="仿宋" w:cs="仿宋"/>
          <w:sz w:val="30"/>
          <w:szCs w:val="30"/>
          <w:highlight w:val="none"/>
          <w:lang w:val="en-US" w:eastAsia="zh-CN"/>
        </w:rPr>
        <w:t>36</w:t>
      </w:r>
      <w:r>
        <w:rPr>
          <w:rFonts w:hint="eastAsia" w:ascii="仿宋" w:hAnsi="仿宋" w:eastAsia="仿宋" w:cs="仿宋"/>
          <w:sz w:val="30"/>
          <w:szCs w:val="30"/>
          <w:highlight w:val="none"/>
          <w:lang w:val="en-US" w:eastAsia="zh-CN"/>
        </w:rPr>
        <w:t>%；</w:t>
      </w:r>
      <w:r>
        <w:rPr>
          <w:rFonts w:hint="default" w:ascii="仿宋" w:hAnsi="仿宋" w:eastAsia="仿宋" w:cs="仿宋"/>
          <w:sz w:val="30"/>
          <w:szCs w:val="30"/>
          <w:highlight w:val="none"/>
          <w:lang w:val="en-US" w:eastAsia="zh-CN"/>
        </w:rPr>
        <w:t>拟申请发行政府专项债券资金9,</w:t>
      </w:r>
      <w:r>
        <w:rPr>
          <w:rFonts w:hint="eastAsia" w:ascii="仿宋" w:hAnsi="仿宋" w:eastAsia="仿宋" w:cs="仿宋"/>
          <w:sz w:val="30"/>
          <w:szCs w:val="30"/>
          <w:highlight w:val="none"/>
          <w:lang w:val="en-US" w:eastAsia="zh-CN"/>
        </w:rPr>
        <w:t>0</w:t>
      </w:r>
      <w:r>
        <w:rPr>
          <w:rFonts w:hint="default" w:ascii="仿宋" w:hAnsi="仿宋" w:eastAsia="仿宋" w:cs="仿宋"/>
          <w:sz w:val="30"/>
          <w:szCs w:val="30"/>
          <w:highlight w:val="none"/>
          <w:lang w:val="en-US" w:eastAsia="zh-CN"/>
        </w:rPr>
        <w:t>00.00万元</w:t>
      </w:r>
      <w:r>
        <w:rPr>
          <w:rFonts w:hint="eastAsia" w:ascii="仿宋" w:hAnsi="仿宋" w:eastAsia="仿宋" w:cs="仿宋"/>
          <w:sz w:val="30"/>
          <w:szCs w:val="30"/>
          <w:highlight w:val="none"/>
          <w:lang w:val="en-US" w:eastAsia="zh-CN"/>
        </w:rPr>
        <w:t>。株洲市渌口区渌口镇东西片区市政排污管网建设项目于2023年湖南省水务建设专项债券（一期）-2023年湖南省政府专项债券（五期），债券期限15年，2023年4月业主单位收到9,000.00万元专项债资金，资金到位率达100%。</w:t>
      </w:r>
    </w:p>
    <w:p w14:paraId="2AB60C43">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该项目严格执行项目法人责任制、招标投标制、工程监理制、合同管理制，按基本建设程序落实招投标、工程监理、竣工验收等相关规定的情况，不存在未按相关要求落实有关管理法规制度情况；按要求及时报告项目开工、投资完成、工程形象进度等建设进展；按监管人要求做到了“三到现场”等项目管理情况。</w:t>
      </w:r>
    </w:p>
    <w:p w14:paraId="03E9FAB3">
      <w:pPr>
        <w:pStyle w:val="17"/>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02" w:firstLineChars="200"/>
        <w:jc w:val="both"/>
        <w:textAlignment w:val="auto"/>
        <w:rPr>
          <w:rFonts w:hint="default"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（三）项目绩效目标完成程度。</w:t>
      </w:r>
    </w:p>
    <w:p w14:paraId="4F4F1B2E">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项目于2022年9月启动，2024年8月底竣工，项目建设工期24个月，进度安排如下：</w:t>
      </w:r>
    </w:p>
    <w:p w14:paraId="08DEB2C7">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2022年9月前完成可研报告审批、设计等前期、准备阶段的工作；</w:t>
      </w:r>
    </w:p>
    <w:p w14:paraId="4BE578FA">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2022年10月至2024年8月完成工程建设；</w:t>
      </w:r>
    </w:p>
    <w:p w14:paraId="07E3F4F7">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2024年8月底竣工验收。</w:t>
      </w:r>
    </w:p>
    <w:p w14:paraId="0207787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rPr>
        <w:t>绩效评价工作情况</w:t>
      </w:r>
    </w:p>
    <w:p w14:paraId="678D9F5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jc w:val="both"/>
        <w:textAlignment w:val="auto"/>
        <w:outlineLvl w:val="9"/>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本项目有充分的政策、法律依据，坚持严格的审查审批和报批程序，并经过严谨科学的可行性研究论证，立项合法，程序完备，建设规模、设计方案合理可行。</w:t>
      </w:r>
    </w:p>
    <w:p w14:paraId="03679AA6">
      <w:pPr>
        <w:keepNext w:val="0"/>
        <w:keepLines w:val="0"/>
        <w:pageBreakBefore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三、项目主要绩效及评价结论</w:t>
      </w:r>
    </w:p>
    <w:p w14:paraId="60AF5B3C">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b/>
          <w:bCs/>
          <w:sz w:val="30"/>
          <w:szCs w:val="30"/>
          <w:highlight w:val="none"/>
          <w:lang w:eastAsia="zh-CN"/>
        </w:rPr>
      </w:pPr>
      <w:r>
        <w:rPr>
          <w:rFonts w:hint="eastAsia" w:ascii="仿宋" w:hAnsi="仿宋" w:eastAsia="仿宋" w:cs="仿宋"/>
          <w:b w:val="0"/>
          <w:bCs w:val="0"/>
          <w:color w:val="auto"/>
          <w:kern w:val="2"/>
          <w:sz w:val="30"/>
          <w:szCs w:val="30"/>
          <w:highlight w:val="none"/>
          <w:lang w:val="en-US" w:eastAsia="zh-CN" w:bidi="ar-SA"/>
        </w:rPr>
        <w:t>(一)</w:t>
      </w:r>
      <w:r>
        <w:rPr>
          <w:rFonts w:hint="eastAsia" w:ascii="仿宋" w:hAnsi="仿宋" w:eastAsia="仿宋" w:cs="仿宋"/>
          <w:b/>
          <w:bCs/>
          <w:sz w:val="30"/>
          <w:szCs w:val="30"/>
          <w:highlight w:val="none"/>
          <w:lang w:eastAsia="zh-CN"/>
        </w:rPr>
        <w:t>绩效评价工作</w:t>
      </w:r>
    </w:p>
    <w:p w14:paraId="39E0458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jc w:val="both"/>
        <w:textAlignment w:val="auto"/>
        <w:outlineLvl w:val="9"/>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本项目建设内容符合专项债资金投向领域，债券存续期内项目预期运营收益能够合理保障偿还融资本金和利息，实现项目收益和融资自求平衡。</w:t>
      </w:r>
    </w:p>
    <w:p w14:paraId="1C19CA51">
      <w:pPr>
        <w:keepNext w:val="0"/>
        <w:keepLines w:val="0"/>
        <w:pageBreakBefore w:val="0"/>
        <w:numPr>
          <w:ilvl w:val="0"/>
          <w:numId w:val="0"/>
        </w:numPr>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val="0"/>
          <w:bCs w:val="0"/>
          <w:color w:val="auto"/>
          <w:kern w:val="2"/>
          <w:sz w:val="30"/>
          <w:szCs w:val="30"/>
          <w:highlight w:val="none"/>
          <w:lang w:val="en-US" w:eastAsia="zh-CN" w:bidi="ar-SA"/>
        </w:rPr>
        <w:t>(二)</w:t>
      </w:r>
      <w:r>
        <w:rPr>
          <w:rFonts w:hint="eastAsia" w:ascii="仿宋" w:hAnsi="仿宋" w:eastAsia="仿宋" w:cs="仿宋"/>
          <w:b/>
          <w:bCs/>
          <w:sz w:val="30"/>
          <w:szCs w:val="30"/>
          <w:highlight w:val="none"/>
          <w:lang w:eastAsia="zh-CN"/>
        </w:rPr>
        <w:t>评价结论</w:t>
      </w:r>
    </w:p>
    <w:p w14:paraId="7F54128E">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本项目于</w:t>
      </w:r>
      <w:r>
        <w:rPr>
          <w:rFonts w:hint="eastAsia" w:ascii="仿宋" w:hAnsi="仿宋" w:eastAsia="仿宋" w:cs="仿宋"/>
          <w:sz w:val="30"/>
          <w:szCs w:val="30"/>
          <w:highlight w:val="none"/>
          <w:lang w:val="en-US" w:eastAsia="zh-CN"/>
        </w:rPr>
        <w:t>2023</w:t>
      </w:r>
      <w:r>
        <w:rPr>
          <w:rFonts w:hint="eastAsia" w:ascii="仿宋" w:hAnsi="仿宋" w:eastAsia="仿宋" w:cs="仿宋"/>
          <w:sz w:val="30"/>
          <w:szCs w:val="30"/>
          <w:highlight w:val="none"/>
          <w:lang w:eastAsia="zh-CN"/>
        </w:rPr>
        <w:t>年完成可行性研究报告批复，</w:t>
      </w:r>
      <w:r>
        <w:rPr>
          <w:rFonts w:hint="eastAsia" w:ascii="仿宋" w:hAnsi="仿宋" w:eastAsia="仿宋" w:cs="仿宋"/>
          <w:sz w:val="30"/>
          <w:szCs w:val="30"/>
          <w:highlight w:val="none"/>
          <w:lang w:val="en-US" w:eastAsia="zh-CN"/>
        </w:rPr>
        <w:t>批文号为</w:t>
      </w:r>
      <w:r>
        <w:rPr>
          <w:rFonts w:hint="eastAsia" w:ascii="仿宋" w:hAnsi="仿宋" w:eastAsia="仿宋" w:cs="仿宋"/>
          <w:sz w:val="30"/>
          <w:szCs w:val="30"/>
          <w:highlight w:val="none"/>
          <w:lang w:val="en-US" w:eastAsia="zh-Hans"/>
        </w:rPr>
        <w:t>渌发改审[202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val="en-US" w:eastAsia="zh-Hans"/>
        </w:rPr>
        <w:t>]</w:t>
      </w:r>
      <w:r>
        <w:rPr>
          <w:rFonts w:hint="eastAsia" w:ascii="仿宋" w:hAnsi="仿宋" w:eastAsia="仿宋" w:cs="仿宋"/>
          <w:sz w:val="30"/>
          <w:szCs w:val="30"/>
          <w:highlight w:val="none"/>
          <w:lang w:val="en-US" w:eastAsia="zh-CN"/>
        </w:rPr>
        <w:t>34</w:t>
      </w:r>
      <w:r>
        <w:rPr>
          <w:rFonts w:hint="eastAsia" w:ascii="仿宋" w:hAnsi="仿宋" w:eastAsia="仿宋" w:cs="仿宋"/>
          <w:sz w:val="30"/>
          <w:szCs w:val="30"/>
          <w:highlight w:val="none"/>
          <w:lang w:val="en-US" w:eastAsia="zh-Hans"/>
        </w:rPr>
        <w:t>号</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eastAsia="zh-CN"/>
        </w:rPr>
        <w:t>本项目子项目</w:t>
      </w:r>
      <w:r>
        <w:rPr>
          <w:rFonts w:hint="eastAsia" w:ascii="仿宋" w:hAnsi="仿宋" w:eastAsia="仿宋" w:cs="仿宋"/>
          <w:sz w:val="30"/>
          <w:szCs w:val="30"/>
          <w:highlight w:val="none"/>
          <w:lang w:val="en-US" w:eastAsia="zh-CN"/>
        </w:rPr>
        <w:t>配套道路、雨污管网、供水管网、燃气管道等基础设施项目都在施工中，项目配套服务设施</w:t>
      </w:r>
      <w:r>
        <w:rPr>
          <w:rFonts w:hint="eastAsia" w:ascii="仿宋" w:hAnsi="仿宋" w:eastAsia="仿宋" w:cs="仿宋"/>
          <w:sz w:val="30"/>
          <w:szCs w:val="30"/>
          <w:highlight w:val="none"/>
        </w:rPr>
        <w:t>工程涉及到征地拆迁</w:t>
      </w:r>
      <w:r>
        <w:rPr>
          <w:rFonts w:hint="eastAsia" w:ascii="仿宋" w:hAnsi="仿宋" w:eastAsia="仿宋" w:cs="仿宋"/>
          <w:sz w:val="30"/>
          <w:szCs w:val="30"/>
          <w:highlight w:val="none"/>
          <w:lang w:eastAsia="zh-CN"/>
        </w:rPr>
        <w:t>未完成</w:t>
      </w:r>
      <w:r>
        <w:rPr>
          <w:rFonts w:hint="eastAsia" w:ascii="仿宋" w:hAnsi="仿宋" w:eastAsia="仿宋" w:cs="仿宋"/>
          <w:sz w:val="30"/>
          <w:szCs w:val="30"/>
          <w:highlight w:val="none"/>
        </w:rPr>
        <w:t>导致项目进度较慢</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该项目</w:t>
      </w:r>
      <w:r>
        <w:rPr>
          <w:rFonts w:hint="eastAsia" w:ascii="仿宋" w:hAnsi="仿宋" w:eastAsia="仿宋" w:cs="仿宋"/>
          <w:sz w:val="30"/>
          <w:szCs w:val="30"/>
          <w:highlight w:val="none"/>
          <w:lang w:eastAsia="zh-CN"/>
        </w:rPr>
        <w:t>严格执行项目法人责任制、招标投标制、工程监理制、合同管理制，按基本建设程序</w:t>
      </w:r>
      <w:r>
        <w:rPr>
          <w:rFonts w:hint="eastAsia" w:ascii="仿宋" w:hAnsi="仿宋" w:eastAsia="仿宋" w:cs="仿宋"/>
          <w:sz w:val="30"/>
          <w:szCs w:val="30"/>
          <w:highlight w:val="none"/>
        </w:rPr>
        <w:t>落实招投标、工程监理、竣工验收等相关规定的情况，不存在未按相关要求落实有关管理法规制度情况；按要求及时报告项目开工、投资完成、工程形象进度等建设进展；按监管人要求做到了“三到现场”等项目管理情况。</w:t>
      </w:r>
      <w:r>
        <w:rPr>
          <w:rFonts w:hint="eastAsia" w:ascii="仿宋" w:hAnsi="仿宋" w:eastAsia="仿宋" w:cs="仿宋"/>
          <w:sz w:val="30"/>
          <w:szCs w:val="30"/>
          <w:highlight w:val="none"/>
          <w:lang w:eastAsia="zh-CN"/>
        </w:rPr>
        <w:t>经自评，项目基本按计划和融资平衡方案进行了实施。</w:t>
      </w:r>
    </w:p>
    <w:p w14:paraId="419323EA">
      <w:pPr>
        <w:keepNext w:val="0"/>
        <w:keepLines w:val="0"/>
        <w:pageBreakBefore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bCs/>
          <w:kern w:val="2"/>
          <w:sz w:val="30"/>
          <w:szCs w:val="30"/>
          <w:highlight w:val="none"/>
          <w:lang w:val="en-US" w:eastAsia="zh-CN" w:bidi="ar-SA"/>
        </w:rPr>
      </w:pPr>
      <w:r>
        <w:rPr>
          <w:rFonts w:hint="eastAsia" w:ascii="仿宋" w:hAnsi="仿宋" w:eastAsia="仿宋" w:cs="仿宋"/>
          <w:b/>
          <w:bCs/>
          <w:sz w:val="30"/>
          <w:szCs w:val="30"/>
          <w:highlight w:val="none"/>
          <w:lang w:eastAsia="zh-CN"/>
        </w:rPr>
        <w:t>四、</w:t>
      </w:r>
      <w:r>
        <w:rPr>
          <w:rFonts w:hint="eastAsia" w:ascii="仿宋" w:hAnsi="仿宋" w:eastAsia="仿宋" w:cs="仿宋"/>
          <w:b/>
          <w:bCs/>
          <w:sz w:val="30"/>
          <w:szCs w:val="30"/>
          <w:highlight w:val="none"/>
        </w:rPr>
        <w:t>绩效评价指标分析</w:t>
      </w:r>
    </w:p>
    <w:p w14:paraId="352C07FB">
      <w:pPr>
        <w:pStyle w:val="13"/>
        <w:keepNext w:val="0"/>
        <w:keepLines w:val="0"/>
        <w:pageBreakBefore w:val="0"/>
        <w:numPr>
          <w:ilvl w:val="0"/>
          <w:numId w:val="0"/>
        </w:numPr>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（一）项目决策情况</w:t>
      </w:r>
    </w:p>
    <w:p w14:paraId="3FD79A7A">
      <w:pPr>
        <w:pStyle w:val="13"/>
        <w:keepNext w:val="0"/>
        <w:keepLines w:val="0"/>
        <w:pageBreakBefore w:val="0"/>
        <w:numPr>
          <w:ilvl w:val="0"/>
          <w:numId w:val="0"/>
        </w:numPr>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依据《地方政府专项债券项目资金绩效管理办法》（财预〔2021〕61号）和《湖南省政府债务项目绩效管理暂行办法》（湘财绩〔2020〕12号）、《湖南省财政厅关于开展2018-2020年度市县政府专项债券项目资金绩效评价的通知》等政策文件要求和省市专项债定期调度要求，本项目债务信息真实准确按期向相关部门进行了报送。</w:t>
      </w:r>
    </w:p>
    <w:p w14:paraId="0E5247E5">
      <w:pPr>
        <w:pStyle w:val="13"/>
        <w:keepNext w:val="0"/>
        <w:keepLines w:val="0"/>
        <w:pageBreakBefore w:val="0"/>
        <w:numPr>
          <w:ilvl w:val="0"/>
          <w:numId w:val="0"/>
        </w:numPr>
        <w:kinsoku/>
        <w:wordWrap/>
        <w:overflowPunct/>
        <w:topLinePunct w:val="0"/>
        <w:autoSpaceDE/>
        <w:autoSpaceDN/>
        <w:bidi w:val="0"/>
        <w:adjustRightInd w:val="0"/>
        <w:snapToGrid w:val="0"/>
        <w:spacing w:line="500" w:lineRule="exact"/>
        <w:ind w:firstLine="301" w:firstLineChars="100"/>
        <w:textAlignment w:val="auto"/>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（二）项目过程情况</w:t>
      </w:r>
    </w:p>
    <w:p w14:paraId="73F72D3B">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按财政部有关专项债券发行规定，经湖南省人民政府同意，项目的债务信息在省财政厅和深圳证券交易所以及相关网站进行了公开。</w:t>
      </w:r>
    </w:p>
    <w:p w14:paraId="511D2411">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经自评，本项目债务信息报送与公开情况符合相关管理规定。</w:t>
      </w:r>
    </w:p>
    <w:p w14:paraId="06B378A1">
      <w:pPr>
        <w:pStyle w:val="13"/>
        <w:keepNext w:val="0"/>
        <w:keepLines w:val="0"/>
        <w:pageBreakBefore w:val="0"/>
        <w:numPr>
          <w:ilvl w:val="0"/>
          <w:numId w:val="0"/>
        </w:numPr>
        <w:kinsoku/>
        <w:wordWrap/>
        <w:overflowPunct/>
        <w:topLinePunct w:val="0"/>
        <w:autoSpaceDE/>
        <w:autoSpaceDN/>
        <w:bidi w:val="0"/>
        <w:adjustRightInd w:val="0"/>
        <w:snapToGrid w:val="0"/>
        <w:spacing w:line="500" w:lineRule="exact"/>
        <w:ind w:firstLine="301" w:firstLineChars="1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项目产出情况</w:t>
      </w:r>
    </w:p>
    <w:p w14:paraId="1988E3EA">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项目仍处于建设阶段，未开始项目运营。</w:t>
      </w:r>
    </w:p>
    <w:p w14:paraId="2B66CCF9">
      <w:pPr>
        <w:keepNext w:val="0"/>
        <w:keepLines w:val="0"/>
        <w:pageBreakBefore w:val="0"/>
        <w:numPr>
          <w:ilvl w:val="0"/>
          <w:numId w:val="0"/>
        </w:numPr>
        <w:kinsoku/>
        <w:wordWrap/>
        <w:overflowPunct/>
        <w:topLinePunct w:val="0"/>
        <w:autoSpaceDE/>
        <w:autoSpaceDN/>
        <w:bidi w:val="0"/>
        <w:adjustRightInd w:val="0"/>
        <w:snapToGrid w:val="0"/>
        <w:spacing w:line="500" w:lineRule="exact"/>
        <w:ind w:firstLine="301" w:firstLineChars="100"/>
        <w:textAlignment w:val="auto"/>
        <w:rPr>
          <w:rFonts w:hint="eastAsia" w:ascii="仿宋" w:hAnsi="仿宋" w:eastAsia="仿宋" w:cs="仿宋"/>
          <w:b/>
          <w:bCs/>
          <w:kern w:val="2"/>
          <w:sz w:val="30"/>
          <w:szCs w:val="30"/>
          <w:highlight w:val="none"/>
          <w:lang w:val="en-US" w:eastAsia="zh-CN" w:bidi="ar-SA"/>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lang w:eastAsia="zh-CN"/>
        </w:rPr>
        <w:t>）</w:t>
      </w:r>
      <w:r>
        <w:rPr>
          <w:rFonts w:hint="eastAsia" w:ascii="仿宋" w:hAnsi="仿宋" w:eastAsia="仿宋" w:cs="仿宋"/>
          <w:b/>
          <w:bCs/>
          <w:kern w:val="2"/>
          <w:sz w:val="30"/>
          <w:szCs w:val="30"/>
          <w:highlight w:val="none"/>
          <w:lang w:val="en-US" w:eastAsia="zh-CN" w:bidi="ar-SA"/>
        </w:rPr>
        <w:t>项目效益情况</w:t>
      </w:r>
    </w:p>
    <w:p w14:paraId="68E059FD">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1、经济效益：项目完成后可实现债券发行平衡方案的预期专项收入，预期实现收益可覆盖项目成本。</w:t>
      </w:r>
    </w:p>
    <w:p w14:paraId="0C5DDD95">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2、环境效益：项目实施后可改善区域治安环境，提升了区域发展品味和城市人居环境，提升了周边地区的整体形象。</w:t>
      </w:r>
    </w:p>
    <w:p w14:paraId="0C897B33">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3、社会资本投入：项目实施后完成了成规模的土地整理和基础设施，推动了片区开发进程。</w:t>
      </w:r>
    </w:p>
    <w:p w14:paraId="425A1AE6">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4、可持续影响：项目后续运行将持续改善区域居住、投资环境，对区域经济和社会发展持续起到促进作用。</w:t>
      </w:r>
    </w:p>
    <w:p w14:paraId="4A009E8A">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5、满意度：采用问卷方式对项目周边民众满意度进行调查，群众满意度达到98%。</w:t>
      </w:r>
    </w:p>
    <w:p w14:paraId="677FAEE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200" w:firstLine="301" w:firstLineChars="100"/>
        <w:textAlignment w:val="auto"/>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val="en-US" w:eastAsia="zh-CN"/>
        </w:rPr>
        <w:t>五</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rPr>
        <w:t>主要经验及做法、存在的问题及原因分析</w:t>
      </w:r>
    </w:p>
    <w:p w14:paraId="44D02DF5">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color w:val="000000"/>
          <w:kern w:val="0"/>
          <w:sz w:val="30"/>
          <w:szCs w:val="30"/>
          <w:highlight w:val="none"/>
          <w:lang w:val="en-US" w:eastAsia="zh-CN" w:bidi="ar"/>
        </w:rPr>
        <w:t>项目在落地建设过程中，可能会遇到当地施工队伍或非直接利益相关人以各种非正当理由设置障碍、恶意阻挠施工、刁难施工单位，意在谋取非正当或非法利益的情况；在项目正常运行期也可能会出现设备仪器被盗或被破坏的社会治安问题。该类问题将对项目建设的工期进度、工程质量、设备正常运行造成较大影响，带来极为不好的社会影响。如此情况发生，为防止事态恶化，将立即报告当地治安管理部门，依托治安管理部门的力量，为项目建设保驾护航。</w:t>
      </w:r>
    </w:p>
    <w:p w14:paraId="22FB442E">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本项目通过对以上几方面社会稳定风险内容的排查，对项目合法性、合理性及可行性的质疑及工程运行期环境影响都不会引发社会稳定风险；只有工程施工期环境影响及社会治安问题存在社会稳定风险的可能性，但都属于低风险，在采取相应措施后能够降低发生几率或消除风险，具有较高的可控性。</w:t>
      </w:r>
    </w:p>
    <w:p w14:paraId="15B41372">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①工程建设风险：根据工程施工步骤分析，本项目施工期可能引发社会稳定风险的因素大部分集中在成井过程，即成井过程中对周边环境的影响引发的风险，主要体现在噪声影响、废气排放、泥浆排放、材料堆放、交通影响等对附近居民和单位生活生产的影响以及安全文明施工等几个方面。</w:t>
      </w:r>
    </w:p>
    <w:p w14:paraId="75917F6B">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应对措施：施工期内，须严格按照有关规定，采用低噪施工机具、合理安排施工场地、加强各个环节施工管理，必能将施工对周边环境的影响降到最低，将由此带来的社会稳定风险降到最低。</w:t>
      </w:r>
    </w:p>
    <w:p w14:paraId="10D9B055">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color w:val="000000"/>
          <w:kern w:val="0"/>
          <w:sz w:val="30"/>
          <w:szCs w:val="30"/>
          <w:highlight w:val="none"/>
          <w:lang w:val="en-US" w:eastAsia="zh-CN" w:bidi="ar"/>
        </w:rPr>
        <w:t xml:space="preserve">②项目收益与预期存在差异风险：项目主要收益来源于培训收入、宿舍收入和职业鉴定中心出租收入。相关收入受市场价格影响较大，若经济发展不及预期，将对项目后续收益产生影响，形成项目收益与预期存在差异的风险。 </w:t>
      </w:r>
    </w:p>
    <w:p w14:paraId="777CF49D">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应对措施：谨慎评估好项目预期收益，做到合理预估项目收益，尽量减少与预期差异的可能。加强项目实现收入的过程管理，尽可能实现预期收益。在项目收益与预期存在差异，收入无法覆盖本息时提前做好预案，由财政安排好政府性基金收入、专项收入偿还，确保债券本息偿还不出现风险。</w:t>
      </w:r>
    </w:p>
    <w:p w14:paraId="248862FC">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 xml:space="preserve">③项目完工风险：在建设施工过程产生的风险，可能会出现建设标准、建设内容、施工进度和工程质量不达标的问题，影响项目如期完工，带来成本超支问题。 </w:t>
      </w:r>
    </w:p>
    <w:p w14:paraId="0B3EDA63">
      <w:pPr>
        <w:keepNext w:val="0"/>
        <w:keepLines w:val="0"/>
        <w:pageBreakBefore w:val="0"/>
        <w:widowControl/>
        <w:suppressLineNumbers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仿宋" w:hAnsi="仿宋" w:eastAsia="仿宋" w:cs="仿宋"/>
          <w:b/>
          <w:bCs/>
          <w:sz w:val="30"/>
          <w:szCs w:val="30"/>
          <w:highlight w:val="none"/>
          <w:lang w:eastAsia="zh-CN"/>
        </w:rPr>
      </w:pPr>
      <w:r>
        <w:rPr>
          <w:rFonts w:hint="eastAsia" w:ascii="仿宋" w:hAnsi="仿宋" w:eastAsia="仿宋" w:cs="仿宋"/>
          <w:color w:val="000000"/>
          <w:kern w:val="0"/>
          <w:sz w:val="30"/>
          <w:szCs w:val="30"/>
          <w:highlight w:val="none"/>
          <w:lang w:val="en-US" w:eastAsia="zh-CN" w:bidi="ar"/>
        </w:rPr>
        <w:t>应付措施：针对上述可能出现的问题，项目单位将在项目建设期，对项目全部建设资金使用情况适时进行审计；在项目建成后，对相关成本进行专项审计。当项目总投资超过概算时，由项目单位负责筹集落实资金缺口，确保项目资金的及时投入和工程的顺利完成。</w:t>
      </w:r>
    </w:p>
    <w:p w14:paraId="2170526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val="en-US" w:eastAsia="zh-CN"/>
        </w:rPr>
        <w:t>六</w:t>
      </w:r>
      <w:r>
        <w:rPr>
          <w:rFonts w:hint="eastAsia" w:ascii="仿宋" w:hAnsi="仿宋" w:eastAsia="仿宋" w:cs="仿宋"/>
          <w:b/>
          <w:bCs/>
          <w:sz w:val="30"/>
          <w:szCs w:val="30"/>
          <w:highlight w:val="none"/>
          <w:lang w:eastAsia="zh-CN"/>
        </w:rPr>
        <w:t>、有关建议</w:t>
      </w:r>
    </w:p>
    <w:p w14:paraId="36AE8877">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本项目的风险分析贯穿于项目建设和生产运营的全过程，主要风险因素集中在投资风险、工程风险、社会风险、外部协作条件风险等。这些风险的结果主要是导致项目的收益不及预期。在项目实施中，通过主动规避风险措施，降低风险，其中采用限额设计降低投资风险，采用“三控二管理”降低工程风险，采用项目指挥部调度会议降低社会风险，采用成立项目工作小组降低外部协作条件风险，但项目风险管理仍需进一步提升管理水平。</w:t>
      </w:r>
    </w:p>
    <w:p w14:paraId="06FCBCD1">
      <w:pPr>
        <w:keepNext w:val="0"/>
        <w:keepLines w:val="0"/>
        <w:pageBreakBefore w:val="0"/>
        <w:kinsoku/>
        <w:wordWrap/>
        <w:overflowPunct/>
        <w:topLinePunct w:val="0"/>
        <w:autoSpaceDE/>
        <w:autoSpaceDN/>
        <w:bidi w:val="0"/>
        <w:adjustRightInd w:val="0"/>
        <w:snapToGrid w:val="0"/>
        <w:spacing w:line="500" w:lineRule="exact"/>
        <w:ind w:firstLine="640"/>
        <w:textAlignment w:val="auto"/>
        <w:rPr>
          <w:rFonts w:hint="eastAsia" w:ascii="仿宋" w:hAnsi="仿宋" w:eastAsia="仿宋" w:cs="仿宋"/>
          <w:b/>
          <w:bCs/>
          <w:sz w:val="30"/>
          <w:szCs w:val="30"/>
          <w:highlight w:val="none"/>
          <w:lang w:val="en-US" w:eastAsia="zh-CN"/>
        </w:rPr>
      </w:pPr>
      <w:r>
        <w:rPr>
          <w:rFonts w:hint="eastAsia" w:ascii="仿宋" w:hAnsi="仿宋" w:eastAsia="仿宋" w:cs="仿宋"/>
          <w:kern w:val="2"/>
          <w:sz w:val="30"/>
          <w:szCs w:val="30"/>
          <w:highlight w:val="none"/>
          <w:lang w:val="en-US" w:eastAsia="zh-CN" w:bidi="ar-SA"/>
        </w:rPr>
        <w:t>经自评，项目建立了债务风险动态监测机制，对识别到的风险建立了应对的防范措施，建立了债务风险应对预案和社会稳定风险应对预案，未发生过重大风险事件（重大债务违约事件、重大安全事故、重大违法违规事件等）、因债务引起的重大群体性事件等情况，对上级反馈问题按时整改，债券信息按规定披露，项目风险可控。</w:t>
      </w:r>
    </w:p>
    <w:p w14:paraId="02CAC038">
      <w:pPr>
        <w:pStyle w:val="13"/>
        <w:keepNext w:val="0"/>
        <w:keepLines w:val="0"/>
        <w:pageBreakBefore w:val="0"/>
        <w:numPr>
          <w:ilvl w:val="0"/>
          <w:numId w:val="0"/>
        </w:numPr>
        <w:kinsoku/>
        <w:wordWrap/>
        <w:overflowPunct/>
        <w:topLinePunct w:val="0"/>
        <w:autoSpaceDE/>
        <w:autoSpaceDN/>
        <w:bidi w:val="0"/>
        <w:adjustRightInd w:val="0"/>
        <w:snapToGrid w:val="0"/>
        <w:spacing w:line="500" w:lineRule="exact"/>
        <w:ind w:left="420" w:left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七、其他需要说明的情况</w:t>
      </w:r>
    </w:p>
    <w:p w14:paraId="0C7A8B99">
      <w:pPr>
        <w:keepNext w:val="0"/>
        <w:keepLines w:val="0"/>
        <w:pageBreakBefore w:val="0"/>
        <w:kinsoku/>
        <w:wordWrap/>
        <w:overflowPunct/>
        <w:topLinePunct w:val="0"/>
        <w:autoSpaceDE/>
        <w:autoSpaceDN/>
        <w:bidi w:val="0"/>
        <w:adjustRightInd w:val="0"/>
        <w:snapToGrid w:val="0"/>
        <w:spacing w:line="500" w:lineRule="exact"/>
        <w:ind w:firstLine="64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7732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FB82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FB82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GU3MDcxMDk4OTIzMDUwYTJlMDM2MzUyZGIwODYifQ=="/>
  </w:docVars>
  <w:rsids>
    <w:rsidRoot w:val="00172A27"/>
    <w:rsid w:val="05AB7BBE"/>
    <w:rsid w:val="060D0D87"/>
    <w:rsid w:val="08362309"/>
    <w:rsid w:val="0DF64322"/>
    <w:rsid w:val="10BD35C7"/>
    <w:rsid w:val="12DC2A40"/>
    <w:rsid w:val="17BE316D"/>
    <w:rsid w:val="17EB6C6C"/>
    <w:rsid w:val="1D1D719C"/>
    <w:rsid w:val="1FA16AD3"/>
    <w:rsid w:val="23953F30"/>
    <w:rsid w:val="26116B22"/>
    <w:rsid w:val="28F07EB7"/>
    <w:rsid w:val="2A9C2048"/>
    <w:rsid w:val="2B816C6B"/>
    <w:rsid w:val="2D9317BA"/>
    <w:rsid w:val="2FCF07C9"/>
    <w:rsid w:val="32313075"/>
    <w:rsid w:val="32514BEE"/>
    <w:rsid w:val="33DD2A58"/>
    <w:rsid w:val="351378E7"/>
    <w:rsid w:val="3522139B"/>
    <w:rsid w:val="36244C4A"/>
    <w:rsid w:val="36A8591F"/>
    <w:rsid w:val="3A296D28"/>
    <w:rsid w:val="3B4402BD"/>
    <w:rsid w:val="3DF8713D"/>
    <w:rsid w:val="40AB5392"/>
    <w:rsid w:val="41735459"/>
    <w:rsid w:val="41EF2605"/>
    <w:rsid w:val="434150E2"/>
    <w:rsid w:val="45C73FC5"/>
    <w:rsid w:val="4B9E7576"/>
    <w:rsid w:val="4C495E2E"/>
    <w:rsid w:val="4C5440D8"/>
    <w:rsid w:val="53E01C5B"/>
    <w:rsid w:val="582708F3"/>
    <w:rsid w:val="59B166C6"/>
    <w:rsid w:val="59B4447A"/>
    <w:rsid w:val="5C0F3B78"/>
    <w:rsid w:val="62CE62FE"/>
    <w:rsid w:val="636908F0"/>
    <w:rsid w:val="63E43B3C"/>
    <w:rsid w:val="663012BB"/>
    <w:rsid w:val="6753700F"/>
    <w:rsid w:val="67AE15CE"/>
    <w:rsid w:val="68071BA7"/>
    <w:rsid w:val="69901EC1"/>
    <w:rsid w:val="69C04704"/>
    <w:rsid w:val="6CBA457B"/>
    <w:rsid w:val="6D2D6008"/>
    <w:rsid w:val="6D5B4E6F"/>
    <w:rsid w:val="6F2D6397"/>
    <w:rsid w:val="72760D2B"/>
    <w:rsid w:val="75440FA3"/>
    <w:rsid w:val="76CA0432"/>
    <w:rsid w:val="7BF93430"/>
    <w:rsid w:val="7F5F4335"/>
    <w:rsid w:val="7F604E32"/>
    <w:rsid w:val="DBBB4708"/>
    <w:rsid w:val="E37FA7CA"/>
    <w:rsid w:val="FBFFB8D6"/>
    <w:rsid w:val="FD78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autoSpaceDE/>
      <w:autoSpaceDN/>
      <w:spacing w:after="120"/>
      <w:ind w:left="0" w:firstLine="420" w:firstLineChars="100"/>
      <w:jc w:val="both"/>
    </w:pPr>
    <w:rPr>
      <w:rFonts w:ascii="Times New Roman" w:hAnsi="Times New Roman" w:eastAsia="仿宋_GB2312" w:cs="Times New Roman"/>
      <w:sz w:val="21"/>
      <w:szCs w:val="24"/>
      <w:lang w:val="en-US" w:bidi="ar-SA"/>
    </w:rPr>
  </w:style>
  <w:style w:type="paragraph" w:styleId="3">
    <w:name w:val="Body Text"/>
    <w:basedOn w:val="1"/>
    <w:next w:val="4"/>
    <w:qFormat/>
    <w:uiPriority w:val="0"/>
    <w:pPr>
      <w:autoSpaceDE w:val="0"/>
      <w:autoSpaceDN w:val="0"/>
      <w:ind w:left="231"/>
      <w:jc w:val="left"/>
    </w:pPr>
    <w:rPr>
      <w:rFonts w:ascii="宋体" w:hAnsi="宋体" w:eastAsia="宋体" w:cs="宋体"/>
      <w:sz w:val="28"/>
      <w:szCs w:val="28"/>
      <w:lang w:val="zh-CN" w:bidi="zh-CN"/>
    </w:rPr>
  </w:style>
  <w:style w:type="paragraph" w:customStyle="1" w:styleId="4">
    <w:name w:val="正文首行缩进1"/>
    <w:basedOn w:val="1"/>
    <w:next w:val="1"/>
    <w:autoRedefine/>
    <w:qFormat/>
    <w:uiPriority w:val="0"/>
    <w:pPr>
      <w:spacing w:after="120"/>
      <w:ind w:firstLine="420" w:firstLineChars="100"/>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unhideWhenUsed/>
    <w:qFormat/>
    <w:uiPriority w:val="99"/>
    <w:pPr>
      <w:ind w:firstLine="420" w:firstLineChars="200"/>
    </w:pPr>
  </w:style>
  <w:style w:type="table" w:styleId="11">
    <w:name w:val="Table Grid"/>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文字"/>
    <w:basedOn w:val="1"/>
    <w:next w:val="1"/>
    <w:qFormat/>
    <w:uiPriority w:val="0"/>
    <w:pPr>
      <w:spacing w:after="120"/>
    </w:pPr>
    <w:rPr>
      <w:rFonts w:ascii="Times New Roman" w:hAnsi="Times New Roman"/>
      <w:szCs w:val="24"/>
    </w:rPr>
  </w:style>
  <w:style w:type="paragraph" w:customStyle="1" w:styleId="14">
    <w:name w:val="样式2"/>
    <w:basedOn w:val="15"/>
    <w:autoRedefine/>
    <w:qFormat/>
    <w:uiPriority w:val="0"/>
    <w:rPr>
      <w:i/>
    </w:rPr>
  </w:style>
  <w:style w:type="paragraph" w:customStyle="1" w:styleId="15">
    <w:name w:val="样式1"/>
    <w:basedOn w:val="1"/>
    <w:qFormat/>
    <w:uiPriority w:val="0"/>
    <w:pPr>
      <w:pageBreakBefore/>
      <w:adjustRightInd w:val="0"/>
      <w:ind w:firstLine="624"/>
      <w:textAlignment w:val="baseline"/>
    </w:pPr>
    <w:rPr>
      <w:spacing w:val="16"/>
      <w:kern w:val="0"/>
      <w:sz w:val="28"/>
      <w:szCs w:val="20"/>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0"/>
    <w:pPr>
      <w:ind w:firstLine="420" w:firstLineChars="200"/>
    </w:pPr>
    <w:rPr>
      <w:rFonts w:ascii="Calibri" w:hAnsi="Calibri"/>
      <w:szCs w:val="22"/>
    </w:rPr>
  </w:style>
  <w:style w:type="paragraph" w:customStyle="1" w:styleId="18">
    <w:name w:val="_Style 5"/>
    <w:qFormat/>
    <w:uiPriority w:val="0"/>
    <w:pPr>
      <w:widowControl w:val="0"/>
    </w:pPr>
    <w:rPr>
      <w:rFonts w:ascii="Times New Roman" w:hAnsi="Times New Roman" w:eastAsia="宋体" w:cs="Times New Roman"/>
      <w:sz w:val="24"/>
      <w:szCs w:val="22"/>
      <w:lang w:val="en-US" w:eastAsia="en-US" w:bidi="ar-SA"/>
    </w:rPr>
  </w:style>
  <w:style w:type="paragraph" w:styleId="19">
    <w:name w:val="No Spacing"/>
    <w:qFormat/>
    <w:uiPriority w:val="1"/>
    <w:pPr>
      <w:widowControl w:val="0"/>
      <w:adjustRightInd w:val="0"/>
      <w:snapToGrid w:val="0"/>
      <w:spacing w:before="190" w:line="360" w:lineRule="auto"/>
      <w:jc w:val="center"/>
    </w:pPr>
    <w:rPr>
      <w:rFonts w:ascii="Times New Roman" w:hAnsi="Times New Roman" w:eastAsia="仿宋" w:cs="Times New Roman"/>
      <w:b/>
      <w:snapToGrid w:val="0"/>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3037</Words>
  <Characters>3170</Characters>
  <Lines>0</Lines>
  <Paragraphs>0</Paragraphs>
  <TotalTime>0</TotalTime>
  <ScaleCrop>false</ScaleCrop>
  <LinksUpToDate>false</LinksUpToDate>
  <CharactersWithSpaces>3175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2021-10-27T03:08:00Z</dcterms:created>
  <dc:creator>蜻蜓</dc:creator>
  <cp:lastModifiedBy>Administrator</cp:lastModifiedBy>
  <dcterms:modified xsi:type="dcterms:W3CDTF">2024-09-19T01:24:02Z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23008188AD004846A28018BCED2A228F_13</vt:lpwstr>
  </property>
</Properties>
</file>