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w:t>
      </w:r>
      <w:r>
        <w:rPr>
          <w:rFonts w:hint="eastAsia" w:ascii="Times New Roman" w:hAnsi="Times New Roman" w:eastAsia="仿宋_GB2312" w:cs="Times New Roman"/>
          <w:kern w:val="0"/>
          <w:sz w:val="21"/>
          <w:szCs w:val="21"/>
          <w:lang w:val="en-US" w:eastAsia="zh-CN" w:bidi="ar"/>
        </w:rPr>
        <w:t>区住建局</w:t>
      </w:r>
      <w:r>
        <w:rPr>
          <w:rFonts w:hint="default" w:ascii="Times New Roman" w:hAnsi="Times New Roman" w:eastAsia="仿宋_GB2312" w:cs="Times New Roman"/>
          <w:kern w:val="0"/>
          <w:sz w:val="21"/>
          <w:szCs w:val="21"/>
          <w:lang w:val="en-US" w:eastAsia="zh-CN" w:bidi="ar"/>
        </w:rPr>
        <w:t xml:space="preserve">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4"/>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6"/>
        <w:gridCol w:w="1172"/>
        <w:gridCol w:w="1097"/>
        <w:gridCol w:w="1284"/>
        <w:gridCol w:w="1060"/>
        <w:gridCol w:w="1059"/>
        <w:gridCol w:w="850"/>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渌口区水环境综合治理一期PPP项目运营费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18"/>
                <w:szCs w:val="18"/>
                <w:lang w:val="en-US" w:eastAsia="zh-CN" w:bidi="ar"/>
              </w:rPr>
              <w:t>区住房和城乡建设局</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公用事业服务中心</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1972.77</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778.99</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778.99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523.23</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523.23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255.76</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255.76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对渌口区生活污水进行处理，推动城市污水治理工作“应收尽收”</w:t>
            </w:r>
            <w:r>
              <w:rPr>
                <w:rFonts w:hint="default" w:ascii="Times New Roman" w:hAnsi="Times New Roman" w:eastAsia="仿宋_GB2312" w:cs="Times New Roman"/>
                <w:kern w:val="0"/>
                <w:sz w:val="21"/>
                <w:szCs w:val="21"/>
                <w:lang w:val="en-US" w:eastAsia="zh-CN" w:bidi="ar"/>
              </w:rPr>
              <w:t>　　</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王家洲水质净化厂污水排放达标排放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污水处理率</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污水处理量</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污水处理量</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523.13</w:t>
            </w:r>
            <w:r>
              <w:rPr>
                <w:rFonts w:hint="default" w:ascii="Times New Roman" w:hAnsi="Times New Roman" w:eastAsia="仿宋_GB2312" w:cs="Times New Roman"/>
                <w:kern w:val="0"/>
                <w:sz w:val="21"/>
                <w:szCs w:val="21"/>
                <w:lang w:val="en-US" w:eastAsia="zh-CN" w:bidi="ar"/>
              </w:rPr>
              <w:t>万m³</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污水排放</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一级A标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达标</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污水处理厂运行</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长期正常运行</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运行成本</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778.99</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18"/>
                <w:szCs w:val="18"/>
                <w:lang w:val="en-US" w:eastAsia="zh-CN" w:bidi="ar"/>
              </w:rPr>
              <w:t>778.99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收取污水处理费</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792.63</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792.63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18"/>
                <w:szCs w:val="18"/>
                <w:lang w:val="en-US" w:eastAsia="zh-CN"/>
              </w:rPr>
              <w:t>改善城市人居环境质量</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优良</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优良</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3"/>
                <w:szCs w:val="13"/>
                <w:lang w:val="en-US" w:eastAsia="zh-CN"/>
              </w:rPr>
              <w:t>水生态环境和质量得到极大改善</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改善</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长期改善</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1"/>
                <w:szCs w:val="11"/>
                <w:lang w:val="en-US" w:eastAsia="zh-CN"/>
              </w:rPr>
              <w:t>推动城市污水治理工作“应收尽收”</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长期</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长期</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公众评议满意度</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卢玉冰</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联系电话：</w:t>
      </w:r>
      <w:r>
        <w:rPr>
          <w:rFonts w:hint="eastAsia" w:ascii="Times New Roman" w:hAnsi="Times New Roman" w:eastAsia="仿宋_GB2312" w:cs="Times New Roman"/>
          <w:kern w:val="0"/>
          <w:sz w:val="21"/>
          <w:szCs w:val="21"/>
          <w:lang w:val="en-US" w:eastAsia="zh-CN" w:bidi="ar"/>
        </w:rPr>
        <w:t>18670320252</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2023.04.14</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sectPr>
          <w:pgSz w:w="11906" w:h="16838"/>
          <w:pgMar w:top="1588" w:right="1418" w:bottom="1531" w:left="1588" w:header="851" w:footer="992"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仿宋" w:cs="Times New Roman"/>
          <w:bCs/>
          <w:sz w:val="32"/>
          <w:szCs w:val="32"/>
          <w:lang w:val="en-US"/>
        </w:rPr>
      </w:pPr>
      <w:r>
        <w:rPr>
          <w:rFonts w:hint="default" w:ascii="Times New Roman" w:hAnsi="Times New Roman" w:eastAsia="方正小标宋简体" w:cs="Times New Roman"/>
          <w:bCs/>
          <w:w w:val="95"/>
          <w:sz w:val="44"/>
          <w:szCs w:val="44"/>
          <w:lang w:val="en-US" w:eastAsia="zh-CN"/>
        </w:rPr>
        <w:t>渌口区水环境综合治理一期PPP项目运营费（王家洲水质净化厂）</w:t>
      </w:r>
      <w:r>
        <w:rPr>
          <w:rFonts w:hint="default" w:ascii="Times New Roman" w:hAnsi="Times New Roman" w:eastAsia="方正小标宋简体" w:cs="Times New Roman"/>
          <w:bCs/>
          <w:w w:val="95"/>
          <w:sz w:val="44"/>
          <w:szCs w:val="44"/>
          <w:lang w:eastAsia="zh-CN"/>
        </w:rPr>
        <w:t>项目支出绩效自评报告</w:t>
      </w:r>
    </w:p>
    <w:p>
      <w:pPr>
        <w:pStyle w:val="7"/>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3"/>
        <w:widowControl/>
        <w:spacing w:before="0" w:beforeAutospacing="0" w:after="0" w:afterAutospacing="0" w:line="600" w:lineRule="exact"/>
        <w:ind w:left="781" w:right="1290" w:hanging="37"/>
        <w:rPr>
          <w:rFonts w:hint="default" w:ascii="Times New Roman" w:hAnsi="Times New Roman" w:eastAsia="仿宋_GB2312" w:cs="Times New Roman"/>
          <w:w w:val="90"/>
          <w:sz w:val="32"/>
          <w:szCs w:val="32"/>
          <w:lang w:val="en-US"/>
        </w:rPr>
      </w:pPr>
      <w:r>
        <w:rPr>
          <w:rFonts w:hint="eastAsia" w:ascii="Times New Roman" w:hAnsi="Times New Roman" w:eastAsia="仿宋_GB2312" w:cs="Times New Roman"/>
          <w:w w:val="90"/>
          <w:sz w:val="32"/>
          <w:szCs w:val="32"/>
          <w:lang w:val="en-US" w:eastAsia="zh-CN"/>
        </w:rPr>
        <w:t>王家洲水质净化厂运行管理</w:t>
      </w:r>
    </w:p>
    <w:p>
      <w:pPr>
        <w:pStyle w:val="7"/>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7"/>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7"/>
        <w:widowControl/>
        <w:numPr>
          <w:ilvl w:val="0"/>
          <w:numId w:val="1"/>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pPr>
        <w:pStyle w:val="7"/>
        <w:widowControl/>
        <w:numPr>
          <w:ilvl w:val="0"/>
          <w:numId w:val="0"/>
        </w:numPr>
        <w:tabs>
          <w:tab w:val="left" w:pos="1080"/>
        </w:tabs>
        <w:spacing w:line="600" w:lineRule="exact"/>
        <w:ind w:left="750" w:leftChars="0" w:right="0" w:rightChars="0"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该项目2023年资金实际指标778.99万元，资金实际支付778.99万元。</w:t>
      </w:r>
    </w:p>
    <w:p>
      <w:pPr>
        <w:pStyle w:val="7"/>
        <w:widowControl/>
        <w:numPr>
          <w:ilvl w:val="0"/>
          <w:numId w:val="1"/>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项目资金执行情况分析。</w:t>
      </w:r>
    </w:p>
    <w:p>
      <w:pPr>
        <w:pStyle w:val="7"/>
        <w:widowControl/>
        <w:numPr>
          <w:ilvl w:val="0"/>
          <w:numId w:val="0"/>
        </w:numPr>
        <w:tabs>
          <w:tab w:val="left" w:pos="1080"/>
        </w:tabs>
        <w:spacing w:line="600" w:lineRule="exact"/>
        <w:ind w:left="773" w:leftChars="0" w:right="0" w:rightChars="0"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该项目资金指标用于王家洲水质净化厂运行管理，每季度结束后对项目进行考核，考核完成后按照上季度的费用支付进行支付。</w:t>
      </w:r>
    </w:p>
    <w:p>
      <w:pPr>
        <w:pStyle w:val="7"/>
        <w:widowControl/>
        <w:numPr>
          <w:ilvl w:val="0"/>
          <w:numId w:val="1"/>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7"/>
        <w:widowControl/>
        <w:numPr>
          <w:ilvl w:val="0"/>
          <w:numId w:val="2"/>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pStyle w:val="3"/>
        <w:widowControl/>
        <w:spacing w:line="600" w:lineRule="exact"/>
        <w:ind w:firstLine="912" w:firstLineChars="3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5"/>
          <w:sz w:val="32"/>
          <w:szCs w:val="32"/>
          <w:lang w:val="en-US" w:eastAsia="zh-CN"/>
        </w:rPr>
        <w:t>2023年1月至12月共计处理污水523.13万吨，出水达标排放满足（GB18918-2002）一级A标准</w:t>
      </w:r>
      <w:r>
        <w:rPr>
          <w:rFonts w:hint="default" w:ascii="Times New Roman" w:hAnsi="Times New Roman" w:eastAsia="仿宋_GB2312" w:cs="Times New Roman"/>
          <w:w w:val="95"/>
          <w:sz w:val="32"/>
          <w:szCs w:val="32"/>
          <w:lang w:val="en-US" w:eastAsia="zh-CN"/>
        </w:rPr>
        <w:t>。</w:t>
      </w:r>
    </w:p>
    <w:p>
      <w:pPr>
        <w:pStyle w:val="7"/>
        <w:widowControl/>
        <w:numPr>
          <w:ilvl w:val="0"/>
          <w:numId w:val="2"/>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pStyle w:val="3"/>
        <w:widowControl/>
        <w:spacing w:line="600" w:lineRule="exact"/>
        <w:ind w:right="129"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项目费用从居民及排污企业收取污水处理服务费，作为使用者付费收入来源，用来支付处理污水的费用，不足部分由财政通过一般公共预算支出安排补足。</w:t>
      </w:r>
    </w:p>
    <w:p>
      <w:pPr>
        <w:pStyle w:val="7"/>
        <w:widowControl/>
        <w:numPr>
          <w:ilvl w:val="0"/>
          <w:numId w:val="2"/>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p>
    <w:p>
      <w:pPr>
        <w:pStyle w:val="7"/>
        <w:widowControl/>
        <w:numPr>
          <w:ilvl w:val="0"/>
          <w:numId w:val="0"/>
        </w:numPr>
        <w:tabs>
          <w:tab w:val="left" w:pos="1164"/>
        </w:tabs>
        <w:spacing w:line="600" w:lineRule="exact"/>
        <w:ind w:left="860"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满意度100%</w:t>
      </w:r>
    </w:p>
    <w:p>
      <w:pPr>
        <w:pStyle w:val="7"/>
        <w:widowControl/>
        <w:numPr>
          <w:ilvl w:val="0"/>
          <w:numId w:val="3"/>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7"/>
        <w:widowControl/>
        <w:numPr>
          <w:ilvl w:val="0"/>
          <w:numId w:val="0"/>
        </w:numPr>
        <w:spacing w:line="600" w:lineRule="exact"/>
        <w:ind w:leftChars="200" w:right="0" w:rightChars="0" w:firstLine="320" w:firstLineChars="1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无</w:t>
      </w:r>
    </w:p>
    <w:p>
      <w:pPr>
        <w:pStyle w:val="7"/>
        <w:widowControl/>
        <w:numPr>
          <w:ilvl w:val="0"/>
          <w:numId w:val="3"/>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绩效自评结果拟应用和公开情况</w:t>
      </w:r>
    </w:p>
    <w:p>
      <w:pPr>
        <w:pStyle w:val="7"/>
        <w:widowControl/>
        <w:numPr>
          <w:ilvl w:val="0"/>
          <w:numId w:val="0"/>
        </w:numPr>
        <w:tabs>
          <w:tab w:val="left" w:pos="1164"/>
        </w:tabs>
        <w:spacing w:line="600" w:lineRule="exact"/>
        <w:ind w:right="0" w:rightChars="0"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资金及时足额到位，项目组织管理有效；项目产出基本达到目标，效果良好，绩效基本实现。</w:t>
      </w:r>
    </w:p>
    <w:p>
      <w:pPr>
        <w:pStyle w:val="7"/>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渌口区住房城乡建设局将在规定时间内在政府网站公开项目绩效自评报告及项目自评表，并接受社会监督。综上所述，项目总体自评分为“98</w:t>
      </w:r>
      <w:bookmarkStart w:id="0" w:name="_GoBack"/>
      <w:bookmarkEnd w:id="0"/>
      <w:r>
        <w:rPr>
          <w:rFonts w:hint="eastAsia" w:ascii="Times New Roman" w:hAnsi="Times New Roman" w:eastAsia="仿宋_GB2312" w:cs="Times New Roman"/>
          <w:sz w:val="32"/>
          <w:szCs w:val="32"/>
          <w:lang w:val="en-US" w:eastAsia="zh-CN"/>
        </w:rPr>
        <w:t>分”，自评级别为优。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1">
    <w:nsid w:val="FFFAE41D"/>
    <w:multiLevelType w:val="singleLevel"/>
    <w:tmpl w:val="FFFAE41D"/>
    <w:lvl w:ilvl="0" w:tentative="0">
      <w:start w:val="2"/>
      <w:numFmt w:val="chineseCounting"/>
      <w:suff w:val="nothing"/>
      <w:lvlText w:val="%1、"/>
      <w:lvlJc w:val="left"/>
      <w:rPr>
        <w:rFonts w:hint="eastAsia"/>
      </w:rPr>
    </w:lvl>
  </w:abstractNum>
  <w:abstractNum w:abstractNumId="2">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U2NmZlNThhYTE2Njk0MmYzNDEwMjAxNmNmZTAifQ=="/>
  </w:docVars>
  <w:rsids>
    <w:rsidRoot w:val="00172A27"/>
    <w:rsid w:val="02B40473"/>
    <w:rsid w:val="03C8057F"/>
    <w:rsid w:val="052847B2"/>
    <w:rsid w:val="05436869"/>
    <w:rsid w:val="09EB0ED1"/>
    <w:rsid w:val="0D564DFD"/>
    <w:rsid w:val="0DB57CB4"/>
    <w:rsid w:val="0E8845BE"/>
    <w:rsid w:val="12345AE2"/>
    <w:rsid w:val="14274190"/>
    <w:rsid w:val="1C9A5481"/>
    <w:rsid w:val="20221513"/>
    <w:rsid w:val="20665FED"/>
    <w:rsid w:val="21C276E9"/>
    <w:rsid w:val="24A63274"/>
    <w:rsid w:val="2B905B2E"/>
    <w:rsid w:val="2B95569E"/>
    <w:rsid w:val="2EFFB905"/>
    <w:rsid w:val="2FF3270A"/>
    <w:rsid w:val="375A17B7"/>
    <w:rsid w:val="37A570FA"/>
    <w:rsid w:val="3B35257E"/>
    <w:rsid w:val="3C455ED7"/>
    <w:rsid w:val="3E550618"/>
    <w:rsid w:val="3E6A6D4F"/>
    <w:rsid w:val="3FE693AD"/>
    <w:rsid w:val="455137CA"/>
    <w:rsid w:val="4A9A5B32"/>
    <w:rsid w:val="4ACE4B51"/>
    <w:rsid w:val="4AF01932"/>
    <w:rsid w:val="4DD57ADF"/>
    <w:rsid w:val="4F3BD62E"/>
    <w:rsid w:val="524C14DA"/>
    <w:rsid w:val="536974C6"/>
    <w:rsid w:val="53CB15B5"/>
    <w:rsid w:val="554F368F"/>
    <w:rsid w:val="577C6C0C"/>
    <w:rsid w:val="590F614C"/>
    <w:rsid w:val="5A5F25C6"/>
    <w:rsid w:val="602D6CD0"/>
    <w:rsid w:val="6186789B"/>
    <w:rsid w:val="618D7A19"/>
    <w:rsid w:val="63B32BC4"/>
    <w:rsid w:val="64CB5136"/>
    <w:rsid w:val="6B0851D1"/>
    <w:rsid w:val="6D994BD3"/>
    <w:rsid w:val="721A599B"/>
    <w:rsid w:val="75620337"/>
    <w:rsid w:val="769C07B3"/>
    <w:rsid w:val="77B909F0"/>
    <w:rsid w:val="78540864"/>
    <w:rsid w:val="7EB50318"/>
    <w:rsid w:val="7EF560EA"/>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8"/>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character" w:customStyle="1" w:styleId="6">
    <w:name w:val="标题 1 Char"/>
    <w:basedOn w:val="5"/>
    <w:link w:val="2"/>
    <w:autoRedefine/>
    <w:qFormat/>
    <w:uiPriority w:val="0"/>
    <w:rPr>
      <w:rFonts w:hint="default" w:ascii="Calibri" w:hAnsi="Calibri" w:cs="Calibri"/>
      <w:b/>
      <w:bCs/>
      <w:kern w:val="44"/>
      <w:sz w:val="44"/>
      <w:szCs w:val="44"/>
    </w:rPr>
  </w:style>
  <w:style w:type="paragraph" w:customStyle="1" w:styleId="7">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8">
    <w:name w:val="正文文本 Char"/>
    <w:basedOn w:val="5"/>
    <w:link w:val="3"/>
    <w:autoRedefine/>
    <w:qFormat/>
    <w:uiPriority w:val="0"/>
    <w:rPr>
      <w:rFonts w:hint="eastAsia" w:ascii="宋体" w:hAnsi="宋体" w:eastAsia="宋体" w:cs="宋体"/>
      <w:kern w:val="2"/>
      <w:sz w:val="33"/>
      <w:szCs w:val="33"/>
    </w:rPr>
  </w:style>
  <w:style w:type="character" w:customStyle="1" w:styleId="9">
    <w:name w:val="font01"/>
    <w:basedOn w:val="5"/>
    <w:qFormat/>
    <w:uiPriority w:val="0"/>
    <w:rPr>
      <w:rFonts w:hint="default" w:ascii="Times New Roman" w:hAnsi="Times New Roman" w:cs="Times New Roman"/>
      <w:color w:val="000000"/>
      <w:sz w:val="18"/>
      <w:szCs w:val="18"/>
      <w:u w:val="none"/>
    </w:rPr>
  </w:style>
  <w:style w:type="character" w:customStyle="1" w:styleId="10">
    <w:name w:val="font31"/>
    <w:basedOn w:val="5"/>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976</Words>
  <Characters>1147</Characters>
  <Lines>0</Lines>
  <Paragraphs>0</Paragraphs>
  <TotalTime>1</TotalTime>
  <ScaleCrop>false</ScaleCrop>
  <LinksUpToDate>false</LinksUpToDate>
  <CharactersWithSpaces>1248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2023-03-31T03:20:00Z</cp:lastPrinted>
  <dcterms:modified xsi:type="dcterms:W3CDTF">2024-04-23T02:40:58Z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DF2ED50DD46741D4B2198D1DDB316D6E_13</vt:lpwstr>
  </property>
</Properties>
</file>