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9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35"/>
        <w:gridCol w:w="211"/>
        <w:gridCol w:w="991"/>
        <w:gridCol w:w="991"/>
        <w:gridCol w:w="812"/>
        <w:gridCol w:w="757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株洲市渌口区民政局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全年预算数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4129.57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9047.44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9047.44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219.09%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8416.97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470.24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515.64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8577.2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114.83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履行好本部门的职能和职责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如期如质的完成了本部门的职能和职责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农村低保人数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5645人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5543人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人员异动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城市低保人数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3415人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3007人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人员异动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五保安葬人数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140人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114人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预估有差距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现有敬老院工作人数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78人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75人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人员异动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孤儿人数、事实无人服务孤儿人数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81人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89人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人员异动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民生资金申请审核率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应保尽保率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民生资金发放频率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按月发放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按月发放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资金给付及时率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高龄补贴享受标准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50元/人/月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100元/人/月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500元/人/月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50元/人/月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100元/人/月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500元/人/月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农村低保享受标准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220元/月/人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240元/月/人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385元/月/人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人均补差290元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补助算法完善，补差发放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  <w:t>改善补助对象生活状况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良好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良好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生活保障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、社会稳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定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保障困难群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众的基本生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活，让困难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群众、弱势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群体感受到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党和政府的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温暖，维护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社会和谐稳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保障困难群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众的基本生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活，让困难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群众、弱势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群体感受到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党和政府的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温暖，维护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社会和谐稳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提升服务对象幸福感、维护社会稳定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95%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96%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政策是否具有延续性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具有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具有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社会公众及服务对象满意度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≥9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≥9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廖笃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18684512646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填报日期：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2024年4月16日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预算单位基本情况</w:t>
      </w:r>
    </w:p>
    <w:p>
      <w:pPr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渌口区民政局是区人民政府主管民政工作的正科级行政单位。其中在职人员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人，退休人员1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人。内设股室5个，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办公室、基层政权建设和社会治理股 （加挂社会组织管理股牌子）、社会救助股（加挂养老服务和慈善事业促进股）、社会事务和儿童福利股、行政审批股。所属事业单位有3 个：1、社会福利中心2、慈善事务服务中心3、福利彩票销售服务站。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根据渌办[2019]29号、渌编办[2019]39号文件规定，本部门主要职责是：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（一）贯彻执行国家、省、市有关民政工作的方针、政策和法律、法规，并对实施情况进行监督检查。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（二）贯彻落实上级有关养老福利服务工作的政策法规，为中心“五保户”、重点优抚对象、孤残儿童等人员提供生活照料、精神慰藉和文化娱乐。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（三）承担全区慈善福利及常年社会捐助工作。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（四）负责福利彩票销售系统的建设、运营、维护，负责福利彩票销售业务培训等工作。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（五）承担全区婚姻登记服务工作。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（六）负责全区低收入家庭经济状况信息数据库的建设和维护、经济状况信息查询与核对、低收入家庭政策研究、宣传交流培训，指导全区低收入家庭经济状况核对工作。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（七）负责全区行政区划及地名管理工作。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（八）负责全区孤儿基本生活保障、残疾人两项补贴和未成年人保护工作。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（九）负责全区社会团体和民办非企业单位登记管理和年检工作。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（十）负责社会救助工作。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（十一）承办区人民政府交办的其他事项。</w:t>
      </w:r>
    </w:p>
    <w:p>
      <w:pPr>
        <w:pStyle w:val="12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12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年度财政拨款基本支出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470.24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万元，其中：工资福利支出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352.63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万元，主要包括基本工资106.57万元、津贴补贴25.29万元、奖金96.73万元、绩效工资43.86万元、机关事业单位基本养老保险缴费34.33万元、职工基本医疗保险缴费13.74万元、其他社会保障缴费0.93万元、住房公积金30.37万元、医疗费0.82万元；商品和服务支出9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9.31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万元，主要包括办公费21.35万元、印刷费1.66万元、水费0.46万元、电费4.99万元、邮电费1.44万元、物业管理费2万元、差旅费0.3万元、维修（护）费1.27万元、会议费0.71万元、培训费0.79万元、公务接待费0.92万元、工会经费4.35万元、福利费30.48万元、其他交通费用16.4万元、税金及附加费用0.42万元、其他商品和服务支出11.76万元；对个人和家庭的补助支出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18.3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万元，主要包括生活补助14.33万元、奖励金1.09万元、其他对个人和家庭的补助2.88万元；</w:t>
      </w:r>
    </w:p>
    <w:p>
      <w:pPr>
        <w:pStyle w:val="12"/>
        <w:widowControl/>
        <w:numPr>
          <w:ilvl w:val="0"/>
          <w:numId w:val="2"/>
        </w:numPr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项目支出情况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2023年度财政拨款专项支出8577.2万元。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运行（地名图录志编纂出版专项工作经费等）7.71万元，社会福利事业单位132.84万元，殡葬24.77万元，其他民政管理事务支出256.36万元，老年福利680.68万元，农村特困人员救助供养支出2258.35万元，儿童福利69.11万元，流浪乞讨人员救助支出4.98万元，城市特困人员救助供养支出52.39万元，其他社会福利支出（特困人员安葬费）75.24万元，临时救助支出345.1万元，农村最低生活保障金支出1928.04万元，城市最低生活保障金支出1391.75万元，残疾人生活和护理补贴611.94万元，养老服务（敬老院消防改造）100万元，其他农村生活救助（六十年代精简退职）7.46万元，福彩公益金支出数为 515.64万元。其他支出类(国网电力退低保五保电费、乡村振兴衔接项目等）114.83万元。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年，在上级民政部门和局领导的具体指导和安排下，紧紧围绕部门职责、年初既定的工作目标，以预算资金管理为主线，做好部门资产管理和业务开展。运行成本上，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人员经费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70.93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万元，公用经费99.31万元，项目支出8577.2万元，有效保障了机关的运行，以及各项民生业务的有序开展。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效益上，保障了低收入人群的基本生活，大力推进城乡社会救助体系建设，基本形成了以城乡最低生活保障为基础,以医疗救助和临时救助相结合,能有效地保障了困难群众的基本生活的民政基本保障机制，建立了返贫户纳入社会救助的长效发展机制。全力推进城乡低保、特困人员救助阳光化进程，妥善制定特殊对象不符合低保政策的处置措施。残疾人、孤儿和高龄补贴等各项民政工作有序推进，有效减轻了保障对象的经济压力，同时体现了党和政府对民政保障对象的高度重视，化解了社会矛盾、促进了社会和谐发展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可持续发展能力上，发挥家庭经济状况信息比对作用，确保新增城乡低保100%核对，在册享受城乡低保人员每年滚动核对。做到应保尽保，应救尽救。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textAlignment w:val="center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服务对象满意度上，始终坚持以民为本，为民解困，为民服务的工作宗旨，我们努力做到让人民群众满意，让民生保障对象满意。</w:t>
      </w:r>
    </w:p>
    <w:p>
      <w:pPr>
        <w:pStyle w:val="12"/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Cs w:val="31"/>
          <w:shd w:val="clear" w:fill="FFFFFF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年本单位预算支出执行没有偏离绩效目标的情况，但需要加强单位对预算绩效日常监控，围绕绩效目标，适时监控绩效目标实现程度和预算执行情况。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1.组织开展绩效管理相关的培训，提高大家对绩效管理的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责任意识，实现预算执行和绩效目标的有机结合。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2.在编制预算绩效目标时，尽可能做到细化和量化，明确各项指标的指标值，增强预算编制的科学性、合理性、规范性。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3.进一步完善绩效管理，提高资金使用效益。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绩效自评结果拟应用和公开情况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关于做好202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区本级财政资金及政府专项债券资金绩效自评工作的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通知》(渌财通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4〕4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号)要求，依规定的文本格式和要求完成《202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年部门整体支出绩效目标表》、《202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年项目支出绩效目标表》，并在门户网站上全文公开，接受社会公众监督。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A3BD0"/>
    <w:multiLevelType w:val="singleLevel"/>
    <w:tmpl w:val="AB5A3BD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1B25C9"/>
    <w:multiLevelType w:val="singleLevel"/>
    <w:tmpl w:val="E11B25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28CE44"/>
    <w:multiLevelType w:val="singleLevel"/>
    <w:tmpl w:val="7728CE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I1Y2VmZTEyNDExOGVhZThkYmQwMTE4NTQ5OTMifQ=="/>
  </w:docVars>
  <w:rsids>
    <w:rsidRoot w:val="00000000"/>
    <w:rsid w:val="05436869"/>
    <w:rsid w:val="0D564DFD"/>
    <w:rsid w:val="0DB57CB4"/>
    <w:rsid w:val="0E340841"/>
    <w:rsid w:val="0E86086D"/>
    <w:rsid w:val="0E8845BE"/>
    <w:rsid w:val="13EE3C62"/>
    <w:rsid w:val="14274190"/>
    <w:rsid w:val="157841F0"/>
    <w:rsid w:val="1C9A5481"/>
    <w:rsid w:val="20221513"/>
    <w:rsid w:val="21C276E9"/>
    <w:rsid w:val="2B95569E"/>
    <w:rsid w:val="2EFFB905"/>
    <w:rsid w:val="37A570FA"/>
    <w:rsid w:val="3AA00782"/>
    <w:rsid w:val="3E6A6D4F"/>
    <w:rsid w:val="3FE693AD"/>
    <w:rsid w:val="42665C34"/>
    <w:rsid w:val="455137CA"/>
    <w:rsid w:val="4878465F"/>
    <w:rsid w:val="4A9A5B32"/>
    <w:rsid w:val="4AF01932"/>
    <w:rsid w:val="4DD57ADF"/>
    <w:rsid w:val="4F3BD62E"/>
    <w:rsid w:val="524C14DA"/>
    <w:rsid w:val="536974C6"/>
    <w:rsid w:val="53CB15B5"/>
    <w:rsid w:val="547C2B32"/>
    <w:rsid w:val="577C6C0C"/>
    <w:rsid w:val="590F614C"/>
    <w:rsid w:val="5CC77B8E"/>
    <w:rsid w:val="6186789B"/>
    <w:rsid w:val="63B32BC4"/>
    <w:rsid w:val="64CB5136"/>
    <w:rsid w:val="67F4BA72"/>
    <w:rsid w:val="6B0851D1"/>
    <w:rsid w:val="6E5F5FDB"/>
    <w:rsid w:val="73F05D3C"/>
    <w:rsid w:val="74CA4688"/>
    <w:rsid w:val="77B909F0"/>
    <w:rsid w:val="78540864"/>
    <w:rsid w:val="7F4D52D0"/>
    <w:rsid w:val="7F55F449"/>
    <w:rsid w:val="7FEBCBE4"/>
    <w:rsid w:val="A977B314"/>
    <w:rsid w:val="BB96D3B8"/>
    <w:rsid w:val="BEB6EF53"/>
    <w:rsid w:val="DDCF887E"/>
    <w:rsid w:val="DFFB7864"/>
    <w:rsid w:val="E4FEB576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1 Char"/>
    <w:basedOn w:val="10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2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3">
    <w:name w:val="正文文本 Char"/>
    <w:basedOn w:val="10"/>
    <w:link w:val="7"/>
    <w:qFormat/>
    <w:uiPriority w:val="0"/>
    <w:rPr>
      <w:rFonts w:hint="eastAsia" w:ascii="宋体" w:hAnsi="宋体" w:eastAsia="宋体" w:cs="宋体"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2825</Words>
  <Characters>3199</Characters>
  <Lines>0</Lines>
  <Paragraphs>0</Paragraphs>
  <TotalTime>11</TotalTime>
  <ScaleCrop>false</ScaleCrop>
  <LinksUpToDate>false</LinksUpToDate>
  <CharactersWithSpaces>3300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2021-03-24T15:15:00Z</dcterms:created>
  <dc:creator>Administrator</dc:creator>
  <cp:lastModifiedBy>kylin</cp:lastModifiedBy>
  <cp:lastPrinted>2023-04-01T11:20:00Z</cp:lastPrinted>
  <dcterms:modified xsi:type="dcterms:W3CDTF">2024-04-17T10:55:29Z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EED5D6D83E0944EF85A4087E4EA8D0A2</vt:lpwstr>
  </property>
</Properties>
</file>