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r>
        <w:rPr>
          <w:rFonts w:hint="eastAsia" w:ascii="方正小标宋简体" w:hAnsi="Times New Roman" w:eastAsia="方正小标宋简体" w:cs="Times New Roman"/>
          <w:bCs/>
          <w:w w:val="95"/>
          <w:sz w:val="44"/>
          <w:szCs w:val="44"/>
          <w:lang w:eastAsia="zh-CN"/>
        </w:rPr>
        <w:t>委托商业保险公司经办服务费专项支出</w:t>
      </w:r>
    </w:p>
    <w:p>
      <w:pPr>
        <w:pStyle w:val="3"/>
        <w:widowControl/>
        <w:autoSpaceDE w:val="0"/>
        <w:autoSpaceDN w:val="0"/>
        <w:spacing w:line="660" w:lineRule="exact"/>
        <w:jc w:val="center"/>
        <w:rPr>
          <w:rFonts w:hint="eastAsia" w:ascii="方正小标宋简体" w:hAnsi="Times New Roman" w:eastAsia="方正小标宋简体" w:cs="Times New Roman"/>
          <w:bCs/>
          <w:sz w:val="44"/>
          <w:szCs w:val="44"/>
          <w:lang w:val="en-US"/>
        </w:rPr>
      </w:pPr>
      <w:r>
        <w:rPr>
          <w:rFonts w:hint="eastAsia" w:ascii="方正小标宋简体" w:hAnsi="Times New Roman" w:eastAsia="方正小标宋简体" w:cs="Times New Roman"/>
          <w:bCs/>
          <w:w w:val="95"/>
          <w:sz w:val="44"/>
          <w:szCs w:val="44"/>
          <w:lang w:eastAsia="zh-CN"/>
        </w:rPr>
        <w:t>绩效自评报告</w:t>
      </w:r>
    </w:p>
    <w:p>
      <w:pPr>
        <w:pStyle w:val="6"/>
        <w:widowControl/>
        <w:spacing w:line="600" w:lineRule="exact"/>
        <w:ind w:left="0" w:firstLine="0"/>
        <w:rPr>
          <w:rFonts w:hint="eastAsia" w:ascii="仿宋" w:hAnsi="仿宋" w:eastAsia="仿宋" w:cs="Times New Roman"/>
          <w:bCs/>
          <w:sz w:val="32"/>
          <w:szCs w:val="32"/>
          <w:lang w:val="en-US"/>
        </w:rPr>
      </w:pPr>
    </w:p>
    <w:p>
      <w:pPr>
        <w:pStyle w:val="6"/>
        <w:widowControl/>
        <w:spacing w:line="600" w:lineRule="exact"/>
        <w:ind w:left="0" w:firstLine="640" w:firstLineChars="200"/>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lang w:eastAsia="zh-CN"/>
        </w:rPr>
        <w:t>一、绩效自评工作开展情况</w:t>
      </w: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kern w:val="0"/>
          <w:sz w:val="32"/>
          <w:szCs w:val="32"/>
        </w:rPr>
        <w:t>根据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kern w:val="2"/>
          <w:sz w:val="32"/>
          <w:szCs w:val="32"/>
          <w:lang w:val="en-US" w:eastAsia="zh-CN" w:bidi="ar"/>
        </w:rPr>
        <w:t>株洲市渌口区财政局关于开展2023年度区本级财政资金及政府专项债券资金绩效自评工作的通知</w:t>
      </w:r>
      <w:r>
        <w:rPr>
          <w:rFonts w:hint="eastAsia" w:ascii="仿宋" w:hAnsi="仿宋" w:eastAsia="仿宋" w:cs="仿宋"/>
          <w:sz w:val="32"/>
          <w:szCs w:val="32"/>
          <w:lang w:eastAsia="zh-CN"/>
        </w:rPr>
        <w:t>》</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渌财通【</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文件精神，</w:t>
      </w:r>
      <w:r>
        <w:rPr>
          <w:rFonts w:hint="eastAsia" w:ascii="仿宋" w:hAnsi="仿宋" w:eastAsia="仿宋" w:cs="仿宋"/>
          <w:sz w:val="32"/>
          <w:szCs w:val="32"/>
          <w:lang w:eastAsia="zh-CN"/>
        </w:rPr>
        <w:t>现对委托商业保险公司经办服务费</w:t>
      </w:r>
      <w:r>
        <w:rPr>
          <w:rFonts w:hint="eastAsia" w:ascii="仿宋" w:hAnsi="仿宋" w:eastAsia="仿宋" w:cs="仿宋"/>
          <w:w w:val="90"/>
          <w:sz w:val="32"/>
          <w:szCs w:val="32"/>
          <w:lang w:val="en-US" w:eastAsia="zh-CN"/>
        </w:rPr>
        <w:t>专项资金开展绩效评价，金额为12万元，项目期限为2023年1月至2023年12月，主要通过对近三年城乡居民意外伤害及异地就医住院结算的经办业务进行估算，资金拨付等环节开展自我评价。</w:t>
      </w:r>
    </w:p>
    <w:p>
      <w:pPr>
        <w:pStyle w:val="6"/>
        <w:widowControl/>
        <w:spacing w:line="600" w:lineRule="exact"/>
        <w:ind w:left="0" w:firstLine="640" w:firstLineChars="200"/>
        <w:rPr>
          <w:rFonts w:hint="default" w:ascii="Times New Roman" w:hAnsi="Times New Roman" w:eastAsia="黑体" w:cs="Times New Roman"/>
          <w:sz w:val="32"/>
          <w:szCs w:val="32"/>
          <w:lang w:val="en-US"/>
        </w:rPr>
      </w:pPr>
      <w:r>
        <w:rPr>
          <w:rFonts w:hint="eastAsia" w:ascii="方正黑体_GBK" w:hAnsi="方正黑体_GBK" w:eastAsia="方正黑体_GBK" w:cs="方正黑体_GBK"/>
          <w:sz w:val="32"/>
          <w:szCs w:val="32"/>
          <w:lang w:eastAsia="zh-CN"/>
        </w:rPr>
        <w:t>二、绩效目标自评完成情况分析</w:t>
      </w:r>
    </w:p>
    <w:p>
      <w:pPr>
        <w:pStyle w:val="6"/>
        <w:widowControl/>
        <w:spacing w:line="600" w:lineRule="exact"/>
        <w:ind w:left="0" w:firstLine="608" w:firstLineChars="200"/>
        <w:rPr>
          <w:rFonts w:hint="default" w:ascii="Times New Roman" w:hAnsi="Times New Roman" w:eastAsia="黑体" w:cs="Times New Roman"/>
          <w:sz w:val="32"/>
          <w:szCs w:val="32"/>
          <w:lang w:val="en-US"/>
        </w:rPr>
      </w:pPr>
      <w:r>
        <w:rPr>
          <w:rFonts w:hint="eastAsia" w:ascii="方正楷体_GBK" w:hAnsi="方正楷体_GBK" w:eastAsia="方正楷体_GBK" w:cs="方正楷体_GBK"/>
          <w:w w:val="95"/>
          <w:sz w:val="32"/>
          <w:szCs w:val="32"/>
          <w:lang w:eastAsia="zh-CN"/>
        </w:rPr>
        <w:t>（一）资金投入情况分析。</w:t>
      </w:r>
    </w:p>
    <w:p>
      <w:pPr>
        <w:pStyle w:val="6"/>
        <w:widowControl/>
        <w:numPr>
          <w:ilvl w:val="0"/>
          <w:numId w:val="0"/>
        </w:numPr>
        <w:tabs>
          <w:tab w:val="left" w:pos="1080"/>
        </w:tabs>
        <w:spacing w:line="600" w:lineRule="exact"/>
        <w:ind w:left="750" w:leftChars="0" w:right="0" w:rightChars="0" w:firstLine="288" w:firstLineChars="1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1.</w:t>
      </w:r>
      <w:r>
        <w:rPr>
          <w:rFonts w:hint="eastAsia" w:ascii="Times New Roman" w:hAnsi="Times New Roman" w:eastAsia="仿宋_GB2312" w:cs="Times New Roman"/>
          <w:w w:val="90"/>
          <w:sz w:val="32"/>
          <w:szCs w:val="32"/>
          <w:lang w:eastAsia="zh-CN"/>
        </w:rPr>
        <w:t>项目资金到位情况分析。</w:t>
      </w:r>
    </w:p>
    <w:p>
      <w:pPr>
        <w:pStyle w:val="7"/>
        <w:numPr>
          <w:ilvl w:val="0"/>
          <w:numId w:val="0"/>
        </w:numPr>
        <w:tabs>
          <w:tab w:val="left" w:pos="1080"/>
        </w:tabs>
        <w:spacing w:line="600" w:lineRule="exact"/>
        <w:ind w:left="750" w:leftChars="0" w:firstLine="288" w:firstLineChars="100"/>
        <w:jc w:val="both"/>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2023年2月20日，区财政局通过渌财预【2023】0015号指标下达委托商业保险公司承办服务专项12万元。</w:t>
      </w:r>
    </w:p>
    <w:p>
      <w:pPr>
        <w:pStyle w:val="6"/>
        <w:widowControl/>
        <w:numPr>
          <w:ilvl w:val="0"/>
          <w:numId w:val="0"/>
        </w:numPr>
        <w:tabs>
          <w:tab w:val="left" w:pos="1080"/>
        </w:tabs>
        <w:spacing w:line="600" w:lineRule="exact"/>
        <w:ind w:left="773" w:leftChars="0" w:right="0" w:rightChars="0" w:firstLine="288" w:firstLineChars="1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2.</w:t>
      </w:r>
      <w:r>
        <w:rPr>
          <w:rFonts w:hint="eastAsia" w:ascii="Times New Roman" w:hAnsi="Times New Roman" w:eastAsia="仿宋_GB2312" w:cs="Times New Roman"/>
          <w:w w:val="90"/>
          <w:sz w:val="32"/>
          <w:szCs w:val="32"/>
          <w:lang w:eastAsia="zh-CN"/>
        </w:rPr>
        <w:t>项目资金执行情况分析。</w:t>
      </w:r>
    </w:p>
    <w:p>
      <w:pPr>
        <w:pStyle w:val="7"/>
        <w:numPr>
          <w:ilvl w:val="0"/>
          <w:numId w:val="0"/>
        </w:numPr>
        <w:tabs>
          <w:tab w:val="left" w:pos="1080"/>
        </w:tabs>
        <w:spacing w:line="600" w:lineRule="exact"/>
        <w:ind w:left="773" w:leftChars="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w w:val="90"/>
          <w:sz w:val="32"/>
          <w:szCs w:val="32"/>
          <w:lang w:eastAsia="zh-CN"/>
        </w:rPr>
        <w:t>机关财务将专项资金于</w:t>
      </w:r>
      <w:r>
        <w:rPr>
          <w:rFonts w:hint="eastAsia" w:ascii="Times New Roman" w:hAnsi="Times New Roman" w:eastAsia="仿宋_GB2312" w:cs="Times New Roman"/>
          <w:w w:val="90"/>
          <w:sz w:val="32"/>
          <w:szCs w:val="32"/>
          <w:lang w:val="en-US" w:eastAsia="zh-CN"/>
        </w:rPr>
        <w:t>4月份拨付完成</w:t>
      </w:r>
      <w:r>
        <w:rPr>
          <w:rFonts w:hint="eastAsia" w:ascii="Times New Roman" w:hAnsi="Times New Roman" w:eastAsia="仿宋_GB2312" w:cs="Times New Roman"/>
          <w:w w:val="90"/>
          <w:sz w:val="32"/>
          <w:szCs w:val="32"/>
          <w:lang w:eastAsia="zh-CN"/>
        </w:rPr>
        <w:t>，预算执行率</w:t>
      </w:r>
      <w:r>
        <w:rPr>
          <w:rFonts w:hint="eastAsia" w:ascii="Times New Roman" w:hAnsi="Times New Roman" w:eastAsia="仿宋_GB2312" w:cs="Times New Roman"/>
          <w:w w:val="90"/>
          <w:sz w:val="32"/>
          <w:szCs w:val="32"/>
          <w:lang w:val="en-US" w:eastAsia="zh-CN"/>
        </w:rPr>
        <w:t>100%</w:t>
      </w:r>
      <w:r>
        <w:rPr>
          <w:rFonts w:hint="eastAsia" w:ascii="Times New Roman" w:hAnsi="Times New Roman" w:eastAsia="仿宋_GB2312" w:cs="Times New Roman"/>
          <w:w w:val="90"/>
          <w:sz w:val="32"/>
          <w:szCs w:val="32"/>
          <w:lang w:eastAsia="zh-CN"/>
        </w:rPr>
        <w:t>。</w:t>
      </w:r>
    </w:p>
    <w:p>
      <w:pPr>
        <w:pStyle w:val="6"/>
        <w:widowControl/>
        <w:numPr>
          <w:ilvl w:val="0"/>
          <w:numId w:val="0"/>
        </w:numPr>
        <w:tabs>
          <w:tab w:val="left" w:pos="1080"/>
        </w:tabs>
        <w:spacing w:line="600" w:lineRule="exact"/>
        <w:ind w:left="781" w:leftChars="0" w:right="0" w:rightChars="0" w:firstLine="288" w:firstLineChars="1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3.</w:t>
      </w:r>
      <w:r>
        <w:rPr>
          <w:rFonts w:hint="eastAsia" w:ascii="Times New Roman" w:hAnsi="Times New Roman" w:eastAsia="仿宋_GB2312" w:cs="Times New Roman"/>
          <w:w w:val="90"/>
          <w:sz w:val="32"/>
          <w:szCs w:val="32"/>
          <w:lang w:eastAsia="zh-CN"/>
        </w:rPr>
        <w:t>项目资金管理情况分析。</w:t>
      </w:r>
    </w:p>
    <w:p>
      <w:pPr>
        <w:pStyle w:val="7"/>
        <w:numPr>
          <w:ilvl w:val="0"/>
          <w:numId w:val="0"/>
        </w:numPr>
        <w:tabs>
          <w:tab w:val="left" w:pos="1080"/>
        </w:tabs>
        <w:spacing w:line="600" w:lineRule="exact"/>
        <w:ind w:left="781" w:leftChars="0" w:firstLine="320" w:firstLineChars="1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项目资金按照专项资金支付流程，提交局班子成员会议研究，经财政业务股室和国库中心审核后，完成资金支付流程，严格执行专款专用。</w:t>
      </w:r>
    </w:p>
    <w:p>
      <w:pPr>
        <w:pStyle w:val="3"/>
        <w:widowControl/>
        <w:spacing w:line="600" w:lineRule="exact"/>
        <w:ind w:left="0" w:firstLine="608" w:firstLineChars="200"/>
        <w:rPr>
          <w:rFonts w:hint="eastAsia" w:ascii="楷体" w:hAnsi="楷体" w:eastAsia="楷体" w:cs="Times New Roman"/>
          <w:w w:val="95"/>
          <w:sz w:val="32"/>
          <w:szCs w:val="32"/>
          <w:lang w:val="en-US"/>
        </w:rPr>
      </w:pPr>
      <w:r>
        <w:rPr>
          <w:rFonts w:hint="eastAsia" w:ascii="方正楷体_GBK" w:hAnsi="方正楷体_GBK" w:eastAsia="方正楷体_GBK" w:cs="方正楷体_GBK"/>
          <w:w w:val="95"/>
          <w:kern w:val="2"/>
          <w:sz w:val="32"/>
          <w:szCs w:val="32"/>
          <w:lang w:val="en-US" w:eastAsia="zh-CN" w:bidi="ar"/>
        </w:rPr>
        <w:t>（二）绩效目标完成情况分析。</w:t>
      </w:r>
    </w:p>
    <w:p>
      <w:pPr>
        <w:pStyle w:val="7"/>
        <w:numPr>
          <w:ilvl w:val="0"/>
          <w:numId w:val="1"/>
        </w:numPr>
        <w:tabs>
          <w:tab w:val="left" w:pos="1085"/>
        </w:tabs>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产出指标完成情况分析。</w:t>
      </w:r>
    </w:p>
    <w:p>
      <w:pPr>
        <w:pStyle w:val="7"/>
        <w:numPr>
          <w:ilvl w:val="0"/>
          <w:numId w:val="0"/>
        </w:numPr>
        <w:tabs>
          <w:tab w:val="left" w:pos="1077"/>
        </w:tabs>
        <w:spacing w:line="600" w:lineRule="exact"/>
        <w:ind w:left="780" w:leftChars="0" w:firstLine="320" w:firstLineChars="1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意外伤害就医住院医疗费用近三年实际基金支出情况，结合医疗费用增长情况，科学合理测算核定医保基金规模。按照2023年60元/人/年*当年度城乡居民参保人数确定。委托商业保险公司经办服务一年，服务费用8万元。根据渌口区异地就医住院医疗费用近三年实际基金支出情况，2023年度异地就医住院医疗费用补偿结算委托商业保险机构经办业务基金总额核定为350万元，委托经办服务期限一年，服务费用4万元。</w:t>
      </w:r>
    </w:p>
    <w:p>
      <w:pPr>
        <w:pStyle w:val="7"/>
        <w:numPr>
          <w:ilvl w:val="0"/>
          <w:numId w:val="1"/>
        </w:numPr>
        <w:tabs>
          <w:tab w:val="left" w:pos="1077"/>
        </w:tabs>
        <w:spacing w:line="600" w:lineRule="exact"/>
        <w:ind w:left="1084" w:leftChars="0" w:hanging="327" w:firstLine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效益指标完成情况分析。</w:t>
      </w:r>
    </w:p>
    <w:p>
      <w:pPr>
        <w:pStyle w:val="7"/>
        <w:numPr>
          <w:ilvl w:val="0"/>
          <w:numId w:val="0"/>
        </w:numPr>
        <w:tabs>
          <w:tab w:val="left" w:pos="1077"/>
        </w:tabs>
        <w:spacing w:line="600" w:lineRule="exact"/>
        <w:ind w:left="757" w:leftChars="0" w:firstLine="320" w:firstLineChars="1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通过项目建设，参保人员异地就医补偿结算的监督管理水平得到提升，基金运行风险降低。完善健全了全市统一的城乡居民基本医疗保险制度。</w:t>
      </w:r>
    </w:p>
    <w:p>
      <w:pPr>
        <w:pStyle w:val="7"/>
        <w:numPr>
          <w:ilvl w:val="0"/>
          <w:numId w:val="1"/>
        </w:numPr>
        <w:tabs>
          <w:tab w:val="left" w:pos="1164"/>
        </w:tabs>
        <w:spacing w:line="600" w:lineRule="exact"/>
        <w:ind w:left="1163" w:hanging="303"/>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满意度指标完成情况分析。</w:t>
      </w:r>
    </w:p>
    <w:p>
      <w:pPr>
        <w:pStyle w:val="7"/>
        <w:numPr>
          <w:ilvl w:val="0"/>
          <w:numId w:val="0"/>
        </w:numPr>
        <w:tabs>
          <w:tab w:val="left" w:pos="1164"/>
        </w:tabs>
        <w:spacing w:line="600" w:lineRule="exact"/>
        <w:ind w:left="860" w:leftChars="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2023年，意外伤害、异地就医住院对象及保险公司的满意度为95%。</w:t>
      </w:r>
    </w:p>
    <w:p>
      <w:pPr>
        <w:pStyle w:val="6"/>
        <w:widowControl/>
        <w:numPr>
          <w:ilvl w:val="0"/>
          <w:numId w:val="2"/>
        </w:numPr>
        <w:spacing w:line="600" w:lineRule="exact"/>
        <w:ind w:left="0"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偏离绩效目标的原因和下一步改进措施。</w:t>
      </w:r>
    </w:p>
    <w:p>
      <w:pPr>
        <w:pStyle w:val="6"/>
        <w:widowControl/>
        <w:spacing w:line="600" w:lineRule="exact"/>
        <w:ind w:lef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2023年度专项资金使用没有偏离绩效目标。</w:t>
      </w:r>
    </w:p>
    <w:p>
      <w:pPr>
        <w:pStyle w:val="6"/>
        <w:widowControl/>
        <w:spacing w:line="600" w:lineRule="exact"/>
        <w:ind w:left="0"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四、绩效自评结果拟应用和公开情况。</w:t>
      </w:r>
    </w:p>
    <w:p>
      <w:pPr>
        <w:pStyle w:val="7"/>
        <w:numPr>
          <w:ilvl w:val="0"/>
          <w:numId w:val="0"/>
        </w:numPr>
        <w:spacing w:line="600" w:lineRule="exact"/>
        <w:ind w:firstLine="640" w:firstLineChars="200"/>
      </w:pPr>
      <w:r>
        <w:rPr>
          <w:rFonts w:eastAsia="仿宋"/>
          <w:sz w:val="32"/>
          <w:szCs w:val="32"/>
        </w:rPr>
        <w:t>按照</w:t>
      </w:r>
      <w:r>
        <w:rPr>
          <w:rFonts w:hint="eastAsia" w:ascii="仿宋" w:hAnsi="仿宋" w:eastAsia="仿宋" w:cs="仿宋"/>
          <w:sz w:val="32"/>
          <w:szCs w:val="32"/>
          <w:lang w:eastAsia="zh-CN"/>
        </w:rPr>
        <w:t>《</w:t>
      </w:r>
      <w:r>
        <w:rPr>
          <w:rFonts w:hint="eastAsia" w:ascii="仿宋" w:hAnsi="仿宋" w:eastAsia="仿宋" w:cs="仿宋"/>
          <w:kern w:val="2"/>
          <w:sz w:val="32"/>
          <w:szCs w:val="32"/>
          <w:lang w:val="en-US" w:eastAsia="zh-CN" w:bidi="ar"/>
        </w:rPr>
        <w:t>株洲市渌口区财政局关于开展2023年度区本级财政资金及政府专项债券资金绩效自评工作的通知</w:t>
      </w:r>
      <w:r>
        <w:rPr>
          <w:rFonts w:hint="eastAsia" w:ascii="仿宋" w:hAnsi="仿宋" w:eastAsia="仿宋" w:cs="仿宋"/>
          <w:sz w:val="32"/>
          <w:szCs w:val="32"/>
          <w:lang w:eastAsia="zh-CN"/>
        </w:rPr>
        <w:t>》</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渌财通【</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号</w:t>
      </w:r>
      <w:r>
        <w:rPr>
          <w:rFonts w:hint="eastAsia" w:ascii="仿宋" w:hAnsi="仿宋" w:eastAsia="仿宋" w:cs="仿宋"/>
          <w:kern w:val="0"/>
          <w:sz w:val="32"/>
          <w:szCs w:val="32"/>
          <w:lang w:eastAsia="zh-CN"/>
        </w:rPr>
        <w:t>）</w:t>
      </w:r>
      <w:bookmarkStart w:id="0" w:name="_GoBack"/>
      <w:bookmarkEnd w:id="0"/>
      <w:r>
        <w:rPr>
          <w:rFonts w:hint="eastAsia" w:ascii="仿宋" w:hAnsi="仿宋" w:eastAsia="仿宋" w:cs="仿宋"/>
          <w:kern w:val="0"/>
          <w:sz w:val="32"/>
          <w:szCs w:val="32"/>
          <w:lang w:eastAsia="zh-CN"/>
        </w:rPr>
        <w:t>文件要求</w:t>
      </w:r>
      <w:r>
        <w:rPr>
          <w:rFonts w:eastAsia="仿宋"/>
          <w:sz w:val="32"/>
          <w:szCs w:val="32"/>
        </w:rPr>
        <w:t>，认真开展绩效自评工作</w:t>
      </w:r>
      <w:r>
        <w:rPr>
          <w:rFonts w:hint="eastAsia" w:eastAsia="仿宋"/>
          <w:sz w:val="32"/>
          <w:szCs w:val="32"/>
          <w:lang w:eastAsia="zh-CN"/>
        </w:rPr>
        <w:t>，将自评表和自评报告在规定时间内</w:t>
      </w:r>
      <w:r>
        <w:rPr>
          <w:rFonts w:eastAsia="仿宋"/>
          <w:sz w:val="32"/>
          <w:szCs w:val="32"/>
        </w:rPr>
        <w:t>报送至区财政局绩效</w:t>
      </w:r>
      <w:r>
        <w:rPr>
          <w:rFonts w:hint="eastAsia" w:eastAsia="仿宋"/>
          <w:sz w:val="32"/>
          <w:szCs w:val="32"/>
          <w:lang w:eastAsia="zh-CN"/>
        </w:rPr>
        <w:t>管理</w:t>
      </w:r>
      <w:r>
        <w:rPr>
          <w:rFonts w:eastAsia="仿宋"/>
          <w:sz w:val="32"/>
          <w:szCs w:val="32"/>
        </w:rPr>
        <w:t>股，并在门户网站上全文公开</w:t>
      </w:r>
      <w:r>
        <w:rPr>
          <w:rFonts w:hint="eastAsia" w:eastAsia="仿宋"/>
          <w:sz w:val="32"/>
          <w:szCs w:val="32"/>
          <w:lang w:eastAsia="zh-CN"/>
        </w:rPr>
        <w:t>，</w:t>
      </w:r>
      <w:r>
        <w:rPr>
          <w:rFonts w:eastAsia="仿宋"/>
          <w:sz w:val="32"/>
          <w:szCs w:val="32"/>
        </w:rPr>
        <w:t>接受社会公众监督。</w:t>
      </w: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p>
      <w:pPr>
        <w:keepNext w:val="0"/>
        <w:keepLines w:val="0"/>
        <w:widowControl w:val="0"/>
        <w:suppressLineNumbers w:val="0"/>
        <w:spacing w:before="0" w:beforeAutospacing="0" w:after="0" w:afterAutospacing="0"/>
        <w:ind w:left="0" w:right="0"/>
        <w:jc w:val="left"/>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183CF9"/>
    <w:multiLevelType w:val="multilevel"/>
    <w:tmpl w:val="72183CF9"/>
    <w:lvl w:ilvl="0" w:tentative="0">
      <w:start w:val="1"/>
      <w:numFmt w:val="decimal"/>
      <w:lvlText w:val="%1."/>
      <w:lvlJc w:val="left"/>
      <w:pPr>
        <w:ind w:left="1084" w:hanging="327"/>
      </w:pPr>
      <w:rPr>
        <w:rFonts w:hint="default"/>
        <w:w w:val="90"/>
      </w:rPr>
    </w:lvl>
    <w:lvl w:ilvl="1" w:tentative="0">
      <w:start w:val="0"/>
      <w:numFmt w:val="bullet"/>
      <w:lvlText w:val="•"/>
      <w:lvlJc w:val="left"/>
      <w:pPr>
        <w:ind w:left="1828" w:hanging="327"/>
      </w:pPr>
      <w:rPr>
        <w:rFonts w:hint="default"/>
      </w:rPr>
    </w:lvl>
    <w:lvl w:ilvl="2" w:tentative="0">
      <w:start w:val="0"/>
      <w:numFmt w:val="bullet"/>
      <w:lvlText w:val="•"/>
      <w:lvlJc w:val="left"/>
      <w:pPr>
        <w:ind w:left="2577" w:hanging="327"/>
      </w:pPr>
      <w:rPr>
        <w:rFonts w:hint="default"/>
      </w:rPr>
    </w:lvl>
    <w:lvl w:ilvl="3" w:tentative="0">
      <w:start w:val="0"/>
      <w:numFmt w:val="bullet"/>
      <w:lvlText w:val="•"/>
      <w:lvlJc w:val="left"/>
      <w:pPr>
        <w:ind w:left="3326" w:hanging="327"/>
      </w:pPr>
      <w:rPr>
        <w:rFonts w:hint="default"/>
      </w:rPr>
    </w:lvl>
    <w:lvl w:ilvl="4" w:tentative="0">
      <w:start w:val="0"/>
      <w:numFmt w:val="bullet"/>
      <w:lvlText w:val="•"/>
      <w:lvlJc w:val="left"/>
      <w:pPr>
        <w:ind w:left="4075" w:hanging="327"/>
      </w:pPr>
      <w:rPr>
        <w:rFonts w:hint="default"/>
      </w:rPr>
    </w:lvl>
    <w:lvl w:ilvl="5" w:tentative="0">
      <w:start w:val="0"/>
      <w:numFmt w:val="bullet"/>
      <w:lvlText w:val="•"/>
      <w:lvlJc w:val="left"/>
      <w:pPr>
        <w:ind w:left="4824" w:hanging="327"/>
      </w:pPr>
      <w:rPr>
        <w:rFonts w:hint="default"/>
      </w:rPr>
    </w:lvl>
    <w:lvl w:ilvl="6" w:tentative="0">
      <w:start w:val="0"/>
      <w:numFmt w:val="bullet"/>
      <w:lvlText w:val="•"/>
      <w:lvlJc w:val="left"/>
      <w:pPr>
        <w:ind w:left="5572" w:hanging="327"/>
      </w:pPr>
      <w:rPr>
        <w:rFonts w:hint="default"/>
      </w:rPr>
    </w:lvl>
    <w:lvl w:ilvl="7" w:tentative="0">
      <w:start w:val="0"/>
      <w:numFmt w:val="bullet"/>
      <w:lvlText w:val="•"/>
      <w:lvlJc w:val="left"/>
      <w:pPr>
        <w:ind w:left="6321" w:hanging="327"/>
      </w:pPr>
      <w:rPr>
        <w:rFonts w:hint="default"/>
      </w:rPr>
    </w:lvl>
    <w:lvl w:ilvl="8" w:tentative="0">
      <w:start w:val="0"/>
      <w:numFmt w:val="bullet"/>
      <w:lvlText w:val="•"/>
      <w:lvlJc w:val="left"/>
      <w:pPr>
        <w:ind w:left="7070" w:hanging="327"/>
      </w:pPr>
      <w:rPr>
        <w:rFonts w:hint="default"/>
      </w:rPr>
    </w:lvl>
  </w:abstractNum>
  <w:abstractNum w:abstractNumId="1">
    <w:nsid w:val="7FE378B7"/>
    <w:multiLevelType w:val="singleLevel"/>
    <w:tmpl w:val="7FE378B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YjEyYjIxMjk1Y2ZmNDk2YWY3YzA4ZGIxMzIzMWQifQ=="/>
  </w:docVars>
  <w:rsids>
    <w:rsidRoot w:val="5A3E7CAF"/>
    <w:rsid w:val="03EF1A4F"/>
    <w:rsid w:val="0BF62F5C"/>
    <w:rsid w:val="107B2A15"/>
    <w:rsid w:val="1E5E71AF"/>
    <w:rsid w:val="24C110F1"/>
    <w:rsid w:val="29535109"/>
    <w:rsid w:val="37B07E0B"/>
    <w:rsid w:val="389C262A"/>
    <w:rsid w:val="3F415260"/>
    <w:rsid w:val="484957EA"/>
    <w:rsid w:val="4C7744AD"/>
    <w:rsid w:val="577863AD"/>
    <w:rsid w:val="5A3E7CAF"/>
    <w:rsid w:val="5C1D30CE"/>
    <w:rsid w:val="5D6D1F01"/>
    <w:rsid w:val="62A44922"/>
    <w:rsid w:val="681C2E9E"/>
    <w:rsid w:val="6A933BC6"/>
    <w:rsid w:val="6C1F6503"/>
    <w:rsid w:val="6FD277A9"/>
    <w:rsid w:val="708475F2"/>
    <w:rsid w:val="742F1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customStyle="1" w:styleId="6">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paragraph" w:styleId="7">
    <w:name w:val="List Paragraph"/>
    <w:basedOn w:val="1"/>
    <w:qFormat/>
    <w:uiPriority w:val="1"/>
    <w:pPr>
      <w:ind w:left="1079" w:hanging="309"/>
    </w:pPr>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106</Pages>
  <Words>800</Words>
  <Characters>849</Characters>
  <Lines>0</Lines>
  <Paragraphs>0</Paragraphs>
  <TotalTime>0</TotalTime>
  <ScaleCrop>false</ScaleCrop>
  <LinksUpToDate>false</LinksUpToDate>
  <CharactersWithSpaces>854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2022-02-16T06:08:00Z</dcterms:created>
  <dc:creator>Administrator</dc:creator>
  <cp:lastModifiedBy>株洲市渌口区医疗保障局</cp:lastModifiedBy>
  <cp:lastPrinted>2023-04-11T06:52:00Z</cp:lastPrinted>
  <dcterms:modified xsi:type="dcterms:W3CDTF">2024-04-01T02:54:38Z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040160101B4443B5AC46B4BD0484D1D2</vt:lpwstr>
  </property>
</Properties>
</file>