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7E361">
      <w:pPr>
        <w:keepNext w:val="0"/>
        <w:keepLines w:val="0"/>
        <w:widowControl w:val="0"/>
        <w:suppressLineNumbers w:val="0"/>
        <w:snapToGrid w:val="0"/>
        <w:spacing w:before="0" w:beforeAutospacing="0" w:after="0" w:afterAutospacing="0" w:line="1000" w:lineRule="exact"/>
        <w:ind w:left="0" w:right="0"/>
        <w:jc w:val="both"/>
        <w:rPr>
          <w:rFonts w:hint="default" w:ascii="Times New Roman" w:hAnsi="Times New Roman" w:eastAsia="方正楷体_GBK" w:cs="Times New Roman"/>
          <w:sz w:val="32"/>
          <w:szCs w:val="32"/>
          <w:lang w:val="en-US"/>
        </w:rPr>
      </w:pPr>
      <w:r>
        <w:rPr>
          <w:rFonts w:hint="default" w:ascii="Times New Roman" w:hAnsi="Times New Roman" w:eastAsia="方正楷体_GBK" w:cs="Times New Roman"/>
          <w:kern w:val="2"/>
          <w:sz w:val="32"/>
          <w:szCs w:val="32"/>
          <w:lang w:val="en-US" w:eastAsia="zh-CN" w:bidi="ar"/>
        </w:rPr>
        <w:t>附件1</w:t>
      </w:r>
    </w:p>
    <w:p w14:paraId="60E0B9C2">
      <w:pPr>
        <w:keepNext w:val="0"/>
        <w:keepLines w:val="0"/>
        <w:widowControl/>
        <w:suppressLineNumbers w:val="0"/>
        <w:spacing w:before="0" w:beforeAutospacing="0" w:after="0" w:afterAutospacing="0"/>
        <w:ind w:left="0" w:right="0"/>
        <w:jc w:val="center"/>
        <w:rPr>
          <w:rFonts w:hint="eastAsia" w:ascii="方正黑体_GBK" w:hAnsi="方正黑体_GBK" w:eastAsia="方正黑体_GBK" w:cs="方正黑体_GBK"/>
          <w:kern w:val="0"/>
          <w:sz w:val="44"/>
          <w:szCs w:val="44"/>
          <w:lang w:val="en-US" w:eastAsia="zh-CN" w:bidi="ar"/>
        </w:rPr>
      </w:pPr>
      <w:r>
        <w:rPr>
          <w:rFonts w:hint="eastAsia" w:ascii="方正黑体_GBK" w:hAnsi="方正黑体_GBK" w:eastAsia="方正黑体_GBK" w:cs="方正黑体_GBK"/>
          <w:kern w:val="0"/>
          <w:sz w:val="44"/>
          <w:szCs w:val="44"/>
          <w:lang w:val="en-US" w:eastAsia="zh-CN" w:bidi="ar"/>
        </w:rPr>
        <w:t>部门整体支出绩效自评表</w:t>
      </w:r>
    </w:p>
    <w:p w14:paraId="7A0C7183">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8"/>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87"/>
        <w:gridCol w:w="1166"/>
        <w:gridCol w:w="862"/>
        <w:gridCol w:w="1228"/>
        <w:gridCol w:w="389"/>
        <w:gridCol w:w="1032"/>
        <w:gridCol w:w="1395"/>
        <w:gridCol w:w="702"/>
        <w:gridCol w:w="706"/>
        <w:gridCol w:w="1552"/>
      </w:tblGrid>
      <w:tr w14:paraId="2AF37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20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57668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预算部门名称</w:t>
            </w:r>
          </w:p>
        </w:tc>
        <w:tc>
          <w:tcPr>
            <w:tcW w:w="786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7CB3308">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株洲市渌口区住房和城乡建设局　</w:t>
            </w:r>
          </w:p>
        </w:tc>
      </w:tr>
      <w:tr w14:paraId="6562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F10F6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年度预</w:t>
            </w:r>
          </w:p>
          <w:p w14:paraId="6052E48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算申请</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0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D02143">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p>
        </w:tc>
        <w:tc>
          <w:tcPr>
            <w:tcW w:w="16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04E2C7">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年初</w:t>
            </w:r>
          </w:p>
          <w:p w14:paraId="6C4730EB">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预算数</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14:paraId="5017D34E">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  预算数</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13BEF859">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14:paraId="64626E22">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58FC92B3">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66F9A92A">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14:paraId="104DC3E9">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14:paraId="2B6D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67FA7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0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D74BAD">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0"/>
                <w:sz w:val="21"/>
                <w:szCs w:val="21"/>
                <w:lang w:val="en-US" w:eastAsia="zh-CN" w:bidi="ar"/>
              </w:rPr>
              <w:t>年度资金总额</w:t>
            </w:r>
          </w:p>
        </w:tc>
        <w:tc>
          <w:tcPr>
            <w:tcW w:w="16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4C881E">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5025.23</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14:paraId="21B33DA6">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rPr>
              <w:t>17511.79</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1E375CDD">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rPr>
              <w:t>17511.79</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15A3BFF6">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10分</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6228C8F8">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14:paraId="2D3320CE">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w:t>
            </w:r>
          </w:p>
        </w:tc>
      </w:tr>
      <w:tr w14:paraId="3259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B2F78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67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B99343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按收入性质分：</w:t>
            </w:r>
            <w:r>
              <w:rPr>
                <w:rFonts w:hint="eastAsia" w:ascii="Times New Roman" w:hAnsi="Times New Roman" w:eastAsia="仿宋_GB2312" w:cs="Times New Roman"/>
                <w:kern w:val="0"/>
                <w:sz w:val="21"/>
                <w:szCs w:val="21"/>
                <w:lang w:val="en-US" w:eastAsia="zh-CN" w:bidi="ar"/>
              </w:rPr>
              <w:t>17511.79</w:t>
            </w:r>
          </w:p>
        </w:tc>
        <w:tc>
          <w:tcPr>
            <w:tcW w:w="43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EAD8E6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按支出性质分：</w:t>
            </w:r>
            <w:r>
              <w:rPr>
                <w:rFonts w:hint="eastAsia" w:ascii="Times New Roman" w:hAnsi="Times New Roman" w:eastAsia="仿宋_GB2312" w:cs="Times New Roman"/>
                <w:kern w:val="0"/>
                <w:sz w:val="21"/>
                <w:szCs w:val="21"/>
                <w:lang w:val="en-US" w:eastAsia="zh-CN" w:bidi="ar"/>
              </w:rPr>
              <w:t>17511.79</w:t>
            </w:r>
          </w:p>
        </w:tc>
      </w:tr>
      <w:tr w14:paraId="4BA4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3F5AB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67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5CA096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xml:space="preserve">  其中：  一般公共预算：5140.38</w:t>
            </w:r>
          </w:p>
        </w:tc>
        <w:tc>
          <w:tcPr>
            <w:tcW w:w="43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BA2F3E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其中：基本支出：1007.91</w:t>
            </w:r>
          </w:p>
        </w:tc>
      </w:tr>
      <w:tr w14:paraId="6D66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96A91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67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DBD11E">
            <w:pPr>
              <w:keepNext w:val="0"/>
              <w:keepLines w:val="0"/>
              <w:widowControl/>
              <w:suppressLineNumbers w:val="0"/>
              <w:spacing w:before="0" w:beforeAutospacing="0" w:after="0" w:afterAutospacing="0"/>
              <w:ind w:left="0" w:right="0" w:firstLine="840" w:firstLineChars="4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政府性基金拨款：12055.36</w:t>
            </w:r>
          </w:p>
        </w:tc>
        <w:tc>
          <w:tcPr>
            <w:tcW w:w="43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A83CD11">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项目支出：16503.88</w:t>
            </w:r>
          </w:p>
        </w:tc>
      </w:tr>
      <w:tr w14:paraId="60962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57C51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67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BF028B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纳入专户管理的非税收入拨款：</w:t>
            </w:r>
          </w:p>
        </w:tc>
        <w:tc>
          <w:tcPr>
            <w:tcW w:w="43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63558F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14:paraId="53C3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A759F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67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88B96D3">
            <w:pPr>
              <w:keepNext w:val="0"/>
              <w:keepLines w:val="0"/>
              <w:widowControl/>
              <w:suppressLineNumbers w:val="0"/>
              <w:spacing w:before="0" w:beforeAutospacing="0" w:after="0" w:afterAutospacing="0"/>
              <w:ind w:left="0" w:right="0" w:firstLine="1470" w:firstLineChars="7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其他资金：316.0</w:t>
            </w:r>
            <w:r>
              <w:rPr>
                <w:rFonts w:hint="eastAsia" w:ascii="Times New Roman" w:hAnsi="Times New Roman" w:eastAsia="仿宋_GB2312" w:cs="Times New Roman"/>
                <w:kern w:val="0"/>
                <w:sz w:val="21"/>
                <w:szCs w:val="21"/>
                <w:lang w:val="en-US" w:eastAsia="zh-CN" w:bidi="ar"/>
              </w:rPr>
              <w:t>6</w:t>
            </w:r>
          </w:p>
        </w:tc>
        <w:tc>
          <w:tcPr>
            <w:tcW w:w="43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B8C6C3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bookmarkStart w:id="0" w:name="_GoBack"/>
            <w:bookmarkEnd w:id="0"/>
          </w:p>
        </w:tc>
      </w:tr>
      <w:tr w14:paraId="7CFCE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6201A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67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246B9A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3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6BBCCF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14:paraId="6C56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36BAE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67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1BEAA0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kern w:val="0"/>
                <w:sz w:val="21"/>
                <w:szCs w:val="21"/>
                <w:lang w:val="en-US" w:eastAsia="zh-CN" w:bidi="ar"/>
              </w:rPr>
              <w:t>着力推进城乡建设、城乡环境工作、城乡住房</w:t>
            </w:r>
            <w:r>
              <w:rPr>
                <w:rFonts w:hint="eastAsia" w:ascii="Times New Roman" w:hAnsi="Times New Roman"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住房产业、行业管理及自身建设工作　　</w:t>
            </w:r>
          </w:p>
        </w:tc>
        <w:tc>
          <w:tcPr>
            <w:tcW w:w="43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53F3B3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一是着力塑特色、提品质，城乡建设有新进展。二是着力化风险、强保障，住房发展有新成效。三是着力补短板、强弱项，城乡环境有新改善。四是着力纾困难、促转型，产业发展有新亮点。五是着力保安全、优服务，行业管理有新气象。</w:t>
            </w:r>
          </w:p>
        </w:tc>
      </w:tr>
      <w:tr w14:paraId="5585F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6EC42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14:paraId="46A1832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14:paraId="4178120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14:paraId="5DC372A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14:paraId="6D7F06B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06C5DA1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14D9A9ED">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4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A70D2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14:paraId="1CCE264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06E9E78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14:paraId="2120E08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156A81B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7A8C44A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14:paraId="360FA75B">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14:paraId="7944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A3284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1D5A1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14:paraId="088E8A3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862" w:type="dxa"/>
            <w:vMerge w:val="restart"/>
            <w:tcBorders>
              <w:top w:val="single" w:color="auto" w:sz="4" w:space="0"/>
              <w:left w:val="single" w:color="auto" w:sz="4" w:space="0"/>
              <w:right w:val="single" w:color="auto" w:sz="4" w:space="0"/>
            </w:tcBorders>
            <w:shd w:val="clear" w:color="auto" w:fill="auto"/>
            <w:vAlign w:val="center"/>
          </w:tcPr>
          <w:p w14:paraId="1D71427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w:t>
            </w:r>
          </w:p>
          <w:p w14:paraId="3D57479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2CBCDA3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Cs w:val="21"/>
                <w:lang w:val="en-US"/>
              </w:rPr>
            </w:pPr>
            <w:r>
              <w:rPr>
                <w:rFonts w:hint="eastAsia" w:ascii="仿宋" w:hAnsi="仿宋" w:eastAsia="仿宋" w:cs="仿宋"/>
                <w:i w:val="0"/>
                <w:iCs w:val="0"/>
                <w:color w:val="000000"/>
                <w:kern w:val="0"/>
                <w:sz w:val="20"/>
                <w:szCs w:val="20"/>
                <w:u w:val="none"/>
                <w:lang w:val="en-US" w:eastAsia="zh-CN" w:bidi="ar"/>
              </w:rPr>
              <w:t>供水率</w:t>
            </w:r>
          </w:p>
        </w:tc>
        <w:tc>
          <w:tcPr>
            <w:tcW w:w="14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B2384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1"/>
                <w:szCs w:val="11"/>
                <w:lang w:val="en-US"/>
              </w:rPr>
            </w:pPr>
            <w:r>
              <w:rPr>
                <w:rFonts w:hint="eastAsia" w:ascii="仿宋" w:hAnsi="仿宋" w:eastAsia="仿宋" w:cs="仿宋"/>
                <w:i w:val="0"/>
                <w:iCs w:val="0"/>
                <w:color w:val="000000"/>
                <w:kern w:val="0"/>
                <w:sz w:val="11"/>
                <w:szCs w:val="11"/>
                <w:u w:val="none"/>
                <w:lang w:val="en-US" w:eastAsia="zh-CN" w:bidi="ar"/>
              </w:rPr>
              <w:t>实现县城公共供水普及率达到90%以上</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52DCDF9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1"/>
                <w:szCs w:val="11"/>
                <w:lang w:val="en-US"/>
              </w:rPr>
            </w:pPr>
            <w:r>
              <w:rPr>
                <w:rFonts w:hint="eastAsia" w:ascii="仿宋" w:hAnsi="仿宋" w:eastAsia="仿宋" w:cs="仿宋"/>
                <w:i w:val="0"/>
                <w:iCs w:val="0"/>
                <w:color w:val="000000"/>
                <w:kern w:val="0"/>
                <w:sz w:val="11"/>
                <w:szCs w:val="11"/>
                <w:u w:val="none"/>
                <w:lang w:val="en-US" w:eastAsia="zh-CN" w:bidi="ar"/>
              </w:rPr>
              <w:t>实现县城公共供水普及率达到90%以上</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6B684C4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7FDD33F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14:paraId="56705E4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7E14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6CB01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7F4B8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62" w:type="dxa"/>
            <w:vMerge w:val="continue"/>
            <w:tcBorders>
              <w:left w:val="single" w:color="auto" w:sz="4" w:space="0"/>
              <w:right w:val="single" w:color="auto" w:sz="4" w:space="0"/>
            </w:tcBorders>
            <w:shd w:val="clear" w:color="auto" w:fill="auto"/>
            <w:vAlign w:val="center"/>
          </w:tcPr>
          <w:p w14:paraId="5048FB7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7C74959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Cs w:val="21"/>
                <w:lang w:val="en-US"/>
              </w:rPr>
            </w:pPr>
            <w:r>
              <w:rPr>
                <w:rFonts w:hint="eastAsia" w:ascii="仿宋" w:hAnsi="仿宋" w:eastAsia="仿宋" w:cs="仿宋"/>
                <w:i w:val="0"/>
                <w:iCs w:val="0"/>
                <w:color w:val="000000"/>
                <w:kern w:val="0"/>
                <w:sz w:val="20"/>
                <w:szCs w:val="20"/>
                <w:u w:val="none"/>
                <w:lang w:val="en-US" w:eastAsia="zh-CN" w:bidi="ar"/>
              </w:rPr>
              <w:t>天然气覆盖率</w:t>
            </w:r>
          </w:p>
        </w:tc>
        <w:tc>
          <w:tcPr>
            <w:tcW w:w="14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19C29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5"/>
                <w:szCs w:val="15"/>
                <w:lang w:val="en-US"/>
              </w:rPr>
            </w:pPr>
            <w:r>
              <w:rPr>
                <w:rFonts w:hint="eastAsia" w:ascii="仿宋" w:hAnsi="仿宋" w:eastAsia="仿宋" w:cs="仿宋"/>
                <w:i w:val="0"/>
                <w:iCs w:val="0"/>
                <w:color w:val="000000"/>
                <w:kern w:val="0"/>
                <w:sz w:val="15"/>
                <w:szCs w:val="15"/>
                <w:u w:val="none"/>
                <w:lang w:val="en-US" w:eastAsia="zh-CN" w:bidi="ar"/>
              </w:rPr>
              <w:t>天然气覆盖率达到95%以上</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2BE5DF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5"/>
                <w:szCs w:val="15"/>
                <w:lang w:val="en-US"/>
              </w:rPr>
            </w:pPr>
            <w:r>
              <w:rPr>
                <w:rFonts w:hint="eastAsia" w:ascii="仿宋" w:hAnsi="仿宋" w:eastAsia="仿宋" w:cs="仿宋"/>
                <w:i w:val="0"/>
                <w:iCs w:val="0"/>
                <w:color w:val="000000"/>
                <w:kern w:val="0"/>
                <w:sz w:val="15"/>
                <w:szCs w:val="15"/>
                <w:u w:val="none"/>
                <w:lang w:val="en-US" w:eastAsia="zh-CN" w:bidi="ar"/>
              </w:rPr>
              <w:t>天然气覆盖率达到95%以上</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7341D0E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2366CE2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14:paraId="37BF46A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4440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7E433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18528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62" w:type="dxa"/>
            <w:vMerge w:val="continue"/>
            <w:tcBorders>
              <w:left w:val="single" w:color="auto" w:sz="4" w:space="0"/>
              <w:right w:val="single" w:color="auto" w:sz="4" w:space="0"/>
            </w:tcBorders>
            <w:shd w:val="clear" w:color="auto" w:fill="auto"/>
            <w:vAlign w:val="center"/>
          </w:tcPr>
          <w:p w14:paraId="2609900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5BBA9C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16"/>
                <w:szCs w:val="16"/>
                <w:u w:val="none"/>
                <w:lang w:val="en-US" w:eastAsia="zh-CN" w:bidi="ar"/>
              </w:rPr>
              <w:t>危房改造户数</w:t>
            </w:r>
          </w:p>
        </w:tc>
        <w:tc>
          <w:tcPr>
            <w:tcW w:w="14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59F5A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19户</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0C52230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22户</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67296B2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5</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6995545F">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5</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14:paraId="1A42776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14:paraId="7F5B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DDCD5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89816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62" w:type="dxa"/>
            <w:vMerge w:val="continue"/>
            <w:tcBorders>
              <w:left w:val="single" w:color="auto" w:sz="4" w:space="0"/>
              <w:bottom w:val="single" w:color="auto" w:sz="4" w:space="0"/>
              <w:right w:val="single" w:color="auto" w:sz="4" w:space="0"/>
            </w:tcBorders>
            <w:shd w:val="clear" w:color="auto" w:fill="auto"/>
            <w:vAlign w:val="center"/>
          </w:tcPr>
          <w:p w14:paraId="31FE90E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2298B864">
            <w:pPr>
              <w:pStyle w:val="13"/>
              <w:keepNext w:val="0"/>
              <w:keepLines w:val="0"/>
              <w:suppressLineNumbers w:val="0"/>
              <w:spacing w:before="0" w:beforeAutospacing="0" w:after="0" w:afterAutospacing="0" w:line="240" w:lineRule="exact"/>
              <w:ind w:left="0" w:leftChars="0" w:right="0" w:rightChars="0"/>
              <w:jc w:val="center"/>
              <w:rPr>
                <w:rFonts w:hint="eastAsia" w:ascii="仿宋" w:hAnsi="仿宋" w:eastAsia="仿宋" w:cs="仿宋"/>
                <w:i w:val="0"/>
                <w:iCs w:val="0"/>
                <w:color w:val="000000"/>
                <w:kern w:val="0"/>
                <w:sz w:val="20"/>
                <w:szCs w:val="20"/>
                <w:u w:val="none"/>
                <w:lang w:val="en-US" w:eastAsia="zh-CN" w:bidi="ar"/>
              </w:rPr>
            </w:pPr>
            <w:r>
              <w:rPr>
                <w:rFonts w:hint="eastAsia" w:ascii="Times New Roman" w:hAnsi="Times New Roman" w:eastAsia="仿宋_GB2312" w:cs="Times New Roman"/>
                <w:sz w:val="20"/>
                <w:szCs w:val="20"/>
                <w:lang w:val="en-US" w:eastAsia="zh-CN"/>
              </w:rPr>
              <w:t>培训工匠人数</w:t>
            </w:r>
          </w:p>
        </w:tc>
        <w:tc>
          <w:tcPr>
            <w:tcW w:w="14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5F90AF">
            <w:pPr>
              <w:pStyle w:val="13"/>
              <w:keepNext w:val="0"/>
              <w:keepLines w:val="0"/>
              <w:suppressLineNumbers w:val="0"/>
              <w:spacing w:before="0" w:beforeAutospacing="0" w:after="0" w:afterAutospacing="0" w:line="240" w:lineRule="exact"/>
              <w:ind w:left="0" w:leftChars="0" w:right="0" w:rightChars="0"/>
              <w:jc w:val="center"/>
              <w:rPr>
                <w:rFonts w:hint="eastAsia" w:ascii="仿宋" w:hAnsi="仿宋" w:eastAsia="仿宋" w:cs="仿宋"/>
                <w:i w:val="0"/>
                <w:iCs w:val="0"/>
                <w:color w:val="000000"/>
                <w:kern w:val="0"/>
                <w:sz w:val="20"/>
                <w:szCs w:val="20"/>
                <w:u w:val="none"/>
                <w:lang w:val="en-US" w:eastAsia="zh-CN" w:bidi="ar"/>
              </w:rPr>
            </w:pPr>
            <w:r>
              <w:rPr>
                <w:rFonts w:hint="eastAsia" w:ascii="Times New Roman" w:hAnsi="Times New Roman" w:eastAsia="仿宋_GB2312" w:cs="Times New Roman"/>
                <w:sz w:val="20"/>
                <w:szCs w:val="20"/>
                <w:lang w:val="en-US" w:eastAsia="zh-CN"/>
              </w:rPr>
              <w:t>225名</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4A09F17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225名</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3F241B3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5</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65CEAFD3">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5</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14:paraId="50810F8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14:paraId="508D8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DCA7C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C935F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BDC4F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w:t>
            </w:r>
          </w:p>
          <w:p w14:paraId="3BF1034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3B3ED0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Cs w:val="21"/>
                <w:lang w:val="en-US"/>
              </w:rPr>
            </w:pPr>
            <w:r>
              <w:rPr>
                <w:rFonts w:hint="eastAsia" w:ascii="仿宋" w:hAnsi="仿宋" w:eastAsia="仿宋" w:cs="仿宋"/>
                <w:i w:val="0"/>
                <w:iCs w:val="0"/>
                <w:color w:val="000000"/>
                <w:kern w:val="0"/>
                <w:sz w:val="20"/>
                <w:szCs w:val="20"/>
                <w:u w:val="none"/>
                <w:lang w:val="en-US" w:eastAsia="zh-CN" w:bidi="ar"/>
              </w:rPr>
              <w:t>污水处理水质标准</w:t>
            </w:r>
          </w:p>
        </w:tc>
        <w:tc>
          <w:tcPr>
            <w:tcW w:w="14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5F519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5"/>
                <w:szCs w:val="15"/>
                <w:lang w:val="en-US"/>
              </w:rPr>
            </w:pPr>
            <w:r>
              <w:rPr>
                <w:rFonts w:hint="eastAsia" w:ascii="仿宋" w:hAnsi="仿宋" w:eastAsia="仿宋" w:cs="仿宋"/>
                <w:i w:val="0"/>
                <w:iCs w:val="0"/>
                <w:color w:val="000000"/>
                <w:kern w:val="0"/>
                <w:sz w:val="15"/>
                <w:szCs w:val="15"/>
                <w:u w:val="none"/>
                <w:lang w:val="en-US" w:eastAsia="zh-CN" w:bidi="ar"/>
              </w:rPr>
              <w:t>出水水质达到一级A标排放标准</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4A99E7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5"/>
                <w:szCs w:val="15"/>
                <w:lang w:val="en-US"/>
              </w:rPr>
            </w:pPr>
            <w:r>
              <w:rPr>
                <w:rFonts w:hint="eastAsia" w:ascii="仿宋" w:hAnsi="仿宋" w:eastAsia="仿宋" w:cs="仿宋"/>
                <w:i w:val="0"/>
                <w:iCs w:val="0"/>
                <w:color w:val="000000"/>
                <w:kern w:val="0"/>
                <w:sz w:val="15"/>
                <w:szCs w:val="15"/>
                <w:u w:val="none"/>
                <w:lang w:val="en-US" w:eastAsia="zh-CN" w:bidi="ar"/>
              </w:rPr>
              <w:t>出水水质达到一级A标排放标准</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1222E54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0F313EA8">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14:paraId="121E4BC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0105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7DF6F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4B209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48895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3F523A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21"/>
                <w:szCs w:val="21"/>
                <w:lang w:val="en-US" w:eastAsia="zh-CN" w:bidi="ar"/>
              </w:rPr>
            </w:pPr>
            <w:r>
              <w:rPr>
                <w:rFonts w:hint="eastAsia" w:ascii="仿宋" w:hAnsi="仿宋" w:eastAsia="仿宋" w:cs="仿宋"/>
                <w:i w:val="0"/>
                <w:iCs w:val="0"/>
                <w:color w:val="000000"/>
                <w:kern w:val="0"/>
                <w:sz w:val="16"/>
                <w:szCs w:val="16"/>
                <w:u w:val="none"/>
                <w:lang w:val="en-US" w:eastAsia="zh-CN" w:bidi="ar"/>
              </w:rPr>
              <w:t>施工扬尘监管</w:t>
            </w:r>
          </w:p>
        </w:tc>
        <w:tc>
          <w:tcPr>
            <w:tcW w:w="14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3630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5"/>
                <w:szCs w:val="15"/>
                <w:lang w:val="en-US" w:eastAsia="zh-CN" w:bidi="ar"/>
              </w:rPr>
            </w:pPr>
            <w:r>
              <w:rPr>
                <w:rFonts w:hint="eastAsia" w:ascii="仿宋" w:hAnsi="仿宋" w:eastAsia="仿宋" w:cs="仿宋"/>
                <w:i w:val="0"/>
                <w:iCs w:val="0"/>
                <w:color w:val="000000"/>
                <w:kern w:val="0"/>
                <w:sz w:val="15"/>
                <w:szCs w:val="15"/>
                <w:u w:val="none"/>
                <w:lang w:val="en-US" w:eastAsia="zh-CN" w:bidi="ar"/>
              </w:rPr>
              <w:t>确保“8个100%”治理措施到位</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053B16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15"/>
                <w:szCs w:val="15"/>
                <w:lang w:val="en-US" w:eastAsia="zh-CN" w:bidi="ar"/>
              </w:rPr>
            </w:pPr>
            <w:r>
              <w:rPr>
                <w:rFonts w:hint="eastAsia" w:ascii="仿宋" w:hAnsi="仿宋" w:eastAsia="仿宋" w:cs="仿宋"/>
                <w:i w:val="0"/>
                <w:iCs w:val="0"/>
                <w:color w:val="000000"/>
                <w:kern w:val="0"/>
                <w:sz w:val="15"/>
                <w:szCs w:val="15"/>
                <w:u w:val="none"/>
                <w:lang w:val="en-US" w:eastAsia="zh-CN" w:bidi="ar"/>
              </w:rPr>
              <w:t>确保“8个100%”治理措施到位</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2EBF94D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5</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15F5344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5</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14:paraId="7473209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14:paraId="7D37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F2B99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747F7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80240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7FD005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Cs w:val="21"/>
                <w:lang w:val="en-US"/>
              </w:rPr>
            </w:pPr>
            <w:r>
              <w:rPr>
                <w:rFonts w:hint="eastAsia" w:ascii="仿宋" w:hAnsi="仿宋" w:eastAsia="仿宋" w:cs="仿宋"/>
                <w:i w:val="0"/>
                <w:iCs w:val="0"/>
                <w:color w:val="000000"/>
                <w:kern w:val="0"/>
                <w:sz w:val="20"/>
                <w:szCs w:val="20"/>
                <w:u w:val="none"/>
                <w:lang w:val="en-US" w:eastAsia="zh-CN" w:bidi="ar"/>
              </w:rPr>
              <w:t>危房验收合格率</w:t>
            </w:r>
          </w:p>
        </w:tc>
        <w:tc>
          <w:tcPr>
            <w:tcW w:w="14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C64E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Cs w:val="21"/>
                <w:lang w:val="en-US"/>
              </w:rPr>
            </w:pPr>
            <w:r>
              <w:rPr>
                <w:rFonts w:hint="eastAsia" w:ascii="仿宋" w:hAnsi="仿宋" w:eastAsia="仿宋" w:cs="仿宋"/>
                <w:i w:val="0"/>
                <w:iCs w:val="0"/>
                <w:color w:val="000000"/>
                <w:kern w:val="0"/>
                <w:sz w:val="20"/>
                <w:szCs w:val="20"/>
                <w:u w:val="none"/>
                <w:lang w:val="en-US" w:eastAsia="zh-CN" w:bidi="ar"/>
              </w:rPr>
              <w:t>100%</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3D06127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Cs w:val="21"/>
                <w:lang w:val="en-US"/>
              </w:rPr>
            </w:pPr>
            <w:r>
              <w:rPr>
                <w:rFonts w:hint="eastAsia" w:ascii="仿宋" w:hAnsi="仿宋" w:eastAsia="仿宋" w:cs="仿宋"/>
                <w:i w:val="0"/>
                <w:iCs w:val="0"/>
                <w:color w:val="000000"/>
                <w:kern w:val="0"/>
                <w:sz w:val="20"/>
                <w:szCs w:val="20"/>
                <w:u w:val="none"/>
                <w:lang w:val="en-US" w:eastAsia="zh-CN" w:bidi="ar"/>
              </w:rPr>
              <w:t>100%</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6D9E90A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73D96770">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14:paraId="5F52A76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1DAB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05D4C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52054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23DADA0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w:t>
            </w:r>
          </w:p>
          <w:p w14:paraId="3BCDA52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37C9109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污水处理及时性</w:t>
            </w:r>
          </w:p>
        </w:tc>
        <w:tc>
          <w:tcPr>
            <w:tcW w:w="14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A5215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及时</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7687FCB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及时</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2F0DB4D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3BA4BE5A">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14:paraId="0D31A3D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17F0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081A4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0CB3A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5A4F4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w:t>
            </w:r>
          </w:p>
          <w:p w14:paraId="7A3A241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5BD7790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16"/>
                <w:szCs w:val="16"/>
                <w:u w:val="none"/>
                <w:lang w:val="en-US" w:eastAsia="zh-CN" w:bidi="ar"/>
              </w:rPr>
              <w:t>全年预算数</w:t>
            </w:r>
          </w:p>
        </w:tc>
        <w:tc>
          <w:tcPr>
            <w:tcW w:w="14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0B6EB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2"/>
                <w:sz w:val="16"/>
                <w:szCs w:val="16"/>
                <w:u w:val="none"/>
                <w:lang w:val="en-US" w:eastAsia="zh-CN" w:bidi="ar-SA"/>
              </w:rPr>
            </w:pPr>
            <w:r>
              <w:rPr>
                <w:rFonts w:hint="eastAsia" w:ascii="仿宋" w:hAnsi="仿宋" w:eastAsia="仿宋" w:cs="仿宋"/>
                <w:i w:val="0"/>
                <w:iCs w:val="0"/>
                <w:color w:val="000000"/>
                <w:kern w:val="0"/>
                <w:sz w:val="16"/>
                <w:szCs w:val="16"/>
                <w:u w:val="none"/>
                <w:lang w:val="en-US" w:eastAsia="zh-CN" w:bidi="ar"/>
              </w:rPr>
              <w:t>5025.23万元</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3D4CC8A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6"/>
                <w:szCs w:val="16"/>
                <w:lang w:val="en-US"/>
              </w:rPr>
            </w:pPr>
            <w:r>
              <w:rPr>
                <w:rFonts w:hint="default" w:ascii="Times New Roman" w:hAnsi="Times New Roman" w:eastAsia="仿宋_GB2312" w:cs="Times New Roman"/>
                <w:kern w:val="0"/>
                <w:sz w:val="16"/>
                <w:szCs w:val="16"/>
                <w:lang w:val="en-US" w:eastAsia="zh-CN" w:bidi="ar"/>
              </w:rPr>
              <w:t>　</w:t>
            </w:r>
            <w:r>
              <w:rPr>
                <w:rFonts w:hint="eastAsia" w:ascii="Times New Roman" w:hAnsi="Times New Roman" w:eastAsia="仿宋_GB2312" w:cs="Times New Roman"/>
                <w:kern w:val="0"/>
                <w:sz w:val="16"/>
                <w:szCs w:val="16"/>
                <w:lang w:val="en-US" w:eastAsia="zh-CN" w:bidi="ar"/>
              </w:rPr>
              <w:t>17511.79万元</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70659F5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06DF5994">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14:paraId="4C6B8E4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5783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5F47F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B76BF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90F9F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4C495B15">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仿宋" w:hAnsi="仿宋" w:eastAsia="仿宋" w:cs="仿宋"/>
                <w:color w:val="000000"/>
                <w:kern w:val="0"/>
                <w:sz w:val="21"/>
                <w:szCs w:val="21"/>
              </w:rPr>
              <w:t>项目资金支付使用管理</w:t>
            </w:r>
          </w:p>
        </w:tc>
        <w:tc>
          <w:tcPr>
            <w:tcW w:w="14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F8A76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仿宋" w:hAnsi="仿宋" w:eastAsia="仿宋" w:cs="仿宋"/>
                <w:color w:val="000000"/>
                <w:kern w:val="0"/>
                <w:sz w:val="21"/>
                <w:szCs w:val="21"/>
              </w:rPr>
              <w:t>降本增效</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62346DB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仿宋" w:hAnsi="仿宋" w:eastAsia="仿宋" w:cs="仿宋"/>
                <w:color w:val="000000"/>
                <w:kern w:val="0"/>
                <w:sz w:val="21"/>
                <w:szCs w:val="21"/>
              </w:rPr>
              <w:t>降本增效</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242551D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3AFA432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14:paraId="5E95BD5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1297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77E99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C6140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14:paraId="09A0425F">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　</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5019783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14:paraId="4A77DAF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08B174C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收取污水处理费</w:t>
            </w:r>
          </w:p>
        </w:tc>
        <w:tc>
          <w:tcPr>
            <w:tcW w:w="14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6BE4CB">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 w:val="21"/>
                <w:szCs w:val="21"/>
                <w:lang w:val="en-US" w:eastAsia="zh-CN" w:bidi="ar"/>
              </w:rPr>
              <w:t>600万元</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3ECE899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792.63万元</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1B2E3FB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183ADD9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14:paraId="5780C6C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3ECDB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8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17136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A82DE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0E26E50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14:paraId="01B2D707">
            <w:pPr>
              <w:keepNext w:val="0"/>
              <w:keepLines w:val="0"/>
              <w:suppressLineNumbers w:val="0"/>
              <w:spacing w:before="0" w:beforeAutospacing="0" w:after="0" w:afterAutospacing="0"/>
              <w:ind w:left="0" w:right="0"/>
              <w:rPr>
                <w:rFonts w:hint="default" w:ascii="Times New Roman" w:hAnsi="Times New Roman" w:cs="Times New Roman"/>
                <w:sz w:val="20"/>
                <w:szCs w:val="20"/>
              </w:rPr>
            </w:pPr>
            <w:r>
              <w:rPr>
                <w:rFonts w:hint="default" w:ascii="Times New Roman" w:hAnsi="Times New Roman" w:eastAsia="仿宋_GB2312" w:cs="Times New Roman"/>
                <w:kern w:val="0"/>
                <w:sz w:val="21"/>
                <w:szCs w:val="21"/>
                <w:lang w:val="en-US" w:eastAsia="zh-CN" w:bidi="ar"/>
              </w:rPr>
              <w:t>益指标</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126D8C0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Cs w:val="21"/>
                <w:lang w:val="en-US"/>
              </w:rPr>
            </w:pPr>
            <w:r>
              <w:rPr>
                <w:rFonts w:hint="eastAsia" w:ascii="仿宋" w:hAnsi="仿宋" w:eastAsia="仿宋" w:cs="仿宋"/>
                <w:i w:val="0"/>
                <w:iCs w:val="0"/>
                <w:color w:val="000000"/>
                <w:kern w:val="0"/>
                <w:sz w:val="18"/>
                <w:szCs w:val="18"/>
                <w:u w:val="none"/>
                <w:lang w:val="en-US" w:eastAsia="zh-CN" w:bidi="ar"/>
              </w:rPr>
              <w:t>居民生活污水及时处理，生活用水质量得到保障</w:t>
            </w:r>
          </w:p>
        </w:tc>
        <w:tc>
          <w:tcPr>
            <w:tcW w:w="14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FB4AC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仿宋" w:hAnsi="仿宋" w:eastAsia="仿宋" w:cs="仿宋"/>
                <w:i w:val="0"/>
                <w:iCs w:val="0"/>
                <w:color w:val="000000"/>
                <w:kern w:val="0"/>
                <w:sz w:val="18"/>
                <w:szCs w:val="18"/>
                <w:u w:val="none"/>
                <w:lang w:val="en-US" w:eastAsia="zh-CN" w:bidi="ar"/>
              </w:rPr>
              <w:t>居民生活污水及时处理，生活用水质量得到保障</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6B49704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仿宋" w:hAnsi="仿宋" w:eastAsia="仿宋" w:cs="仿宋"/>
                <w:i w:val="0"/>
                <w:iCs w:val="0"/>
                <w:color w:val="000000"/>
                <w:kern w:val="0"/>
                <w:sz w:val="18"/>
                <w:szCs w:val="18"/>
                <w:u w:val="none"/>
                <w:lang w:val="en-US" w:eastAsia="zh-CN" w:bidi="ar"/>
              </w:rPr>
              <w:t>居民生活污水及时处理，生活用水质量得到保障</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55FDAF8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52E15DB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14:paraId="6AFA519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1293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1872D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5BBAF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2089B88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14:paraId="1161FB5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466C75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Cs w:val="21"/>
                <w:lang w:val="en-US"/>
              </w:rPr>
            </w:pPr>
            <w:r>
              <w:rPr>
                <w:rFonts w:hint="eastAsia" w:ascii="仿宋" w:hAnsi="仿宋" w:eastAsia="仿宋" w:cs="仿宋"/>
                <w:i w:val="0"/>
                <w:iCs w:val="0"/>
                <w:color w:val="000000"/>
                <w:kern w:val="0"/>
                <w:sz w:val="20"/>
                <w:szCs w:val="20"/>
                <w:u w:val="none"/>
                <w:lang w:val="en-US" w:eastAsia="zh-CN" w:bidi="ar"/>
              </w:rPr>
              <w:t>环境效益</w:t>
            </w:r>
          </w:p>
        </w:tc>
        <w:tc>
          <w:tcPr>
            <w:tcW w:w="14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AD49C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改善</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411BD76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改善</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5BEEADC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39AAA3D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4</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14:paraId="7CE4BFC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1F80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EC67B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63903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622A76B5">
            <w:pPr>
              <w:keepNext w:val="0"/>
              <w:keepLines w:val="0"/>
              <w:suppressLineNumbers w:val="0"/>
              <w:spacing w:before="0" w:beforeAutospacing="0" w:after="0" w:afterAutospacing="0"/>
              <w:ind w:left="0" w:right="0"/>
              <w:rPr>
                <w:rFonts w:hint="default" w:ascii="Times New Roman" w:hAnsi="Times New Roman" w:cs="Times New Roman"/>
                <w:sz w:val="20"/>
                <w:szCs w:val="20"/>
              </w:rPr>
            </w:pPr>
            <w:r>
              <w:rPr>
                <w:rFonts w:hint="default" w:ascii="Times New Roman" w:hAnsi="Times New Roman" w:eastAsia="仿宋_GB2312" w:cs="Times New Roman"/>
                <w:kern w:val="0"/>
                <w:sz w:val="21"/>
                <w:szCs w:val="21"/>
                <w:lang w:val="en-US" w:eastAsia="zh-CN" w:bidi="ar"/>
              </w:rPr>
              <w:t>可持续影响指标</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71B948E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仿宋" w:hAnsi="仿宋" w:eastAsia="仿宋" w:cs="仿宋"/>
                <w:sz w:val="21"/>
                <w:szCs w:val="21"/>
              </w:rPr>
              <w:t>民生保障</w:t>
            </w:r>
          </w:p>
        </w:tc>
        <w:tc>
          <w:tcPr>
            <w:tcW w:w="14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E825B6">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可持续</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139203BC">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 w:val="21"/>
                <w:szCs w:val="21"/>
                <w:lang w:val="en-US" w:eastAsia="zh-CN" w:bidi="ar"/>
              </w:rPr>
              <w:t>　</w:t>
            </w:r>
            <w:r>
              <w:rPr>
                <w:rFonts w:hint="eastAsia" w:ascii="仿宋" w:hAnsi="仿宋" w:eastAsia="仿宋" w:cs="仿宋"/>
                <w:sz w:val="21"/>
                <w:szCs w:val="21"/>
                <w:lang w:eastAsia="zh-CN"/>
              </w:rPr>
              <w:t>可持续</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026D4B1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75F78B2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4</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14:paraId="6719420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41A3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7CCBA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14:paraId="039EBDC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满意度指标</w:t>
            </w:r>
          </w:p>
          <w:p w14:paraId="7083AD2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1E8452C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48CA7AB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群众满意度</w:t>
            </w:r>
          </w:p>
        </w:tc>
        <w:tc>
          <w:tcPr>
            <w:tcW w:w="14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9BA2F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≥90%</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652980A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≥90%</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7C081B0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66267C9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14:paraId="4514DF0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7820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95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26E8CC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01FEF58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14:paraId="15BC6DB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98</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14:paraId="3B78820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14:paraId="09ED6E07">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罗海霞</w:t>
      </w:r>
      <w:r>
        <w:rPr>
          <w:rFonts w:hint="default" w:ascii="Times New Roman" w:hAnsi="Times New Roman" w:eastAsia="仿宋_GB2312" w:cs="Times New Roman"/>
          <w:kern w:val="0"/>
          <w:sz w:val="21"/>
          <w:szCs w:val="21"/>
          <w:lang w:val="en-US" w:eastAsia="zh-CN" w:bidi="ar"/>
        </w:rPr>
        <w:t xml:space="preserve">    联系电话：</w:t>
      </w:r>
      <w:r>
        <w:rPr>
          <w:rFonts w:hint="eastAsia" w:ascii="Times New Roman" w:hAnsi="Times New Roman" w:eastAsia="仿宋_GB2312" w:cs="Times New Roman"/>
          <w:kern w:val="0"/>
          <w:sz w:val="21"/>
          <w:szCs w:val="21"/>
          <w:lang w:val="en-US" w:eastAsia="zh-CN" w:bidi="ar"/>
        </w:rPr>
        <w:t>13607420851</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2024.04.12</w:t>
      </w:r>
      <w:r>
        <w:rPr>
          <w:rFonts w:hint="default" w:ascii="Times New Roman" w:hAnsi="Times New Roman" w:eastAsia="仿宋_GB2312" w:cs="Times New Roman"/>
          <w:kern w:val="0"/>
          <w:sz w:val="21"/>
          <w:szCs w:val="21"/>
          <w:lang w:val="en-US" w:eastAsia="zh-CN" w:bidi="ar"/>
        </w:rPr>
        <w:t xml:space="preserve">  单位负责人签字：</w:t>
      </w:r>
    </w:p>
    <w:p w14:paraId="4493AC98">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561CEF5F">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65F62B49">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27BC63ED">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7B8847A0">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2B3BB459">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1D634C09">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7C7415E9">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3F7A4F92">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2DA33AC7">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00A3B56B">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40DD5864">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2AAD69CA">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44BD9813">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5792376F">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5C225791">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4DEFA5B9">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2BF167E1">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45D2A964">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5E8AAA79">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3168F28B">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5DED9BC8">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15AC6B04">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4FF4F1E5">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kern w:val="2"/>
          <w:sz w:val="30"/>
          <w:szCs w:val="30"/>
          <w:lang w:val="en-US" w:eastAsia="zh-CN" w:bidi="ar"/>
        </w:rPr>
      </w:pPr>
    </w:p>
    <w:p w14:paraId="5FD59D33">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sz w:val="30"/>
          <w:szCs w:val="30"/>
          <w:lang w:val="en-US"/>
        </w:rPr>
      </w:pPr>
      <w:r>
        <w:rPr>
          <w:rFonts w:hint="default" w:ascii="Times New Roman" w:hAnsi="Times New Roman" w:eastAsia="楷体" w:cs="Times New Roman"/>
          <w:kern w:val="2"/>
          <w:sz w:val="30"/>
          <w:szCs w:val="30"/>
          <w:lang w:val="en-US" w:eastAsia="zh-CN" w:bidi="ar"/>
        </w:rPr>
        <w:t>附件2</w:t>
      </w:r>
    </w:p>
    <w:p w14:paraId="66D1DC28">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仿宋" w:cs="Times New Roman"/>
          <w:sz w:val="32"/>
          <w:szCs w:val="32"/>
          <w:lang w:val="en-US"/>
        </w:rPr>
      </w:pPr>
      <w:r>
        <w:rPr>
          <w:rFonts w:hint="eastAsia" w:ascii="方正小标宋_GBK" w:hAnsi="方正小标宋_GBK" w:eastAsia="方正小标宋_GBK" w:cs="方正小标宋_GBK"/>
          <w:kern w:val="2"/>
          <w:sz w:val="44"/>
          <w:szCs w:val="44"/>
          <w:lang w:val="en-US" w:eastAsia="zh-CN" w:bidi="ar"/>
        </w:rPr>
        <w:t>部门整体支出绩效自评报告</w:t>
      </w:r>
    </w:p>
    <w:p w14:paraId="77AE498B">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32"/>
          <w:szCs w:val="32"/>
          <w:lang w:val="en-US"/>
        </w:rPr>
      </w:pPr>
    </w:p>
    <w:p w14:paraId="4EA86FAF">
      <w:pPr>
        <w:keepNext w:val="0"/>
        <w:keepLines w:val="0"/>
        <w:widowControl w:val="0"/>
        <w:numPr>
          <w:ilvl w:val="0"/>
          <w:numId w:val="1"/>
        </w:numPr>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预算单位基本情况</w:t>
      </w:r>
    </w:p>
    <w:p w14:paraId="10F2E659">
      <w:pPr>
        <w:keepNext w:val="0"/>
        <w:keepLines w:val="0"/>
        <w:widowControl w:val="0"/>
        <w:numPr>
          <w:ilvl w:val="0"/>
          <w:numId w:val="0"/>
        </w:numPr>
        <w:suppressLineNumbers w:val="0"/>
        <w:spacing w:before="0" w:beforeAutospacing="0" w:after="0" w:afterAutospacing="0" w:line="600" w:lineRule="exact"/>
        <w:ind w:right="0" w:rightChars="0" w:firstLine="640" w:firstLineChars="200"/>
        <w:jc w:val="both"/>
        <w:rPr>
          <w:rFonts w:hint="default" w:ascii="Times New Roman" w:hAnsi="Times New Roman" w:eastAsia="黑体" w:cs="Times New Roman"/>
          <w:sz w:val="32"/>
          <w:szCs w:val="32"/>
          <w:lang w:val="en-US"/>
        </w:rPr>
      </w:pPr>
      <w:r>
        <w:rPr>
          <w:rFonts w:hint="eastAsia" w:ascii="仿宋" w:hAnsi="仿宋" w:eastAsia="仿宋"/>
          <w:bCs/>
          <w:sz w:val="32"/>
          <w:szCs w:val="32"/>
          <w:lang w:eastAsia="zh-CN"/>
        </w:rPr>
        <w:t>株洲市渌口</w:t>
      </w:r>
      <w:r>
        <w:rPr>
          <w:rFonts w:hint="eastAsia" w:ascii="仿宋" w:hAnsi="仿宋" w:eastAsia="仿宋"/>
          <w:bCs/>
          <w:sz w:val="32"/>
          <w:szCs w:val="32"/>
        </w:rPr>
        <w:t>区住房和城乡建设局</w:t>
      </w:r>
      <w:r>
        <w:rPr>
          <w:rFonts w:hint="eastAsia" w:ascii="仿宋" w:hAnsi="仿宋" w:eastAsia="仿宋"/>
          <w:sz w:val="32"/>
          <w:szCs w:val="32"/>
        </w:rPr>
        <w:t xml:space="preserve"> </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年本单位年未实有人数</w:t>
      </w:r>
      <w:r>
        <w:rPr>
          <w:rFonts w:hint="eastAsia" w:ascii="仿宋" w:hAnsi="仿宋" w:eastAsia="仿宋"/>
          <w:sz w:val="32"/>
          <w:szCs w:val="32"/>
          <w:lang w:val="en-US" w:eastAsia="zh-CN"/>
        </w:rPr>
        <w:t>52</w:t>
      </w:r>
      <w:r>
        <w:rPr>
          <w:rFonts w:hint="eastAsia" w:ascii="仿宋" w:hAnsi="仿宋" w:eastAsia="仿宋"/>
          <w:sz w:val="32"/>
          <w:szCs w:val="32"/>
        </w:rPr>
        <w:t>人，在职在编人数</w:t>
      </w:r>
      <w:r>
        <w:rPr>
          <w:rFonts w:hint="eastAsia" w:ascii="仿宋" w:hAnsi="仿宋" w:eastAsia="仿宋"/>
          <w:sz w:val="32"/>
          <w:szCs w:val="32"/>
          <w:lang w:val="en-US" w:eastAsia="zh-CN"/>
        </w:rPr>
        <w:t>43</w:t>
      </w:r>
      <w:r>
        <w:rPr>
          <w:rFonts w:hint="eastAsia" w:ascii="仿宋" w:hAnsi="仿宋" w:eastAsia="仿宋"/>
          <w:sz w:val="32"/>
          <w:szCs w:val="32"/>
        </w:rPr>
        <w:t>人，临聘人员9人</w:t>
      </w:r>
      <w:r>
        <w:rPr>
          <w:rFonts w:ascii="仿宋" w:hAnsi="仿宋" w:eastAsia="仿宋"/>
          <w:sz w:val="32"/>
          <w:szCs w:val="32"/>
        </w:rPr>
        <w:t>。单位内设股室</w:t>
      </w:r>
      <w:r>
        <w:rPr>
          <w:rFonts w:hint="eastAsia" w:ascii="仿宋" w:hAnsi="仿宋" w:eastAsia="仿宋"/>
          <w:sz w:val="32"/>
          <w:szCs w:val="32"/>
          <w:lang w:val="en-US" w:eastAsia="zh-CN"/>
        </w:rPr>
        <w:t>8</w:t>
      </w:r>
      <w:r>
        <w:rPr>
          <w:rFonts w:ascii="仿宋" w:hAnsi="仿宋" w:eastAsia="仿宋"/>
          <w:sz w:val="32"/>
          <w:szCs w:val="32"/>
        </w:rPr>
        <w:t>个，分别为：1.办公室、2.行政审批和政策法规股、3.城市建设和公用事业管理股、</w:t>
      </w:r>
      <w:r>
        <w:rPr>
          <w:rFonts w:hint="eastAsia" w:ascii="仿宋" w:hAnsi="仿宋" w:eastAsia="仿宋"/>
          <w:sz w:val="32"/>
          <w:szCs w:val="32"/>
          <w:lang w:val="en-US" w:eastAsia="zh-CN"/>
        </w:rPr>
        <w:t>4</w:t>
      </w:r>
      <w:r>
        <w:rPr>
          <w:rFonts w:ascii="仿宋" w:hAnsi="仿宋" w:eastAsia="仿宋"/>
          <w:sz w:val="32"/>
          <w:szCs w:val="32"/>
        </w:rPr>
        <w:t>.建筑业管理办公室、</w:t>
      </w:r>
      <w:r>
        <w:rPr>
          <w:rFonts w:hint="eastAsia" w:ascii="仿宋" w:hAnsi="仿宋" w:eastAsia="仿宋"/>
          <w:sz w:val="32"/>
          <w:szCs w:val="32"/>
          <w:lang w:val="en-US" w:eastAsia="zh-CN"/>
        </w:rPr>
        <w:t>5</w:t>
      </w:r>
      <w:r>
        <w:rPr>
          <w:rFonts w:ascii="仿宋" w:hAnsi="仿宋" w:eastAsia="仿宋"/>
          <w:sz w:val="32"/>
          <w:szCs w:val="32"/>
        </w:rPr>
        <w:t>.招标投标管理股、</w:t>
      </w:r>
      <w:r>
        <w:rPr>
          <w:rFonts w:hint="eastAsia" w:ascii="仿宋" w:hAnsi="仿宋" w:eastAsia="仿宋"/>
          <w:sz w:val="32"/>
          <w:szCs w:val="32"/>
          <w:lang w:val="en-US" w:eastAsia="zh-CN"/>
        </w:rPr>
        <w:t>6</w:t>
      </w:r>
      <w:r>
        <w:rPr>
          <w:rFonts w:ascii="仿宋" w:hAnsi="仿宋" w:eastAsia="仿宋"/>
          <w:sz w:val="32"/>
          <w:szCs w:val="32"/>
        </w:rPr>
        <w:t>.村镇建设管理股、</w:t>
      </w:r>
      <w:r>
        <w:rPr>
          <w:rFonts w:hint="eastAsia" w:ascii="仿宋" w:hAnsi="仿宋" w:eastAsia="仿宋"/>
          <w:sz w:val="32"/>
          <w:szCs w:val="32"/>
          <w:lang w:val="en-US" w:eastAsia="zh-CN"/>
        </w:rPr>
        <w:t>7</w:t>
      </w:r>
      <w:r>
        <w:rPr>
          <w:rFonts w:ascii="仿宋" w:hAnsi="仿宋" w:eastAsia="仿宋"/>
          <w:sz w:val="32"/>
          <w:szCs w:val="32"/>
        </w:rPr>
        <w:t>.住房改革和保障股、</w:t>
      </w:r>
      <w:r>
        <w:rPr>
          <w:rFonts w:hint="eastAsia" w:ascii="仿宋" w:hAnsi="仿宋" w:eastAsia="仿宋"/>
          <w:sz w:val="32"/>
          <w:szCs w:val="32"/>
          <w:lang w:val="en-US" w:eastAsia="zh-CN"/>
        </w:rPr>
        <w:t>8</w:t>
      </w:r>
      <w:r>
        <w:rPr>
          <w:rFonts w:ascii="仿宋" w:hAnsi="仿宋" w:eastAsia="仿宋"/>
          <w:sz w:val="32"/>
          <w:szCs w:val="32"/>
        </w:rPr>
        <w:t>.质量安全管理股。</w:t>
      </w:r>
      <w:r>
        <w:rPr>
          <w:rFonts w:ascii="仿宋" w:hAnsi="仿宋" w:eastAsia="仿宋"/>
          <w:sz w:val="32"/>
          <w:szCs w:val="32"/>
        </w:rPr>
        <w:br w:type="textWrapping"/>
      </w:r>
      <w:r>
        <w:rPr>
          <w:rFonts w:hint="eastAsia" w:ascii="仿宋" w:hAnsi="仿宋" w:eastAsia="仿宋"/>
          <w:sz w:val="32"/>
          <w:szCs w:val="32"/>
          <w:lang w:val="en-US" w:eastAsia="zh-CN"/>
        </w:rPr>
        <w:t xml:space="preserve">    </w:t>
      </w:r>
      <w:r>
        <w:rPr>
          <w:rFonts w:hint="default" w:ascii="Times New Roman" w:hAnsi="Times New Roman" w:eastAsia="黑体" w:cs="Times New Roman"/>
          <w:sz w:val="32"/>
          <w:szCs w:val="32"/>
          <w:lang w:eastAsia="zh-CN"/>
        </w:rPr>
        <w:t>二、一般公共预算支出情况</w:t>
      </w:r>
    </w:p>
    <w:p w14:paraId="2BFB7FBC">
      <w:pPr>
        <w:pStyle w:val="11"/>
        <w:widowControl/>
        <w:numPr>
          <w:ilvl w:val="0"/>
          <w:numId w:val="2"/>
        </w:numPr>
        <w:spacing w:line="600" w:lineRule="exact"/>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基本支出情况</w:t>
      </w:r>
    </w:p>
    <w:p w14:paraId="0667B853">
      <w:pPr>
        <w:snapToGrid w:val="0"/>
        <w:spacing w:line="520" w:lineRule="exact"/>
        <w:ind w:firstLine="640" w:firstLineChars="200"/>
        <w:rPr>
          <w:rFonts w:ascii="仿宋" w:hAnsi="仿宋" w:eastAsia="仿宋"/>
          <w:bCs/>
          <w:sz w:val="32"/>
          <w:szCs w:val="32"/>
        </w:rPr>
      </w:pPr>
      <w:r>
        <w:rPr>
          <w:rFonts w:hint="eastAsia" w:ascii="仿宋" w:hAnsi="仿宋" w:eastAsia="仿宋"/>
          <w:bCs/>
          <w:sz w:val="32"/>
          <w:szCs w:val="32"/>
        </w:rPr>
        <w:t>基本支出是保障我局机构正常运转、完成日常工作任务而发生的各项支出，包括用于在职和离退休人员基本工资、津贴补贴等人员经费以及办公费、印刷费、水电费、办公设备购置等日常公用经费。202</w:t>
      </w:r>
      <w:r>
        <w:rPr>
          <w:rFonts w:hint="eastAsia" w:ascii="仿宋" w:hAnsi="仿宋" w:eastAsia="仿宋"/>
          <w:bCs/>
          <w:sz w:val="32"/>
          <w:szCs w:val="32"/>
          <w:lang w:val="en-US" w:eastAsia="zh-CN"/>
        </w:rPr>
        <w:t>3</w:t>
      </w:r>
      <w:r>
        <w:rPr>
          <w:rFonts w:hint="eastAsia" w:ascii="仿宋" w:hAnsi="仿宋" w:eastAsia="仿宋"/>
          <w:bCs/>
          <w:sz w:val="32"/>
          <w:szCs w:val="32"/>
        </w:rPr>
        <w:t>年度财政拨款基本支出</w:t>
      </w:r>
      <w:r>
        <w:rPr>
          <w:rFonts w:hint="eastAsia" w:ascii="仿宋" w:hAnsi="仿宋" w:eastAsia="仿宋" w:cs="仿宋"/>
          <w:bCs/>
          <w:sz w:val="32"/>
          <w:szCs w:val="32"/>
          <w:lang w:val="en-US" w:eastAsia="zh-CN"/>
        </w:rPr>
        <w:t>1007.91</w:t>
      </w:r>
      <w:r>
        <w:rPr>
          <w:rFonts w:hint="eastAsia" w:ascii="仿宋" w:hAnsi="仿宋" w:eastAsia="仿宋"/>
          <w:bCs/>
          <w:sz w:val="32"/>
          <w:szCs w:val="32"/>
        </w:rPr>
        <w:t>万元，</w:t>
      </w:r>
      <w:r>
        <w:rPr>
          <w:rFonts w:hint="eastAsia" w:ascii="仿宋" w:hAnsi="仿宋" w:eastAsia="仿宋" w:cs="仿宋"/>
          <w:bCs/>
          <w:sz w:val="32"/>
          <w:szCs w:val="32"/>
        </w:rPr>
        <w:t>其中基本支出</w:t>
      </w:r>
      <w:r>
        <w:rPr>
          <w:rFonts w:hint="eastAsia" w:ascii="仿宋" w:hAnsi="仿宋" w:eastAsia="仿宋"/>
          <w:sz w:val="32"/>
          <w:szCs w:val="32"/>
        </w:rPr>
        <w:t>：人员经费 817.05万元，占基本支出的</w:t>
      </w:r>
      <w:r>
        <w:rPr>
          <w:rFonts w:hint="eastAsia" w:ascii="仿宋" w:hAnsi="仿宋" w:eastAsia="仿宋"/>
          <w:sz w:val="32"/>
          <w:szCs w:val="32"/>
          <w:lang w:val="en-US" w:eastAsia="zh-CN"/>
        </w:rPr>
        <w:t>81.06</w:t>
      </w:r>
      <w:r>
        <w:rPr>
          <w:rFonts w:hint="eastAsia" w:ascii="仿宋" w:hAnsi="仿宋" w:eastAsia="仿宋"/>
          <w:sz w:val="32"/>
          <w:szCs w:val="32"/>
        </w:rPr>
        <w:t>%，</w:t>
      </w:r>
      <w:r>
        <w:rPr>
          <w:rFonts w:hint="eastAsia" w:ascii="仿宋" w:hAnsi="仿宋" w:eastAsia="仿宋"/>
          <w:bCs/>
          <w:sz w:val="32"/>
          <w:szCs w:val="32"/>
        </w:rPr>
        <w:t>主要包括：基本工资、津补贴、奖金、伙食补助费、机关事业单位基本养老保险费、职工基本医疗保险缴费、住房公积金、医疗费、其他工资福利支出及生活补助等。</w:t>
      </w:r>
      <w:r>
        <w:rPr>
          <w:rFonts w:hint="eastAsia" w:ascii="仿宋" w:hAnsi="仿宋" w:eastAsia="仿宋"/>
          <w:sz w:val="32"/>
          <w:szCs w:val="32"/>
        </w:rPr>
        <w:t>公用经费138.86万元，占基本支出的</w:t>
      </w:r>
      <w:r>
        <w:rPr>
          <w:rFonts w:hint="eastAsia" w:ascii="仿宋" w:hAnsi="仿宋" w:eastAsia="仿宋"/>
          <w:sz w:val="32"/>
          <w:szCs w:val="32"/>
          <w:lang w:val="en-US" w:eastAsia="zh-CN"/>
        </w:rPr>
        <w:t>13.78</w:t>
      </w:r>
      <w:r>
        <w:rPr>
          <w:rFonts w:hint="eastAsia" w:ascii="仿宋" w:hAnsi="仿宋" w:eastAsia="仿宋"/>
          <w:sz w:val="32"/>
          <w:szCs w:val="32"/>
        </w:rPr>
        <w:t>%，</w:t>
      </w:r>
      <w:r>
        <w:rPr>
          <w:rFonts w:hint="eastAsia" w:ascii="仿宋" w:hAnsi="仿宋" w:eastAsia="仿宋"/>
          <w:bCs/>
          <w:sz w:val="32"/>
          <w:szCs w:val="32"/>
        </w:rPr>
        <w:t>；主要包括：办公费、印刷费、电费、邮电费、差旅费、</w:t>
      </w:r>
      <w:r>
        <w:rPr>
          <w:rFonts w:hint="eastAsia" w:ascii="仿宋" w:hAnsi="仿宋" w:eastAsia="仿宋"/>
          <w:sz w:val="32"/>
          <w:szCs w:val="32"/>
        </w:rPr>
        <w:t>培训费、公务接待费、工会经费、福利费、其他商品和服务支出。其他支出52万元，占基本支出的5.16%，</w:t>
      </w:r>
      <w:r>
        <w:rPr>
          <w:rFonts w:hint="eastAsia" w:ascii="仿宋" w:hAnsi="仿宋" w:eastAsia="仿宋"/>
          <w:bCs/>
          <w:sz w:val="32"/>
          <w:szCs w:val="32"/>
        </w:rPr>
        <w:t>主要包括：危房改造资金退回预算外支出等。</w:t>
      </w:r>
    </w:p>
    <w:p w14:paraId="1A73FFAB">
      <w:pPr>
        <w:pStyle w:val="11"/>
        <w:widowControl/>
        <w:numPr>
          <w:ilvl w:val="0"/>
          <w:numId w:val="2"/>
        </w:numPr>
        <w:spacing w:line="600" w:lineRule="exact"/>
        <w:ind w:left="1079" w:leftChars="0" w:hanging="309" w:firstLineChars="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项目支出情况</w:t>
      </w:r>
    </w:p>
    <w:p w14:paraId="2A593E70">
      <w:pPr>
        <w:snapToGrid w:val="0"/>
        <w:spacing w:line="520" w:lineRule="exact"/>
        <w:ind w:firstLine="960" w:firstLineChars="300"/>
        <w:rPr>
          <w:rFonts w:ascii="仿宋" w:hAnsi="仿宋" w:eastAsia="仿宋"/>
          <w:bCs/>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 xml:space="preserve">年度本部门项目支出 </w:t>
      </w:r>
      <w:r>
        <w:rPr>
          <w:rFonts w:hint="eastAsia" w:ascii="仿宋" w:hAnsi="仿宋" w:eastAsia="仿宋"/>
          <w:sz w:val="32"/>
          <w:szCs w:val="32"/>
          <w:lang w:val="en-US" w:eastAsia="zh-CN"/>
        </w:rPr>
        <w:t>16503.88</w:t>
      </w:r>
      <w:r>
        <w:rPr>
          <w:rFonts w:hint="eastAsia" w:ascii="仿宋" w:hAnsi="仿宋" w:eastAsia="仿宋"/>
          <w:sz w:val="32"/>
          <w:szCs w:val="32"/>
        </w:rPr>
        <w:t>万元</w:t>
      </w:r>
      <w:r>
        <w:rPr>
          <w:rFonts w:hint="eastAsia" w:ascii="仿宋" w:hAnsi="仿宋" w:eastAsia="仿宋"/>
          <w:sz w:val="32"/>
          <w:szCs w:val="32"/>
          <w:lang w:eastAsia="zh-CN"/>
        </w:rPr>
        <w:t>，项目资金做专款专用。</w:t>
      </w:r>
      <w:r>
        <w:rPr>
          <w:rFonts w:hint="eastAsia" w:ascii="仿宋" w:hAnsi="仿宋" w:eastAsia="仿宋"/>
          <w:sz w:val="32"/>
          <w:szCs w:val="32"/>
        </w:rPr>
        <w:t>其中</w:t>
      </w:r>
      <w:r>
        <w:rPr>
          <w:rFonts w:hint="eastAsia" w:ascii="仿宋" w:hAnsi="仿宋" w:eastAsia="仿宋" w:cs="仿宋"/>
          <w:sz w:val="32"/>
          <w:szCs w:val="32"/>
        </w:rPr>
        <w:t>一般公共预算财政拨款支出</w:t>
      </w:r>
      <w:r>
        <w:rPr>
          <w:rFonts w:hint="eastAsia" w:ascii="仿宋" w:hAnsi="仿宋" w:eastAsia="仿宋" w:cs="仿宋"/>
          <w:sz w:val="32"/>
          <w:szCs w:val="32"/>
          <w:lang w:val="en-US" w:eastAsia="zh-CN"/>
        </w:rPr>
        <w:t>4217.84</w:t>
      </w:r>
      <w:r>
        <w:rPr>
          <w:rFonts w:hint="eastAsia" w:ascii="仿宋" w:hAnsi="仿宋" w:eastAsia="仿宋" w:cs="仿宋"/>
          <w:sz w:val="32"/>
          <w:szCs w:val="32"/>
        </w:rPr>
        <w:t>万元，主要用于污水整治及运营、农村危房改造</w:t>
      </w:r>
      <w:r>
        <w:rPr>
          <w:rFonts w:hint="eastAsia" w:ascii="仿宋" w:hAnsi="仿宋" w:eastAsia="仿宋" w:cs="仿宋"/>
          <w:sz w:val="32"/>
          <w:szCs w:val="32"/>
          <w:lang w:eastAsia="zh-CN"/>
        </w:rPr>
        <w:t>、甘塘坡巷子老旧小区配套改造、</w:t>
      </w:r>
      <w:r>
        <w:rPr>
          <w:rFonts w:hint="eastAsia" w:ascii="仿宋" w:hAnsi="仿宋" w:eastAsia="仿宋" w:cs="仿宋"/>
          <w:sz w:val="32"/>
          <w:szCs w:val="32"/>
        </w:rPr>
        <w:t>杨梅港综合治理等项目；政府性基金财政拨款支出</w:t>
      </w:r>
      <w:r>
        <w:rPr>
          <w:rFonts w:hint="eastAsia" w:ascii="仿宋" w:eastAsia="仿宋" w:cs="仿宋"/>
          <w:sz w:val="28"/>
          <w:szCs w:val="28"/>
        </w:rPr>
        <w:t>12055.36</w:t>
      </w:r>
      <w:r>
        <w:rPr>
          <w:rFonts w:hint="eastAsia" w:ascii="仿宋" w:hAnsi="仿宋" w:eastAsia="仿宋" w:cs="仿宋"/>
          <w:sz w:val="32"/>
          <w:szCs w:val="32"/>
        </w:rPr>
        <w:t>万元，主要用于渌口镇东西片区市政排污管网建设项目</w:t>
      </w:r>
      <w:r>
        <w:rPr>
          <w:rFonts w:hint="eastAsia" w:ascii="仿宋" w:hAnsi="仿宋" w:eastAsia="仿宋" w:cs="仿宋"/>
          <w:sz w:val="32"/>
          <w:szCs w:val="32"/>
          <w:lang w:eastAsia="zh-CN"/>
        </w:rPr>
        <w:t>、</w:t>
      </w:r>
      <w:r>
        <w:rPr>
          <w:rFonts w:hint="eastAsia" w:ascii="仿宋" w:hAnsi="仿宋" w:eastAsia="仿宋" w:cs="仿宋"/>
          <w:sz w:val="32"/>
          <w:szCs w:val="32"/>
        </w:rPr>
        <w:t>梅子湖综合开发项目</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湾塘110KV输变电配套附属工程</w:t>
      </w:r>
      <w:r>
        <w:rPr>
          <w:rFonts w:hint="eastAsia" w:ascii="仿宋" w:hAnsi="仿宋" w:eastAsia="仿宋" w:cs="仿宋"/>
          <w:sz w:val="32"/>
          <w:szCs w:val="32"/>
        </w:rPr>
        <w:t>等</w:t>
      </w:r>
      <w:r>
        <w:rPr>
          <w:rFonts w:hint="eastAsia" w:ascii="仿宋" w:hAnsi="仿宋" w:eastAsia="仿宋" w:cs="仿宋"/>
          <w:sz w:val="32"/>
          <w:szCs w:val="32"/>
          <w:lang w:eastAsia="zh-CN"/>
        </w:rPr>
        <w:t>；其他支出</w:t>
      </w:r>
      <w:r>
        <w:rPr>
          <w:rFonts w:hint="eastAsia" w:ascii="仿宋" w:hAnsi="仿宋" w:eastAsia="仿宋" w:cs="仿宋"/>
          <w:sz w:val="32"/>
          <w:szCs w:val="32"/>
          <w:lang w:val="en-US" w:eastAsia="zh-CN"/>
        </w:rPr>
        <w:t>230.68万元，主要用于</w:t>
      </w:r>
      <w:r>
        <w:rPr>
          <w:rFonts w:hint="eastAsia" w:ascii="仿宋" w:eastAsia="仿宋" w:cs="仿宋"/>
          <w:sz w:val="32"/>
          <w:szCs w:val="32"/>
        </w:rPr>
        <w:t>梅子湖综合开发、</w:t>
      </w:r>
      <w:r>
        <w:rPr>
          <w:rFonts w:hint="eastAsia" w:ascii="仿宋" w:eastAsia="仿宋" w:cs="仿宋"/>
          <w:sz w:val="32"/>
          <w:szCs w:val="32"/>
          <w:lang w:eastAsia="zh-CN"/>
        </w:rPr>
        <w:t>水环境综合治理</w:t>
      </w:r>
      <w:r>
        <w:rPr>
          <w:rFonts w:hint="eastAsia" w:ascii="仿宋" w:eastAsia="仿宋" w:cs="仿宋"/>
          <w:sz w:val="32"/>
          <w:szCs w:val="32"/>
          <w:lang w:val="en-US" w:eastAsia="zh-CN"/>
        </w:rPr>
        <w:t>PPP项目、工人文化宫</w:t>
      </w:r>
      <w:r>
        <w:rPr>
          <w:rFonts w:hint="eastAsia" w:ascii="仿宋" w:eastAsia="仿宋" w:cs="仿宋"/>
          <w:sz w:val="32"/>
          <w:szCs w:val="32"/>
        </w:rPr>
        <w:t>等项目</w:t>
      </w:r>
      <w:r>
        <w:rPr>
          <w:rFonts w:hint="eastAsia" w:ascii="仿宋" w:eastAsia="仿宋" w:cs="仿宋"/>
          <w:sz w:val="32"/>
          <w:szCs w:val="32"/>
          <w:lang w:eastAsia="zh-CN"/>
        </w:rPr>
        <w:t>前期费用</w:t>
      </w:r>
      <w:r>
        <w:rPr>
          <w:rFonts w:hint="eastAsia" w:ascii="仿宋" w:eastAsia="仿宋" w:cs="仿宋"/>
          <w:sz w:val="32"/>
          <w:szCs w:val="32"/>
        </w:rPr>
        <w:t>。</w:t>
      </w:r>
    </w:p>
    <w:p w14:paraId="69C82685">
      <w:pPr>
        <w:keepNext w:val="0"/>
        <w:keepLines w:val="0"/>
        <w:widowControl w:val="0"/>
        <w:suppressLineNumbers w:val="0"/>
        <w:spacing w:before="0" w:beforeAutospacing="0" w:after="0" w:afterAutospacing="0" w:line="600" w:lineRule="exact"/>
        <w:ind w:right="0" w:firstLine="960" w:firstLineChars="30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三、部门整体支出绩效情况</w:t>
      </w:r>
    </w:p>
    <w:p w14:paraId="6D7A7C12">
      <w:pPr>
        <w:keepNext w:val="0"/>
        <w:keepLines w:val="0"/>
        <w:pageBreakBefore w:val="0"/>
        <w:widowControl w:val="0"/>
        <w:kinsoku/>
        <w:wordWrap/>
        <w:overflowPunct/>
        <w:topLinePunct w:val="0"/>
        <w:autoSpaceDE/>
        <w:autoSpaceDN/>
        <w:bidi w:val="0"/>
        <w:adjustRightInd/>
        <w:snapToGrid/>
        <w:spacing w:line="560" w:lineRule="exact"/>
        <w:ind w:firstLine="641" w:firstLineChars="200"/>
        <w:jc w:val="both"/>
        <w:textAlignment w:val="auto"/>
        <w:rPr>
          <w:rFonts w:hint="eastAsia" w:ascii="仿宋" w:hAnsi="仿宋" w:eastAsia="仿宋" w:cs="仿宋"/>
          <w:sz w:val="32"/>
          <w:szCs w:val="32"/>
          <w:lang w:val="en-US" w:eastAsia="zh-CN"/>
        </w:rPr>
      </w:pPr>
      <w:r>
        <w:rPr>
          <w:rFonts w:hint="eastAsia" w:ascii="华文楷体" w:hAnsi="华文楷体" w:eastAsia="华文楷体" w:cs="华文楷体"/>
          <w:b/>
          <w:bCs/>
          <w:color w:val="000000"/>
          <w:sz w:val="32"/>
          <w:szCs w:val="32"/>
          <w:lang w:val="en-US" w:eastAsia="zh-CN"/>
        </w:rPr>
        <w:t>（一）工作亮点。</w:t>
      </w:r>
      <w:r>
        <w:rPr>
          <w:rFonts w:hint="eastAsia" w:ascii="仿宋" w:hAnsi="仿宋" w:eastAsia="仿宋" w:cs="仿宋"/>
          <w:sz w:val="32"/>
          <w:szCs w:val="32"/>
          <w:lang w:val="en-US" w:eastAsia="zh-CN"/>
        </w:rPr>
        <w:t>规范村民建房工作获慧泉书记批示推广渌口经验；推进“六即改革”落实“竣工一件事”助力企业加速奔跑工作亮点获株洲市“作风建设年”活动第7期简报刊发；区住建局邀请人大代表、社区工作人员、广大住户对改造项目进行有效监督工作亮点获2023年上半年全市城镇老旧小区改造调研督导通报；区自建房整治销号工作获市自建房安全专项整治“百日攻坚”行动工作简报、全市自建房安全整治工作督导考评经验推广，新建自建房规范管理工作经验被推选为第全省三阶段考评正面典型案例；渌口区三季度海绵城市建设暨雨污分流改造工作全市排名第一。</w:t>
      </w:r>
    </w:p>
    <w:p w14:paraId="06F1D0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200"/>
        <w:textAlignment w:val="auto"/>
        <w:rPr>
          <w:rFonts w:hint="eastAsia" w:ascii="华文楷体" w:hAnsi="华文楷体" w:eastAsia="华文楷体" w:cs="华文楷体"/>
          <w:b/>
          <w:bCs/>
          <w:color w:val="000000"/>
          <w:sz w:val="32"/>
          <w:szCs w:val="32"/>
          <w:lang w:val="en-US" w:eastAsia="zh-CN"/>
        </w:rPr>
      </w:pPr>
      <w:r>
        <w:rPr>
          <w:rFonts w:hint="eastAsia" w:ascii="华文楷体" w:hAnsi="华文楷体" w:eastAsia="华文楷体" w:cs="华文楷体"/>
          <w:b/>
          <w:bCs/>
          <w:color w:val="000000"/>
          <w:sz w:val="32"/>
          <w:szCs w:val="32"/>
          <w:lang w:val="en-US" w:eastAsia="zh-CN"/>
        </w:rPr>
        <w:t>（二）重点工作完成情况。</w:t>
      </w:r>
    </w:p>
    <w:p w14:paraId="70E69A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一是着力塑特色、提品质，城乡建设有新进展。</w:t>
      </w:r>
      <w:r>
        <w:rPr>
          <w:rFonts w:hint="eastAsia" w:ascii="仿宋" w:hAnsi="仿宋" w:eastAsia="仿宋" w:cs="仿宋"/>
          <w:b/>
          <w:sz w:val="32"/>
          <w:szCs w:val="32"/>
        </w:rPr>
        <w:t>城市更新</w:t>
      </w:r>
      <w:r>
        <w:rPr>
          <w:rFonts w:hint="eastAsia" w:ascii="仿宋" w:hAnsi="仿宋" w:eastAsia="仿宋" w:cs="仿宋"/>
          <w:b/>
          <w:sz w:val="32"/>
          <w:szCs w:val="32"/>
          <w:lang w:eastAsia="zh-CN"/>
        </w:rPr>
        <w:t>加快落实</w:t>
      </w:r>
      <w:r>
        <w:rPr>
          <w:rFonts w:hint="eastAsia" w:ascii="仿宋" w:hAnsi="仿宋" w:eastAsia="仿宋" w:cs="仿宋"/>
          <w:b/>
          <w:sz w:val="32"/>
          <w:szCs w:val="32"/>
        </w:rPr>
        <w:t>。</w:t>
      </w:r>
      <w:r>
        <w:rPr>
          <w:rFonts w:hint="eastAsia" w:ascii="仿宋" w:hAnsi="仿宋" w:eastAsia="仿宋" w:cs="仿宋"/>
          <w:sz w:val="32"/>
          <w:szCs w:val="32"/>
          <w:lang w:val="en-US" w:eastAsia="zh-CN"/>
        </w:rPr>
        <w:t>获得市海绵城市建设示范城市计划奖补资金1511.55万元，今年</w:t>
      </w:r>
      <w:r>
        <w:rPr>
          <w:rFonts w:hint="eastAsia" w:ascii="仿宋" w:hAnsi="仿宋" w:eastAsia="仿宋" w:cs="仿宋"/>
          <w:color w:val="auto"/>
          <w:kern w:val="0"/>
          <w:sz w:val="32"/>
          <w:szCs w:val="32"/>
          <w:lang w:val="en-US" w:eastAsia="zh-CN" w:bidi="ar-SA"/>
        </w:rPr>
        <w:t>污水管网建设改造完成率79.1%，管网缺陷完成率76%，错混接点完成率66.5%。</w:t>
      </w:r>
      <w:r>
        <w:rPr>
          <w:rFonts w:hint="eastAsia" w:ascii="仿宋" w:hAnsi="仿宋" w:eastAsia="仿宋" w:cs="仿宋"/>
          <w:sz w:val="32"/>
          <w:szCs w:val="32"/>
          <w:lang w:val="en-US" w:eastAsia="zh-CN"/>
        </w:rPr>
        <w:t>航空大道和</w:t>
      </w:r>
      <w:r>
        <w:rPr>
          <w:rFonts w:hint="eastAsia" w:ascii="仿宋" w:hAnsi="仿宋" w:eastAsia="仿宋" w:cs="仿宋"/>
          <w:color w:val="auto"/>
          <w:kern w:val="0"/>
          <w:sz w:val="32"/>
          <w:szCs w:val="32"/>
          <w:lang w:val="en-US" w:eastAsia="zh-CN" w:bidi="ar-SA"/>
        </w:rPr>
        <w:t>接龙桥社区配改项目按照海绵城市建设要求正在进行整改，</w:t>
      </w:r>
      <w:r>
        <w:rPr>
          <w:rFonts w:hint="eastAsia" w:ascii="仿宋" w:hAnsi="仿宋" w:eastAsia="仿宋" w:cs="仿宋"/>
          <w:sz w:val="32"/>
          <w:szCs w:val="32"/>
          <w:lang w:val="en-US" w:eastAsia="zh-CN"/>
        </w:rPr>
        <w:t>中央时代广场等内涝点得到切实整治，海绵城市建设任务加速落地见效。</w:t>
      </w:r>
      <w:r>
        <w:rPr>
          <w:rFonts w:hint="eastAsia" w:ascii="仿宋" w:hAnsi="仿宋" w:eastAsia="仿宋" w:cs="仿宋"/>
          <w:color w:val="000000"/>
          <w:sz w:val="32"/>
          <w:szCs w:val="32"/>
          <w:lang w:val="en-US" w:eastAsia="zh-CN"/>
        </w:rPr>
        <w:t>老旧小区配套设施改造等专项行动稳步推进，已完成9个，分别为渌口镇向阳社区的教师新村、农综办、大米厂宿舍、农业局宿舍，渌口镇接龙桥社区的老公安宿舍、民政局宿舍及渌口镇伏波社区的食用菌宿舍、国家军粮宿舍、妇幼宿舍，另有8个老旧小区正在进行改造，总投资约2千万元。</w:t>
      </w:r>
      <w:r>
        <w:rPr>
          <w:rFonts w:hint="eastAsia" w:ascii="仿宋" w:hAnsi="仿宋" w:eastAsia="仿宋" w:cs="仿宋"/>
          <w:b/>
          <w:sz w:val="32"/>
          <w:szCs w:val="32"/>
        </w:rPr>
        <w:t>项目建设</w:t>
      </w:r>
      <w:r>
        <w:rPr>
          <w:rFonts w:hint="eastAsia" w:ascii="仿宋" w:hAnsi="仿宋" w:eastAsia="仿宋" w:cs="仿宋"/>
          <w:b/>
          <w:sz w:val="32"/>
          <w:szCs w:val="32"/>
          <w:lang w:eastAsia="zh-CN"/>
        </w:rPr>
        <w:t>加速推进。</w:t>
      </w:r>
      <w:r>
        <w:rPr>
          <w:rFonts w:hint="eastAsia" w:ascii="仿宋" w:hAnsi="仿宋" w:eastAsia="仿宋" w:cs="仿宋"/>
          <w:sz w:val="32"/>
          <w:szCs w:val="32"/>
          <w:lang w:val="en-US" w:eastAsia="zh-CN"/>
        </w:rPr>
        <w:t>“双碳”电网建设配套电缆管沟项目、甘塘坡巷子小区基础设施配套改造项目、漉湖西湖北岸及</w:t>
      </w:r>
      <w:r>
        <w:rPr>
          <w:rFonts w:hint="eastAsia" w:ascii="仿宋" w:hAnsi="仿宋" w:eastAsia="仿宋" w:cs="仿宋"/>
          <w:color w:val="000000"/>
          <w:sz w:val="32"/>
          <w:szCs w:val="32"/>
          <w:lang w:val="en-US" w:eastAsia="zh-CN"/>
        </w:rPr>
        <w:t>湖水路、渌水流域杨梅港综合治理工程项目、</w:t>
      </w:r>
      <w:r>
        <w:rPr>
          <w:rFonts w:hint="eastAsia" w:ascii="仿宋" w:hAnsi="仿宋" w:eastAsia="仿宋" w:cs="仿宋"/>
          <w:sz w:val="32"/>
          <w:szCs w:val="32"/>
          <w:lang w:val="en-US" w:eastAsia="zh-CN"/>
        </w:rPr>
        <w:t>电力路由项目等5个项目新开工，</w:t>
      </w:r>
      <w:r>
        <w:rPr>
          <w:rFonts w:hint="eastAsia" w:ascii="仿宋" w:hAnsi="仿宋" w:eastAsia="仿宋" w:cs="仿宋"/>
          <w:color w:val="000000"/>
          <w:sz w:val="32"/>
          <w:szCs w:val="32"/>
          <w:lang w:val="en-US" w:eastAsia="zh-CN"/>
        </w:rPr>
        <w:t>湾塘110千伏输变电配套附属工程项目、</w:t>
      </w:r>
      <w:r>
        <w:rPr>
          <w:rFonts w:hint="eastAsia" w:ascii="仿宋" w:hAnsi="仿宋" w:eastAsia="仿宋" w:cs="仿宋"/>
          <w:sz w:val="32"/>
          <w:szCs w:val="32"/>
          <w:lang w:val="en-US" w:eastAsia="zh-CN"/>
        </w:rPr>
        <w:t>机关幼儿园主体部分、</w:t>
      </w:r>
      <w:r>
        <w:rPr>
          <w:rFonts w:hint="eastAsia" w:ascii="仿宋" w:hAnsi="仿宋" w:eastAsia="仿宋" w:cs="仿宋"/>
          <w:kern w:val="0"/>
          <w:sz w:val="32"/>
          <w:szCs w:val="32"/>
          <w:lang w:val="en-US" w:eastAsia="zh-CN" w:bidi="ar-SA"/>
        </w:rPr>
        <w:t>王家洲污水处理厂扩建工程、供水安全保障应急工程、</w:t>
      </w:r>
      <w:r>
        <w:rPr>
          <w:rFonts w:hint="eastAsia" w:ascii="仿宋" w:hAnsi="仿宋" w:eastAsia="仿宋" w:cs="仿宋"/>
          <w:color w:val="000000"/>
          <w:sz w:val="32"/>
          <w:szCs w:val="32"/>
          <w:lang w:val="en-US" w:eastAsia="zh-CN"/>
        </w:rPr>
        <w:t>渌水流域杨梅港综合治理工程项目</w:t>
      </w:r>
      <w:r>
        <w:rPr>
          <w:rFonts w:hint="eastAsia" w:ascii="仿宋" w:hAnsi="仿宋" w:eastAsia="仿宋" w:cs="仿宋"/>
          <w:sz w:val="32"/>
          <w:szCs w:val="32"/>
          <w:lang w:val="en-US" w:eastAsia="zh-CN"/>
        </w:rPr>
        <w:t>如期完工。城市畅通行动全面展开，渌枫大道、黄金东路、东园大道“尽端式道路”今年相继通车。</w:t>
      </w:r>
    </w:p>
    <w:p w14:paraId="5B3AA054">
      <w:pPr>
        <w:pStyle w:val="2"/>
        <w:keepNext w:val="0"/>
        <w:keepLines w:val="0"/>
        <w:pageBreakBefore w:val="0"/>
        <w:kinsoku/>
        <w:wordWrap/>
        <w:topLinePunct w:val="0"/>
        <w:bidi w:val="0"/>
        <w:adjustRightInd w:val="0"/>
        <w:spacing w:line="560" w:lineRule="exact"/>
        <w:ind w:firstLine="640" w:firstLineChars="200"/>
        <w:rPr>
          <w:rFonts w:hint="eastAsia" w:ascii="仿宋" w:hAnsi="仿宋" w:eastAsia="仿宋" w:cs="仿宋"/>
          <w:sz w:val="32"/>
          <w:szCs w:val="32"/>
          <w:lang w:val="en-US" w:eastAsia="zh-CN"/>
        </w:rPr>
      </w:pPr>
      <w:r>
        <w:rPr>
          <w:rFonts w:hint="eastAsia" w:ascii="楷体" w:hAnsi="楷体" w:eastAsia="楷体" w:cs="楷体"/>
          <w:kern w:val="2"/>
          <w:sz w:val="32"/>
          <w:szCs w:val="32"/>
          <w:lang w:val="en-US" w:eastAsia="zh-CN" w:bidi="ar-SA"/>
        </w:rPr>
        <w:t>二是着力化风险、强保障，住房发展有新成效。</w:t>
      </w:r>
      <w:r>
        <w:rPr>
          <w:rFonts w:hint="eastAsia" w:ascii="仿宋" w:hAnsi="仿宋" w:eastAsia="仿宋" w:cs="仿宋"/>
          <w:b/>
          <w:kern w:val="2"/>
          <w:sz w:val="32"/>
          <w:szCs w:val="32"/>
          <w:lang w:val="en-US" w:eastAsia="zh-CN" w:bidi="ar-SA"/>
        </w:rPr>
        <w:t>信访问题持续化解</w:t>
      </w:r>
      <w:r>
        <w:rPr>
          <w:rFonts w:hint="eastAsia" w:ascii="仿宋" w:hAnsi="仿宋" w:eastAsia="仿宋" w:cs="仿宋"/>
          <w:b/>
          <w:sz w:val="30"/>
          <w:szCs w:val="30"/>
        </w:rPr>
        <w:t>。</w:t>
      </w:r>
      <w:r>
        <w:rPr>
          <w:rFonts w:hint="eastAsia" w:ascii="仿宋" w:hAnsi="仿宋" w:eastAsia="仿宋" w:cs="仿宋"/>
          <w:sz w:val="32"/>
          <w:szCs w:val="32"/>
          <w:lang w:val="en-US" w:eastAsia="zh-CN"/>
        </w:rPr>
        <w:t>聚焦“保交楼、保民生、保稳定”目标，全力推动蓝谷小镇、都会中心、百盛嘉园等问题项目复工复产和群众信访问题处理。</w:t>
      </w:r>
      <w:r>
        <w:rPr>
          <w:rFonts w:hint="eastAsia" w:ascii="仿宋" w:hAnsi="仿宋" w:eastAsia="仿宋" w:cs="仿宋"/>
          <w:b/>
          <w:kern w:val="2"/>
          <w:sz w:val="32"/>
          <w:szCs w:val="32"/>
          <w:lang w:val="en-US" w:eastAsia="zh-CN" w:bidi="ar-SA"/>
        </w:rPr>
        <w:t>村民建房持续优化。</w:t>
      </w:r>
      <w:r>
        <w:rPr>
          <w:rFonts w:hint="eastAsia" w:ascii="仿宋" w:hAnsi="仿宋" w:eastAsia="仿宋" w:cs="仿宋"/>
          <w:sz w:val="32"/>
          <w:szCs w:val="32"/>
          <w:lang w:val="en-US" w:eastAsia="zh-CN"/>
        </w:rPr>
        <w:t>农村建房管理人员培训进一步增强，上半年</w:t>
      </w:r>
      <w:r>
        <w:rPr>
          <w:rFonts w:hint="eastAsia" w:ascii="仿宋" w:hAnsi="仿宋" w:eastAsia="仿宋" w:cs="仿宋"/>
          <w:b w:val="0"/>
          <w:bCs w:val="0"/>
          <w:kern w:val="2"/>
          <w:sz w:val="32"/>
          <w:szCs w:val="32"/>
          <w:lang w:val="en-US" w:eastAsia="zh-CN" w:bidi="ar-SA"/>
        </w:rPr>
        <w:t>共培训合格工匠229名，</w:t>
      </w:r>
      <w:r>
        <w:rPr>
          <w:rFonts w:hint="eastAsia" w:ascii="仿宋" w:hAnsi="仿宋" w:eastAsia="仿宋" w:cs="仿宋"/>
          <w:sz w:val="32"/>
          <w:szCs w:val="32"/>
          <w:lang w:val="en-US" w:eastAsia="zh-CN"/>
        </w:rPr>
        <w:t>出台《村民建房的实施方案》《乡村建设工匠管理办法》，编制建房风貌图集，开展安全专项抽查检查近百人次，兑现3000元/户奖励49户14.7万元。22户农村危房改造任务全面完成，顺利通过竣工验收并拨付补助资金43.3万元。</w:t>
      </w:r>
      <w:r>
        <w:rPr>
          <w:rFonts w:hint="eastAsia" w:ascii="仿宋" w:hAnsi="仿宋" w:eastAsia="仿宋" w:cs="仿宋"/>
          <w:b w:val="0"/>
          <w:bCs w:val="0"/>
          <w:kern w:val="2"/>
          <w:sz w:val="32"/>
          <w:szCs w:val="32"/>
          <w:lang w:val="en-US" w:eastAsia="zh-CN" w:bidi="ar-SA"/>
        </w:rPr>
        <w:t>组织本地建筑施工企业及各在建工程建设、监理、施工单位有关负责人共50余人就安全生产知识进行培训。</w:t>
      </w:r>
    </w:p>
    <w:p w14:paraId="4013A569">
      <w:pPr>
        <w:spacing w:line="560" w:lineRule="exact"/>
        <w:ind w:firstLine="640" w:firstLineChars="200"/>
        <w:rPr>
          <w:rFonts w:hint="eastAsia" w:ascii="仿宋" w:hAnsi="仿宋" w:eastAsia="仿宋" w:cs="仿宋"/>
          <w:sz w:val="32"/>
          <w:szCs w:val="32"/>
          <w:lang w:val="en-US" w:eastAsia="zh-CN"/>
        </w:rPr>
      </w:pPr>
      <w:r>
        <w:rPr>
          <w:rFonts w:hint="eastAsia" w:ascii="楷体" w:hAnsi="楷体" w:eastAsia="楷体" w:cs="楷体"/>
          <w:kern w:val="2"/>
          <w:sz w:val="32"/>
          <w:szCs w:val="32"/>
          <w:lang w:val="en-US" w:eastAsia="zh-CN" w:bidi="ar-SA"/>
        </w:rPr>
        <w:t>三是着力补短板、强弱项，城乡环境有新改善。</w:t>
      </w:r>
      <w:r>
        <w:rPr>
          <w:rFonts w:hint="eastAsia" w:ascii="仿宋" w:hAnsi="仿宋" w:eastAsia="仿宋" w:cs="仿宋"/>
          <w:b/>
          <w:bCs/>
          <w:i w:val="0"/>
          <w:caps w:val="0"/>
          <w:color w:val="000000"/>
          <w:spacing w:val="0"/>
          <w:kern w:val="0"/>
          <w:sz w:val="32"/>
          <w:szCs w:val="32"/>
          <w:u w:val="none"/>
          <w:lang w:val="en-US" w:eastAsia="zh-CN" w:bidi="ar"/>
        </w:rPr>
        <w:t>环保问题有效整改。</w:t>
      </w:r>
      <w:r>
        <w:rPr>
          <w:rFonts w:hint="eastAsia" w:ascii="仿宋" w:hAnsi="仿宋" w:eastAsia="仿宋" w:cs="仿宋"/>
          <w:sz w:val="32"/>
          <w:szCs w:val="32"/>
          <w:lang w:val="en-US" w:eastAsia="zh-CN"/>
        </w:rPr>
        <w:t>今年中央第二轮环保督察反馈问题3个，已完成6个排口整治，补齐管网改造欠账9.383公里。全区供水管网改造1.53公里，乡镇污水处理设施实现全覆盖。全区供水管网漏损率控制在19%以内；生活污水集中收集率同比提高2个百分点。</w:t>
      </w:r>
      <w:r>
        <w:rPr>
          <w:rFonts w:hint="eastAsia" w:ascii="仿宋" w:hAnsi="仿宋" w:eastAsia="仿宋" w:cs="仿宋"/>
          <w:b w:val="0"/>
          <w:i w:val="0"/>
          <w:caps w:val="0"/>
          <w:color w:val="000000"/>
          <w:spacing w:val="0"/>
          <w:kern w:val="0"/>
          <w:sz w:val="32"/>
          <w:szCs w:val="32"/>
          <w:u w:val="none"/>
          <w:lang w:val="en-US" w:eastAsia="zh-CN" w:bidi="ar"/>
        </w:rPr>
        <w:t>南洲新区、主城区、湾塘片区、伏波片区4个片区雨污分流改造同步启动，完成王家洲污水处理厂4万吨每天扩容、2个提升泵站扩容，新建1座提升泵站，746个管网缺陷和669个错混接已完成90%。</w:t>
      </w:r>
      <w:r>
        <w:rPr>
          <w:rFonts w:hint="eastAsia" w:ascii="仿宋" w:hAnsi="仿宋" w:eastAsia="仿宋" w:cs="仿宋"/>
          <w:b/>
          <w:bCs/>
          <w:i w:val="0"/>
          <w:caps w:val="0"/>
          <w:color w:val="000000"/>
          <w:spacing w:val="0"/>
          <w:kern w:val="0"/>
          <w:sz w:val="32"/>
          <w:szCs w:val="32"/>
          <w:u w:val="none"/>
          <w:lang w:val="en-US" w:eastAsia="zh-CN" w:bidi="ar"/>
        </w:rPr>
        <w:t>黑臭水体全面解决。</w:t>
      </w:r>
      <w:r>
        <w:rPr>
          <w:rFonts w:hint="eastAsia" w:ascii="仿宋" w:hAnsi="仿宋" w:eastAsia="仿宋" w:cs="仿宋"/>
          <w:b w:val="0"/>
          <w:i w:val="0"/>
          <w:caps w:val="0"/>
          <w:color w:val="000000"/>
          <w:spacing w:val="0"/>
          <w:kern w:val="0"/>
          <w:sz w:val="32"/>
          <w:szCs w:val="32"/>
          <w:u w:val="none"/>
          <w:lang w:val="en-US" w:eastAsia="zh-CN" w:bidi="ar"/>
        </w:rPr>
        <w:t>按照系统解决、源头解决的原则，新建四方土提升泵站、对青龙港所有汇水港渠和末端片区进行了全覆盖整改，</w:t>
      </w:r>
      <w:r>
        <w:rPr>
          <w:rFonts w:hint="eastAsia" w:ascii="仿宋" w:hAnsi="仿宋" w:eastAsia="仿宋" w:cs="仿宋"/>
          <w:sz w:val="32"/>
          <w:szCs w:val="32"/>
          <w:lang w:val="en-US" w:eastAsia="zh-CN"/>
        </w:rPr>
        <w:t>“长制久清”局面逐步形成。</w:t>
      </w:r>
    </w:p>
    <w:p w14:paraId="4652687B">
      <w:pPr>
        <w:spacing w:line="560" w:lineRule="exact"/>
        <w:ind w:firstLine="640" w:firstLineChars="200"/>
        <w:rPr>
          <w:rFonts w:hint="eastAsia" w:ascii="仿宋" w:hAnsi="仿宋" w:eastAsia="仿宋" w:cs="仿宋"/>
          <w:sz w:val="32"/>
          <w:szCs w:val="32"/>
          <w:lang w:val="en-US" w:eastAsia="zh-CN"/>
        </w:rPr>
      </w:pPr>
      <w:r>
        <w:rPr>
          <w:rFonts w:hint="eastAsia" w:ascii="楷体" w:hAnsi="楷体" w:eastAsia="楷体" w:cs="楷体"/>
          <w:kern w:val="2"/>
          <w:sz w:val="32"/>
          <w:szCs w:val="32"/>
          <w:lang w:val="en-US" w:eastAsia="zh-CN" w:bidi="ar-SA"/>
        </w:rPr>
        <w:t>四是着力纾困难、促转型，产业发展有新亮点。</w:t>
      </w:r>
      <w:r>
        <w:rPr>
          <w:rFonts w:hint="eastAsia" w:ascii="仿宋" w:hAnsi="仿宋" w:eastAsia="仿宋" w:cs="仿宋"/>
          <w:b/>
          <w:sz w:val="32"/>
          <w:szCs w:val="32"/>
        </w:rPr>
        <w:t>市场主体培育</w:t>
      </w:r>
      <w:r>
        <w:rPr>
          <w:rFonts w:hint="eastAsia" w:ascii="仿宋" w:hAnsi="仿宋" w:eastAsia="仿宋" w:cs="仿宋"/>
          <w:b/>
          <w:sz w:val="32"/>
          <w:szCs w:val="32"/>
          <w:lang w:eastAsia="zh-CN"/>
        </w:rPr>
        <w:t>有效</w:t>
      </w:r>
      <w:r>
        <w:rPr>
          <w:rFonts w:hint="eastAsia" w:ascii="仿宋" w:hAnsi="仿宋" w:eastAsia="仿宋" w:cs="仿宋"/>
          <w:b/>
          <w:sz w:val="32"/>
          <w:szCs w:val="32"/>
        </w:rPr>
        <w:t>推进</w:t>
      </w:r>
      <w:r>
        <w:rPr>
          <w:rFonts w:hint="eastAsia" w:ascii="仿宋" w:hAnsi="仿宋" w:eastAsia="仿宋" w:cs="仿宋"/>
          <w:b/>
          <w:sz w:val="32"/>
          <w:szCs w:val="32"/>
          <w:lang w:eastAsia="zh-CN"/>
        </w:rPr>
        <w:t>。</w:t>
      </w:r>
      <w:r>
        <w:rPr>
          <w:rFonts w:hint="eastAsia" w:ascii="仿宋" w:hAnsi="仿宋" w:eastAsia="仿宋" w:cs="仿宋"/>
          <w:sz w:val="32"/>
          <w:szCs w:val="32"/>
          <w:lang w:val="en-US" w:eastAsia="zh-CN"/>
        </w:rPr>
        <w:t>全区建筑业累计完成建安总产值99.62亿元，全区累计完成税收6078.57万元。今年全区建筑业企业获株洲市建设工程神农奖17项、建筑施工安全生产标准化“年度项目考评优良施工工地”名单13项，湖南省建筑施工质量管理标准化“年度项目考评优良工地”13项。</w:t>
      </w:r>
      <w:r>
        <w:rPr>
          <w:rFonts w:hint="eastAsia" w:ascii="仿宋" w:hAnsi="仿宋" w:eastAsia="仿宋" w:cs="仿宋"/>
          <w:kern w:val="0"/>
          <w:sz w:val="32"/>
          <w:szCs w:val="32"/>
          <w:lang w:val="en-US" w:eastAsia="zh-CN" w:bidi="ar-SA"/>
        </w:rPr>
        <w:t>对309家建筑业小微企业信息进行了摸排并建立了台账，通过“渌口区建筑业小微企业服务工作群”收集解决困难诉求近百个。</w:t>
      </w:r>
      <w:r>
        <w:rPr>
          <w:rFonts w:hint="eastAsia" w:ascii="仿宋" w:hAnsi="仿宋" w:eastAsia="仿宋" w:cs="仿宋"/>
          <w:sz w:val="32"/>
          <w:szCs w:val="32"/>
          <w:rtl w:val="0"/>
          <w:lang w:val="en-US" w:eastAsia="zh-CN"/>
        </w:rPr>
        <w:t>筑企通引进企业29家，个体户219家，完成税收1209万（2023年度）。</w:t>
      </w:r>
      <w:r>
        <w:rPr>
          <w:rFonts w:hint="eastAsia" w:ascii="仿宋" w:hAnsi="仿宋" w:eastAsia="仿宋" w:cs="仿宋"/>
          <w:sz w:val="32"/>
          <w:szCs w:val="32"/>
          <w:lang w:val="en-US" w:eastAsia="zh-CN"/>
        </w:rPr>
        <w:t>2023年“四上”企业培育目标为5家，新增完成率100%。</w:t>
      </w:r>
      <w:r>
        <w:rPr>
          <w:rFonts w:hint="eastAsia" w:ascii="仿宋" w:hAnsi="仿宋" w:eastAsia="仿宋" w:cs="仿宋"/>
          <w:b/>
          <w:sz w:val="32"/>
          <w:szCs w:val="32"/>
          <w:lang w:val="en-US" w:eastAsia="zh-CN"/>
        </w:rPr>
        <w:t>绿色建筑助推落地。</w:t>
      </w:r>
      <w:r>
        <w:rPr>
          <w:rFonts w:hint="eastAsia" w:ascii="仿宋" w:hAnsi="仿宋" w:eastAsia="仿宋" w:cs="仿宋"/>
          <w:sz w:val="32"/>
          <w:szCs w:val="32"/>
          <w:lang w:val="en-US" w:eastAsia="zh-CN"/>
        </w:rPr>
        <w:t>新增装配式建筑开工面积4.98万平米，占新开工建筑面积比高达84.5%，绿色建筑100%落实到位，节能满足国家规定65%要求。</w:t>
      </w:r>
    </w:p>
    <w:p w14:paraId="015902A8">
      <w:pPr>
        <w:ind w:firstLine="640" w:firstLineChars="200"/>
        <w:rPr>
          <w:rFonts w:hint="eastAsia" w:ascii="仿宋" w:hAnsi="仿宋" w:eastAsia="仿宋" w:cs="仿宋"/>
          <w:sz w:val="32"/>
          <w:szCs w:val="32"/>
          <w:rtl w:val="0"/>
          <w:lang w:val="en" w:eastAsia="zh-CN"/>
        </w:rPr>
      </w:pPr>
      <w:r>
        <w:rPr>
          <w:rFonts w:hint="eastAsia" w:ascii="楷体" w:hAnsi="楷体" w:eastAsia="楷体" w:cs="楷体"/>
          <w:kern w:val="2"/>
          <w:sz w:val="32"/>
          <w:szCs w:val="32"/>
          <w:lang w:val="en-US" w:eastAsia="zh-CN" w:bidi="ar-SA"/>
        </w:rPr>
        <w:t>五是着力保安全、优服务，行业管理有新气象。</w:t>
      </w:r>
      <w:r>
        <w:rPr>
          <w:rFonts w:hint="eastAsia" w:ascii="仿宋" w:hAnsi="仿宋" w:eastAsia="仿宋" w:cs="仿宋"/>
          <w:b/>
          <w:sz w:val="32"/>
          <w:szCs w:val="32"/>
          <w:lang w:val="en-US" w:eastAsia="zh-CN"/>
        </w:rPr>
        <w:t>安全专项整治深入推进。</w:t>
      </w:r>
      <w:r>
        <w:rPr>
          <w:rFonts w:hint="eastAsia" w:ascii="仿宋" w:hAnsi="仿宋" w:eastAsia="仿宋" w:cs="仿宋"/>
          <w:sz w:val="32"/>
          <w:szCs w:val="32"/>
          <w:lang w:val="en-US" w:eastAsia="zh-CN"/>
        </w:rPr>
        <w:t>以雷霆之势推进自建房安全专项整治，累计动员987名干部群众、8家设计施工监理企业、59名专业技术人员和乡村建设工匠参与自建房普查，累计排查自建房7.7万栋，其中C/D级经营性自建房36栋已全部销号，C/D级非经营性自建房已销号133栋，414栋闲置/空心的C/D级非经营性自建房已全部采取管控措施，顺利通过省级年度考评，实现了阶段性目标。</w:t>
      </w:r>
      <w:r>
        <w:rPr>
          <w:rFonts w:hint="eastAsia" w:ascii="仿宋" w:hAnsi="仿宋" w:eastAsia="仿宋" w:cs="仿宋"/>
          <w:b w:val="0"/>
          <w:bCs w:val="0"/>
          <w:kern w:val="2"/>
          <w:sz w:val="32"/>
          <w:szCs w:val="32"/>
          <w:lang w:val="en-US" w:eastAsia="zh-CN" w:bidi="ar-SA"/>
        </w:rPr>
        <w:t>城镇既有房屋排查整治已完成</w:t>
      </w:r>
      <w:r>
        <w:rPr>
          <w:rFonts w:hint="eastAsia" w:ascii="仿宋" w:hAnsi="仿宋" w:eastAsia="仿宋" w:cs="仿宋"/>
          <w:sz w:val="32"/>
          <w:szCs w:val="32"/>
          <w:lang w:val="en-US" w:eastAsia="zh-CN"/>
        </w:rPr>
        <w:t>摸排4318栋，其中C/D级房屋共24栋。摸底调查城市危旧房4590栋。深入开展城镇燃气、在建工地、高层建筑、排水、供水等安全专项整治行动，下发整改通知书100余份，整改各类安全隐患1086个，记录4家企业、8人严重不良行为，联合城管实施行政处罚19起81.71万元，住建领域安全形势总体稳定。</w:t>
      </w:r>
      <w:r>
        <w:rPr>
          <w:rFonts w:hint="eastAsia" w:ascii="仿宋" w:hAnsi="仿宋" w:eastAsia="仿宋" w:cs="仿宋"/>
          <w:b/>
          <w:sz w:val="32"/>
          <w:szCs w:val="32"/>
        </w:rPr>
        <w:t>营商环境</w:t>
      </w:r>
      <w:r>
        <w:rPr>
          <w:rFonts w:hint="eastAsia" w:ascii="仿宋" w:hAnsi="仿宋" w:eastAsia="仿宋" w:cs="仿宋"/>
          <w:b/>
          <w:sz w:val="32"/>
          <w:szCs w:val="32"/>
          <w:lang w:eastAsia="zh-CN"/>
        </w:rPr>
        <w:t>持续</w:t>
      </w:r>
      <w:r>
        <w:rPr>
          <w:rFonts w:hint="eastAsia" w:ascii="仿宋" w:hAnsi="仿宋" w:eastAsia="仿宋" w:cs="仿宋"/>
          <w:b/>
          <w:sz w:val="32"/>
          <w:szCs w:val="32"/>
        </w:rPr>
        <w:t>优化。</w:t>
      </w:r>
      <w:r>
        <w:rPr>
          <w:rFonts w:hint="eastAsia" w:ascii="仿宋" w:hAnsi="仿宋" w:eastAsia="仿宋" w:cs="仿宋"/>
          <w:sz w:val="32"/>
          <w:szCs w:val="32"/>
          <w:lang w:val="en-US" w:eastAsia="zh-CN"/>
        </w:rPr>
        <w:t>今年通过“省工改系统”受理工程项目审批322件，同比上升82.11%，办理房屋和城市基础设施工程项目129个，同比增长39.13%，审批材料减少47%，打造产业示范项目“拿地即开工”1个，“竣工即交证”3个，“交房即交证”1个。</w:t>
      </w:r>
      <w:r>
        <w:rPr>
          <w:rFonts w:hint="eastAsia" w:ascii="仿宋" w:hAnsi="仿宋" w:eastAsia="仿宋" w:cs="仿宋"/>
          <w:b/>
          <w:sz w:val="32"/>
          <w:szCs w:val="32"/>
          <w:rtl w:val="0"/>
          <w:lang w:val="en-US" w:eastAsia="zh-CN"/>
        </w:rPr>
        <w:t>降本增效成效凸显。</w:t>
      </w:r>
      <w:r>
        <w:rPr>
          <w:rFonts w:hint="eastAsia" w:ascii="仿宋" w:hAnsi="仿宋" w:eastAsia="仿宋" w:cs="仿宋"/>
          <w:kern w:val="2"/>
          <w:sz w:val="32"/>
          <w:szCs w:val="32"/>
          <w:lang w:val="en-US" w:eastAsia="zh-CN" w:bidi="ar-SA"/>
        </w:rPr>
        <w:t>落实政府性投资建设项目降成本工作要求，今年</w:t>
      </w:r>
      <w:r>
        <w:rPr>
          <w:rFonts w:hint="eastAsia" w:ascii="仿宋" w:hAnsi="仿宋" w:eastAsia="仿宋" w:cs="仿宋"/>
          <w:color w:val="auto"/>
          <w:sz w:val="32"/>
          <w:lang w:val="en-US" w:eastAsia="zh-CN"/>
        </w:rPr>
        <w:t>住建局监管领域公开招标项目节约建设资金总计0.19亿元，</w:t>
      </w:r>
      <w:r>
        <w:rPr>
          <w:rFonts w:hint="eastAsia" w:ascii="仿宋" w:hAnsi="仿宋" w:eastAsia="仿宋" w:cs="仿宋"/>
          <w:kern w:val="2"/>
          <w:sz w:val="32"/>
          <w:szCs w:val="32"/>
          <w:lang w:val="en-US" w:eastAsia="zh-CN" w:bidi="ar-SA"/>
        </w:rPr>
        <w:t>严格按照株洲市推行的最低价中标法开展招标活动，2023年株洲县湾塘110千伏输变电配套附属工程在项目招投标阶段实现阶段性降成本目标，成本下浮率为35.8%。采用比选的方式，优化施工方案，节约成本约80万元。</w:t>
      </w:r>
    </w:p>
    <w:p w14:paraId="2F599331">
      <w:pPr>
        <w:pStyle w:val="11"/>
        <w:widowControl/>
        <w:spacing w:line="600" w:lineRule="exact"/>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四、存在的问题及原因分析</w:t>
      </w:r>
    </w:p>
    <w:p w14:paraId="3C61BCA7">
      <w:pPr>
        <w:spacing w:line="600" w:lineRule="exact"/>
        <w:ind w:firstLine="640" w:firstLineChars="200"/>
        <w:rPr>
          <w:rFonts w:ascii="仿宋" w:hAnsi="仿宋" w:eastAsia="仿宋"/>
          <w:sz w:val="32"/>
          <w:szCs w:val="32"/>
        </w:rPr>
      </w:pPr>
      <w:r>
        <w:rPr>
          <w:rFonts w:hint="eastAsia" w:ascii="仿宋" w:hAnsi="仿宋" w:eastAsia="仿宋"/>
          <w:sz w:val="32"/>
          <w:szCs w:val="32"/>
        </w:rPr>
        <w:t>由于年初编制预算的不可控性，导致年内预算与实际需求偏差太大，年中部分新项目的启动，编制预算时难以精确预计，在预算执行中造成个别预算项目出现偏差现象，影响预算的控制与执行。</w:t>
      </w:r>
    </w:p>
    <w:p w14:paraId="7B2484CD">
      <w:pPr>
        <w:keepNext w:val="0"/>
        <w:keepLines w:val="0"/>
        <w:widowControl w:val="0"/>
        <w:numPr>
          <w:ilvl w:val="0"/>
          <w:numId w:val="3"/>
        </w:numPr>
        <w:suppressLineNumbers w:val="0"/>
        <w:spacing w:before="0" w:beforeAutospacing="0" w:after="0" w:afterAutospacing="0" w:line="600" w:lineRule="exact"/>
        <w:ind w:left="0" w:right="0" w:firstLine="640" w:firstLineChars="200"/>
        <w:jc w:val="both"/>
        <w:rPr>
          <w:rFonts w:ascii="宋体" w:hAnsi="宋体" w:cs="宋体"/>
          <w:color w:val="333333"/>
          <w:kern w:val="0"/>
          <w:sz w:val="32"/>
          <w:szCs w:val="32"/>
        </w:rPr>
      </w:pPr>
      <w:r>
        <w:rPr>
          <w:rFonts w:hint="default" w:ascii="Times New Roman" w:hAnsi="Times New Roman" w:eastAsia="黑体" w:cs="Times New Roman"/>
          <w:kern w:val="2"/>
          <w:sz w:val="32"/>
          <w:szCs w:val="32"/>
          <w:lang w:val="en-US" w:eastAsia="zh-CN" w:bidi="ar"/>
        </w:rPr>
        <w:t>下一步改进措施</w:t>
      </w:r>
    </w:p>
    <w:p w14:paraId="7EA5794D">
      <w:pPr>
        <w:keepNext w:val="0"/>
        <w:keepLines w:val="0"/>
        <w:widowControl w:val="0"/>
        <w:numPr>
          <w:ilvl w:val="0"/>
          <w:numId w:val="0"/>
        </w:numPr>
        <w:suppressLineNumbers w:val="0"/>
        <w:spacing w:before="0" w:beforeAutospacing="0" w:after="0" w:afterAutospacing="0" w:line="600" w:lineRule="exact"/>
        <w:ind w:leftChars="200" w:right="0" w:rightChars="0" w:firstLine="320" w:firstLineChars="100"/>
        <w:jc w:val="both"/>
        <w:rPr>
          <w:rFonts w:ascii="宋体" w:hAnsi="宋体" w:cs="宋体"/>
          <w:color w:val="333333"/>
          <w:kern w:val="0"/>
          <w:sz w:val="32"/>
          <w:szCs w:val="32"/>
        </w:rPr>
      </w:pPr>
      <w:r>
        <w:rPr>
          <w:rFonts w:hint="eastAsia" w:ascii="仿宋" w:hAnsi="仿宋" w:eastAsia="仿宋" w:cs="宋体"/>
          <w:color w:val="333333"/>
          <w:kern w:val="0"/>
          <w:sz w:val="32"/>
          <w:szCs w:val="32"/>
        </w:rPr>
        <w:t>一、科学合理地编制部门预算，预算结合本部门的事业发展计划、职责和任务测算，确保部门预算编制真实、准确、完整。</w:t>
      </w:r>
      <w:r>
        <w:rPr>
          <w:rFonts w:ascii="宋体" w:hAnsi="宋体" w:cs="宋体"/>
          <w:color w:val="333333"/>
          <w:kern w:val="0"/>
          <w:sz w:val="32"/>
          <w:szCs w:val="32"/>
        </w:rPr>
        <w:t xml:space="preserve"> </w:t>
      </w:r>
    </w:p>
    <w:p w14:paraId="48E860FE">
      <w:pPr>
        <w:widowControl/>
        <w:shd w:val="clear" w:color="auto" w:fill="FFFFFF"/>
        <w:spacing w:line="480" w:lineRule="auto"/>
        <w:ind w:firstLine="555"/>
        <w:jc w:val="left"/>
        <w:textAlignment w:val="center"/>
        <w:rPr>
          <w:rFonts w:ascii="宋体" w:hAnsi="宋体" w:cs="宋体"/>
          <w:color w:val="333333"/>
          <w:kern w:val="0"/>
          <w:sz w:val="32"/>
          <w:szCs w:val="32"/>
        </w:rPr>
      </w:pPr>
      <w:r>
        <w:rPr>
          <w:rFonts w:hint="eastAsia" w:ascii="仿宋" w:hAnsi="仿宋" w:eastAsia="仿宋" w:cs="宋体"/>
          <w:color w:val="333333"/>
          <w:kern w:val="0"/>
          <w:sz w:val="32"/>
          <w:szCs w:val="32"/>
        </w:rPr>
        <w:t>二、加强政策学习，提高思想认识。组织大家认真学习《预算法》等相关法规、制度，提高单位领导对全面预算管理的重视程度。</w:t>
      </w:r>
    </w:p>
    <w:p w14:paraId="48BF901D">
      <w:pPr>
        <w:keepNext w:val="0"/>
        <w:keepLines w:val="0"/>
        <w:widowControl w:val="0"/>
        <w:numPr>
          <w:ilvl w:val="0"/>
          <w:numId w:val="0"/>
        </w:numPr>
        <w:suppressLineNumbers w:val="0"/>
        <w:spacing w:before="0" w:beforeAutospacing="0" w:after="0" w:afterAutospacing="0" w:line="600" w:lineRule="exact"/>
        <w:ind w:leftChars="200" w:right="0" w:rightChars="0"/>
        <w:jc w:val="both"/>
        <w:rPr>
          <w:rFonts w:hint="default" w:ascii="Times New Roman" w:hAnsi="Times New Roman" w:eastAsia="黑体" w:cs="Times New Roman"/>
          <w:kern w:val="2"/>
          <w:sz w:val="32"/>
          <w:szCs w:val="32"/>
          <w:lang w:val="en-US" w:eastAsia="zh-CN" w:bidi="ar"/>
        </w:rPr>
      </w:pPr>
      <w:r>
        <w:rPr>
          <w:rFonts w:hint="eastAsia" w:ascii="仿宋" w:hAnsi="仿宋" w:eastAsia="仿宋" w:cs="宋体"/>
          <w:color w:val="333333"/>
          <w:kern w:val="0"/>
          <w:sz w:val="32"/>
          <w:szCs w:val="32"/>
        </w:rPr>
        <w:t>三、细化预算指标，提高预算科学性。预算编制前根据年度内单位可预见的工作任务，确定单位年度预算目标，细化预算指标，科学合理编制部门预算，推进预算编制科学化、准确化。</w:t>
      </w:r>
    </w:p>
    <w:p w14:paraId="4F54FD4C">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六、绩效自评结果拟应用和公开情况</w:t>
      </w:r>
    </w:p>
    <w:p w14:paraId="20F2CF89">
      <w:pPr>
        <w:widowControl/>
        <w:spacing w:line="560" w:lineRule="exact"/>
        <w:ind w:firstLine="640" w:firstLineChars="200"/>
        <w:jc w:val="left"/>
        <w:rPr>
          <w:rFonts w:hint="eastAsia" w:ascii="仿宋" w:hAnsi="仿宋" w:eastAsia="仿宋" w:cs="仿宋_GB2312"/>
          <w:kern w:val="0"/>
          <w:sz w:val="32"/>
          <w:szCs w:val="32"/>
          <w:lang w:bidi="ar"/>
        </w:rPr>
      </w:pPr>
      <w:r>
        <w:rPr>
          <w:rFonts w:hint="eastAsia" w:ascii="Times New Roman" w:hAnsi="Times New Roman" w:eastAsia="仿宋_GB2312" w:cs="Times New Roman"/>
          <w:sz w:val="32"/>
          <w:szCs w:val="32"/>
          <w:lang w:val="en-US" w:eastAsia="zh-CN"/>
        </w:rPr>
        <w:t>渌口区住房城乡建设局将在规定时间内在政府网站公开项目绩效自评报告及项目自评表，并接受社会监督。</w:t>
      </w:r>
      <w:r>
        <w:rPr>
          <w:rFonts w:hint="eastAsia" w:ascii="仿宋" w:hAnsi="仿宋" w:eastAsia="仿宋" w:cs="仿宋_GB2312"/>
          <w:kern w:val="0"/>
          <w:sz w:val="32"/>
          <w:szCs w:val="32"/>
          <w:lang w:bidi="ar"/>
        </w:rPr>
        <w:t>综上所述，项目总体自评分为“</w:t>
      </w:r>
      <w:r>
        <w:rPr>
          <w:rFonts w:hint="eastAsia" w:ascii="仿宋" w:hAnsi="仿宋" w:eastAsia="仿宋" w:cs="仿宋_GB2312"/>
          <w:kern w:val="0"/>
          <w:sz w:val="32"/>
          <w:szCs w:val="32"/>
          <w:lang w:val="en-US" w:eastAsia="zh-CN" w:bidi="ar"/>
        </w:rPr>
        <w:t>98</w:t>
      </w:r>
      <w:r>
        <w:rPr>
          <w:rFonts w:hint="eastAsia" w:ascii="仿宋" w:hAnsi="仿宋" w:eastAsia="仿宋" w:cs="仿宋_GB2312"/>
          <w:kern w:val="0"/>
          <w:sz w:val="32"/>
          <w:szCs w:val="32"/>
          <w:lang w:bidi="ar"/>
        </w:rPr>
        <w:t>分”，自评级别为优。</w:t>
      </w:r>
    </w:p>
    <w:p w14:paraId="0899EFEB">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54181C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B86A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2EA57">
                          <w:pPr>
                            <w:pStyle w:val="6"/>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C2EA57">
                    <w:pPr>
                      <w:pStyle w:val="6"/>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23F6C3"/>
    <w:multiLevelType w:val="singleLevel"/>
    <w:tmpl w:val="D623F6C3"/>
    <w:lvl w:ilvl="0" w:tentative="0">
      <w:start w:val="1"/>
      <w:numFmt w:val="chineseCounting"/>
      <w:suff w:val="nothing"/>
      <w:lvlText w:val="（%1）"/>
      <w:lvlJc w:val="left"/>
      <w:rPr>
        <w:rFonts w:hint="eastAsia"/>
      </w:rPr>
    </w:lvl>
  </w:abstractNum>
  <w:abstractNum w:abstractNumId="1">
    <w:nsid w:val="D8FA48E3"/>
    <w:multiLevelType w:val="singleLevel"/>
    <w:tmpl w:val="D8FA48E3"/>
    <w:lvl w:ilvl="0" w:tentative="0">
      <w:start w:val="1"/>
      <w:numFmt w:val="chineseCounting"/>
      <w:suff w:val="nothing"/>
      <w:lvlText w:val="%1、"/>
      <w:lvlJc w:val="left"/>
      <w:rPr>
        <w:rFonts w:hint="eastAsia"/>
      </w:rPr>
    </w:lvl>
  </w:abstractNum>
  <w:abstractNum w:abstractNumId="2">
    <w:nsid w:val="53C2BD5D"/>
    <w:multiLevelType w:val="singleLevel"/>
    <w:tmpl w:val="53C2BD5D"/>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4NGU3MDcxMDk4OTIzMDUwYTJlMDM2MzUyZGIwODYifQ=="/>
  </w:docVars>
  <w:rsids>
    <w:rsidRoot w:val="00000000"/>
    <w:rsid w:val="01547517"/>
    <w:rsid w:val="016F48DB"/>
    <w:rsid w:val="04BC223F"/>
    <w:rsid w:val="05436869"/>
    <w:rsid w:val="06BF7DC5"/>
    <w:rsid w:val="07C35693"/>
    <w:rsid w:val="07F65A68"/>
    <w:rsid w:val="087F5A5E"/>
    <w:rsid w:val="093C6197"/>
    <w:rsid w:val="095852CB"/>
    <w:rsid w:val="09CB6A81"/>
    <w:rsid w:val="0B293A5F"/>
    <w:rsid w:val="0D564DFD"/>
    <w:rsid w:val="0DB31D06"/>
    <w:rsid w:val="0DB57CB4"/>
    <w:rsid w:val="0E8845BE"/>
    <w:rsid w:val="0F460C7D"/>
    <w:rsid w:val="110E3C0C"/>
    <w:rsid w:val="11FA6155"/>
    <w:rsid w:val="13272F7A"/>
    <w:rsid w:val="14274190"/>
    <w:rsid w:val="164200CB"/>
    <w:rsid w:val="17EC02EE"/>
    <w:rsid w:val="18D620ED"/>
    <w:rsid w:val="18D97BBF"/>
    <w:rsid w:val="196977CD"/>
    <w:rsid w:val="1A2C732D"/>
    <w:rsid w:val="1B6D7998"/>
    <w:rsid w:val="1BDA490E"/>
    <w:rsid w:val="1C9A5481"/>
    <w:rsid w:val="1EE65901"/>
    <w:rsid w:val="1F397586"/>
    <w:rsid w:val="1FBF278C"/>
    <w:rsid w:val="20221513"/>
    <w:rsid w:val="21C276E9"/>
    <w:rsid w:val="23F724F4"/>
    <w:rsid w:val="24AA30B5"/>
    <w:rsid w:val="27653C19"/>
    <w:rsid w:val="2B95569E"/>
    <w:rsid w:val="2D7B5F44"/>
    <w:rsid w:val="2E20089A"/>
    <w:rsid w:val="2E3A195C"/>
    <w:rsid w:val="2E7D3D65"/>
    <w:rsid w:val="2EFFB905"/>
    <w:rsid w:val="2F193C67"/>
    <w:rsid w:val="30542A7D"/>
    <w:rsid w:val="30C714A1"/>
    <w:rsid w:val="342D1890"/>
    <w:rsid w:val="3608233F"/>
    <w:rsid w:val="36CC15BF"/>
    <w:rsid w:val="36DB108A"/>
    <w:rsid w:val="375A306E"/>
    <w:rsid w:val="37A570FA"/>
    <w:rsid w:val="3D8A6036"/>
    <w:rsid w:val="3E6A6D4F"/>
    <w:rsid w:val="3ED25BE0"/>
    <w:rsid w:val="3F3B4420"/>
    <w:rsid w:val="3F9B4224"/>
    <w:rsid w:val="3FE693AD"/>
    <w:rsid w:val="4035158F"/>
    <w:rsid w:val="40DE261A"/>
    <w:rsid w:val="41962EF5"/>
    <w:rsid w:val="4281050D"/>
    <w:rsid w:val="43C401ED"/>
    <w:rsid w:val="442671C8"/>
    <w:rsid w:val="455137CA"/>
    <w:rsid w:val="455E3D2A"/>
    <w:rsid w:val="45C049E4"/>
    <w:rsid w:val="4816685E"/>
    <w:rsid w:val="4A9A5B32"/>
    <w:rsid w:val="4AF01932"/>
    <w:rsid w:val="4B15132F"/>
    <w:rsid w:val="4BD034A7"/>
    <w:rsid w:val="4C51049A"/>
    <w:rsid w:val="4DD57ADF"/>
    <w:rsid w:val="4EDE5EDB"/>
    <w:rsid w:val="4F3BD62E"/>
    <w:rsid w:val="503F0BFC"/>
    <w:rsid w:val="524C14DA"/>
    <w:rsid w:val="52DC0984"/>
    <w:rsid w:val="536974C6"/>
    <w:rsid w:val="53CB15B5"/>
    <w:rsid w:val="56D227CA"/>
    <w:rsid w:val="577C6C0C"/>
    <w:rsid w:val="57DE24E2"/>
    <w:rsid w:val="590F614C"/>
    <w:rsid w:val="59372DB8"/>
    <w:rsid w:val="598633F7"/>
    <w:rsid w:val="59B15C12"/>
    <w:rsid w:val="59D204C4"/>
    <w:rsid w:val="5ADA71D9"/>
    <w:rsid w:val="5C95407D"/>
    <w:rsid w:val="5E3D48E1"/>
    <w:rsid w:val="5E653F23"/>
    <w:rsid w:val="5ED811FF"/>
    <w:rsid w:val="5F30008D"/>
    <w:rsid w:val="603A5DED"/>
    <w:rsid w:val="6186789B"/>
    <w:rsid w:val="62DB47B4"/>
    <w:rsid w:val="63B32BC4"/>
    <w:rsid w:val="6408782B"/>
    <w:rsid w:val="64CB5136"/>
    <w:rsid w:val="673858DF"/>
    <w:rsid w:val="681744E0"/>
    <w:rsid w:val="6942558D"/>
    <w:rsid w:val="6B0851D1"/>
    <w:rsid w:val="6B362ECF"/>
    <w:rsid w:val="6C866E49"/>
    <w:rsid w:val="6FE160CC"/>
    <w:rsid w:val="70481468"/>
    <w:rsid w:val="71570879"/>
    <w:rsid w:val="757A7E5C"/>
    <w:rsid w:val="77B909F0"/>
    <w:rsid w:val="78540864"/>
    <w:rsid w:val="78A6518B"/>
    <w:rsid w:val="790747E8"/>
    <w:rsid w:val="7A290318"/>
    <w:rsid w:val="7AAD6FA5"/>
    <w:rsid w:val="7C571880"/>
    <w:rsid w:val="7D853842"/>
    <w:rsid w:val="7E310CBB"/>
    <w:rsid w:val="7F4D52D0"/>
    <w:rsid w:val="7F55F449"/>
    <w:rsid w:val="BB96D3B8"/>
    <w:rsid w:val="BEB6EF53"/>
    <w:rsid w:val="DFFB7864"/>
    <w:rsid w:val="E7FFF3A3"/>
    <w:rsid w:val="FEFA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0"/>
    <w:autoRedefine/>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character" w:default="1" w:styleId="9">
    <w:name w:val="Default Paragraph Font"/>
    <w:autoRedefine/>
    <w:semiHidden/>
    <w:qFormat/>
    <w:uiPriority w:val="0"/>
  </w:style>
  <w:style w:type="table" w:default="1" w:styleId="8">
    <w:name w:val="Normal Table"/>
    <w:autoRedefin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4">
    <w:name w:val="Body Text"/>
    <w:basedOn w:val="1"/>
    <w:link w:val="12"/>
    <w:autoRedefine/>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5">
    <w:name w:val="toc 5"/>
    <w:basedOn w:val="1"/>
    <w:next w:val="1"/>
    <w:autoRedefine/>
    <w:qFormat/>
    <w:uiPriority w:val="0"/>
    <w:pPr>
      <w:ind w:left="1680" w:leftChars="800"/>
    </w:pPr>
    <w:rPr>
      <w:rFonts w:ascii="Times New Roman" w:hAnsi="Times New Roman" w:cs="Calibri"/>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标题 1 Char"/>
    <w:basedOn w:val="9"/>
    <w:link w:val="3"/>
    <w:autoRedefine/>
    <w:qFormat/>
    <w:uiPriority w:val="0"/>
    <w:rPr>
      <w:rFonts w:hint="default" w:ascii="Calibri" w:hAnsi="Calibri" w:cs="Calibri"/>
      <w:b/>
      <w:bCs/>
      <w:kern w:val="44"/>
      <w:sz w:val="44"/>
      <w:szCs w:val="44"/>
    </w:rPr>
  </w:style>
  <w:style w:type="paragraph" w:customStyle="1" w:styleId="11">
    <w:name w:val="msolistparagraph"/>
    <w:basedOn w:val="1"/>
    <w:autoRedefine/>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12">
    <w:name w:val="正文文本 Char"/>
    <w:basedOn w:val="9"/>
    <w:link w:val="4"/>
    <w:autoRedefine/>
    <w:qFormat/>
    <w:uiPriority w:val="0"/>
    <w:rPr>
      <w:rFonts w:hint="eastAsia" w:ascii="宋体" w:hAnsi="宋体" w:eastAsia="宋体" w:cs="宋体"/>
      <w:kern w:val="2"/>
      <w:sz w:val="33"/>
      <w:szCs w:val="33"/>
    </w:rPr>
  </w:style>
  <w:style w:type="paragraph" w:customStyle="1" w:styleId="13">
    <w:name w:val="Table Paragraph"/>
    <w:basedOn w:val="1"/>
    <w:autoRedefine/>
    <w:qFormat/>
    <w:uiPriority w:val="0"/>
    <w:pPr>
      <w:autoSpaceDE w:val="0"/>
      <w:autoSpaceDN w:val="0"/>
      <w:spacing w:line="240" w:lineRule="auto"/>
      <w:ind w:left="0"/>
      <w:jc w:val="left"/>
    </w:pPr>
    <w:rPr>
      <w:rFonts w:ascii="宋体" w:hAnsi="宋体" w:cs="宋体"/>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4061</Words>
  <Characters>4454</Characters>
  <Lines>0</Lines>
  <Paragraphs>0</Paragraphs>
  <TotalTime>1</TotalTime>
  <ScaleCrop>false</ScaleCrop>
  <LinksUpToDate>false</LinksUpToDate>
  <CharactersWithSpaces>4531</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2021-03-23T15:15:00Z</dcterms:created>
  <dc:creator>Administrator</dc:creator>
  <cp:lastModifiedBy>Administrator</cp:lastModifiedBy>
  <cp:lastPrinted>2023-03-31T11:20:00Z</cp:lastPrinted>
  <dcterms:modified xsi:type="dcterms:W3CDTF">2024-09-19T01:18:01Z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EED5D6D83E0944EF85A4087E4EA8D0A2</vt:lpwstr>
  </property>
</Properties>
</file>