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8"/>
        <w:gridCol w:w="1345"/>
        <w:gridCol w:w="1358"/>
        <w:gridCol w:w="26"/>
        <w:gridCol w:w="1091"/>
        <w:gridCol w:w="899"/>
        <w:gridCol w:w="900"/>
        <w:gridCol w:w="828"/>
        <w:gridCol w:w="781"/>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2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6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株洲市渌口区征地工作协调服务中心</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eastAsia" w:ascii="Times New Roman" w:hAnsi="Times New Roman" w:eastAsia="仿宋_GB2312" w:cs="Times New Roman"/>
                <w:kern w:val="0"/>
                <w:sz w:val="21"/>
                <w:szCs w:val="21"/>
                <w:lang w:val="en-US" w:eastAsia="zh-CN" w:bidi="ar"/>
              </w:rPr>
              <w:t>万</w:t>
            </w:r>
            <w:r>
              <w:rPr>
                <w:rFonts w:hint="default" w:ascii="Times New Roman" w:hAnsi="Times New Roman" w:eastAsia="仿宋_GB2312" w:cs="Times New Roman"/>
                <w:kern w:val="0"/>
                <w:sz w:val="21"/>
                <w:szCs w:val="21"/>
                <w:lang w:val="en-US" w:eastAsia="zh-CN" w:bidi="ar"/>
              </w:rPr>
              <w:t>元）</w:t>
            </w: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184.99</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1216.62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1216.62</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188.91</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386.63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829.99</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829.99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197.72</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围绕全区工作重点，完成各项工作任务</w:t>
            </w:r>
            <w:r>
              <w:rPr>
                <w:rFonts w:hint="default" w:ascii="Times New Roman" w:hAnsi="Times New Roman" w:eastAsia="仿宋_GB2312" w:cs="Times New Roman"/>
                <w:kern w:val="0"/>
                <w:sz w:val="21"/>
                <w:szCs w:val="21"/>
                <w:lang w:val="en-US" w:eastAsia="zh-CN" w:bidi="ar"/>
              </w:rPr>
              <w:t>　　　</w:t>
            </w:r>
          </w:p>
        </w:tc>
        <w:tc>
          <w:tcPr>
            <w:tcW w:w="4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完成集体征拆项目24个，征拆土地面积2998亩，征拆房屋71栋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重要文稿撰写</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10分</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征拆项目完成</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20个</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24个</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20分</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征拆面积</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2840亩</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2998亩</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10分</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征拆成本</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829.99万元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829.99万元</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10分</w:t>
            </w:r>
            <w:r>
              <w:rPr>
                <w:rFonts w:hint="default" w:ascii="Times New Roman" w:hAnsi="Times New Roman" w:eastAsia="仿宋_GB2312" w:cs="Times New Roman"/>
                <w:kern w:val="0"/>
                <w:sz w:val="21"/>
                <w:szCs w:val="21"/>
                <w:lang w:val="en-US" w:eastAsia="zh-CN" w:bidi="ar"/>
              </w:rPr>
              <w:t>　</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充分发挥协调各方的“枢纽”职能和作用，以顺畅的工作机制提升协调水平、提升服务质量和经济效益</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宋体" w:hAnsi="宋体" w:eastAsia="宋体" w:cs="宋体"/>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围绕全区重大工作安排，充分发挥党委决策议事协调机构顶层设计、总体布局、统筹协调和整体推进四大功能，提升社会效益。</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宋体" w:hAnsi="宋体" w:eastAsia="宋体" w:cs="宋体"/>
                <w:kern w:val="0"/>
                <w:sz w:val="21"/>
                <w:szCs w:val="21"/>
                <w:lang w:val="en-US" w:eastAsia="zh-CN" w:bidi="ar"/>
              </w:rPr>
              <w:t>≧</w:t>
            </w: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紧贴工作实际和需求，切实加强服务保障工作，实行精细化管理，为党委工作运转提供强有力的支撑。</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lang w:val="en-US" w:eastAsia="zh-CN" w:bidi="ar"/>
              </w:rPr>
            </w:pPr>
          </w:p>
          <w:p>
            <w:pPr>
              <w:keepNext w:val="0"/>
              <w:keepLines w:val="0"/>
              <w:widowControl/>
              <w:suppressLineNumbers w:val="0"/>
              <w:spacing w:before="0" w:beforeAutospacing="0" w:after="0" w:afterAutospacing="0"/>
              <w:ind w:left="0" w:right="0" w:rightChars="0"/>
              <w:jc w:val="lef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加强政治建设，坚决做到“两个维护”；加强意识形态工作，筑牢思想防线；加强机关建设，着力提升组织力；加强党风廉政建设，持之以恒正风肃纪，提升可持续影响。</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lang w:val="en-US" w:eastAsia="zh-CN" w:bidi="ar"/>
              </w:rPr>
            </w:pPr>
          </w:p>
          <w:p>
            <w:pPr>
              <w:keepNext w:val="0"/>
              <w:keepLines w:val="0"/>
              <w:widowControl/>
              <w:suppressLineNumbers w:val="0"/>
              <w:spacing w:before="0" w:beforeAutospacing="0" w:after="0" w:afterAutospacing="0"/>
              <w:ind w:left="0" w:right="0" w:rightChars="0"/>
              <w:jc w:val="lef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以强烈的责任感和使命感，以优良的作风，拼搏进取、务实担当，为全面融城、全面发展，加快赶超、走在前列做出贡献，提升社会公众满意度。</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right="0" w:rightChars="0"/>
              <w:jc w:val="lef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95%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9</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5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2023年部门整体支出绩效自评报告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ascii="方正楷体_GBK" w:hAnsi="Times New Roman" w:eastAsia="方正楷体_GBK" w:cs="Times New Roman"/>
          <w:sz w:val="32"/>
          <w:szCs w:val="32"/>
        </w:rPr>
        <w:t>株洲市渌口区征地协调服务中心</w:t>
      </w:r>
      <w:r>
        <w:rPr>
          <w:rFonts w:hint="eastAsia" w:ascii="Times New Roman" w:hAnsi="Times New Roman" w:eastAsia="方正楷体_GBK" w:cs="Times New Roman"/>
          <w:sz w:val="32"/>
          <w:szCs w:val="32"/>
        </w:rPr>
        <w:t xml:space="preserve"> </w:t>
      </w:r>
    </w:p>
    <w:p>
      <w:pPr>
        <w:pStyle w:val="6"/>
        <w:numPr>
          <w:ilvl w:val="0"/>
          <w:numId w:val="0"/>
        </w:numPr>
        <w:tabs>
          <w:tab w:val="left" w:pos="570"/>
        </w:tabs>
        <w:spacing w:before="0" w:beforeAutospacing="0" w:after="0" w:afterAutospacing="0" w:line="600" w:lineRule="exact"/>
        <w:ind w:firstLine="640" w:firstLineChars="200"/>
        <w:textAlignment w:val="baseline"/>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一、</w:t>
      </w:r>
      <w:r>
        <w:rPr>
          <w:rFonts w:hint="default" w:ascii="Times New Roman" w:hAnsi="Times New Roman" w:eastAsia="黑体" w:cs="Times New Roman"/>
          <w:kern w:val="2"/>
          <w:sz w:val="32"/>
          <w:szCs w:val="32"/>
          <w:lang w:val="en-US" w:eastAsia="zh-CN" w:bidi="ar"/>
        </w:rPr>
        <w:t>预算单位基本情况</w:t>
      </w:r>
    </w:p>
    <w:p>
      <w:pPr>
        <w:pStyle w:val="6"/>
        <w:numPr>
          <w:ilvl w:val="0"/>
          <w:numId w:val="0"/>
        </w:numPr>
        <w:spacing w:before="0" w:beforeAutospacing="0" w:after="0" w:afterAutospacing="0" w:line="600" w:lineRule="exact"/>
        <w:ind w:firstLine="640" w:firstLineChars="200"/>
        <w:textAlignment w:val="baseline"/>
        <w:rPr>
          <w:rFonts w:hint="eastAsia"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ascii="方正仿宋_GBK" w:hAnsi="Times New Roman" w:eastAsia="方正仿宋_GBK" w:cs="Times New Roman"/>
          <w:color w:val="000000"/>
          <w:sz w:val="32"/>
          <w:szCs w:val="32"/>
        </w:rPr>
        <w:t>一）单位主要职责</w:t>
      </w:r>
    </w:p>
    <w:p>
      <w:pPr>
        <w:pStyle w:val="6"/>
        <w:spacing w:before="0" w:beforeAutospacing="0" w:after="0" w:afterAutospacing="0" w:line="600" w:lineRule="exact"/>
        <w:ind w:firstLine="640" w:firstLineChars="200"/>
        <w:textAlignment w:val="baseline"/>
        <w:rPr>
          <w:rFonts w:hint="eastAsia" w:ascii="方正仿宋_GBK" w:hAnsi="Times New Roman" w:eastAsia="方正仿宋_GBK" w:cs="Times New Roman"/>
          <w:sz w:val="32"/>
          <w:szCs w:val="32"/>
          <w:lang w:eastAsia="zh-CN"/>
        </w:rPr>
      </w:pPr>
      <w:r>
        <w:rPr>
          <w:rFonts w:ascii="方正仿宋_GBK" w:hAnsi="Times New Roman" w:eastAsia="方正仿宋_GBK" w:cs="Times New Roman"/>
          <w:sz w:val="32"/>
          <w:szCs w:val="32"/>
        </w:rPr>
        <w:t>根据株县政办发</w:t>
      </w: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2013</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36</w:t>
      </w:r>
      <w:r>
        <w:rPr>
          <w:rFonts w:ascii="方正仿宋_GBK" w:hAnsi="Times New Roman" w:eastAsia="方正仿宋_GBK" w:cs="Times New Roman"/>
          <w:sz w:val="32"/>
          <w:szCs w:val="32"/>
        </w:rPr>
        <w:t>号文件规定，本部门主要职责是：负责国家建设用地的征收征用及拆迁管理。负责补征用集体土地上房屋拆迁补偿工作。负责组织实施国有土地上房屋征收与补偿工作。负责拟定征地补偿安置方案。组织实施安置房的建设、分配、销售和管理等工作</w:t>
      </w:r>
      <w:r>
        <w:rPr>
          <w:rFonts w:hint="eastAsia" w:ascii="方正仿宋_GBK" w:hAnsi="Times New Roman" w:eastAsia="方正仿宋_GBK" w:cs="Times New Roman"/>
          <w:sz w:val="32"/>
          <w:szCs w:val="32"/>
          <w:lang w:eastAsia="zh-CN"/>
        </w:rPr>
        <w:t>。</w:t>
      </w:r>
    </w:p>
    <w:p>
      <w:pPr>
        <w:pStyle w:val="6"/>
        <w:spacing w:before="0" w:beforeAutospacing="0" w:after="0" w:afterAutospacing="0" w:line="600" w:lineRule="exact"/>
        <w:ind w:firstLine="640" w:firstLineChars="200"/>
        <w:textAlignment w:val="baseline"/>
        <w:rPr>
          <w:rFonts w:ascii="Times New Roman" w:hAnsi="Times New Roman" w:eastAsia="方正仿宋_GBK" w:cs="Times New Roman"/>
          <w:color w:val="000000"/>
          <w:sz w:val="32"/>
          <w:szCs w:val="32"/>
        </w:rPr>
      </w:pPr>
      <w:r>
        <w:rPr>
          <w:rFonts w:ascii="方正仿宋_GBK" w:hAnsi="Times New Roman" w:eastAsia="方正仿宋_GBK" w:cs="Times New Roman"/>
          <w:color w:val="000000"/>
          <w:sz w:val="32"/>
          <w:szCs w:val="32"/>
        </w:rPr>
        <w:t>（二）</w:t>
      </w:r>
      <w:r>
        <w:rPr>
          <w:rFonts w:hint="eastAsia" w:ascii="方正仿宋_GBK"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3</w:t>
      </w:r>
      <w:r>
        <w:rPr>
          <w:rFonts w:ascii="方正仿宋_GBK" w:hAnsi="Times New Roman" w:eastAsia="方正仿宋_GBK" w:cs="Times New Roman"/>
          <w:color w:val="000000"/>
          <w:sz w:val="32"/>
          <w:szCs w:val="32"/>
        </w:rPr>
        <w:t>年主要工作任务</w:t>
      </w:r>
    </w:p>
    <w:p>
      <w:pPr>
        <w:ind w:firstLine="800" w:firstLineChars="250"/>
        <w:rPr>
          <w:rFonts w:hint="eastAsia"/>
        </w:rPr>
      </w:pP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3</w:t>
      </w:r>
      <w:r>
        <w:rPr>
          <w:rFonts w:ascii="方正仿宋_GBK" w:hAnsi="Times New Roman" w:eastAsia="方正仿宋_GBK" w:cs="Times New Roman"/>
          <w:color w:val="000000"/>
          <w:sz w:val="32"/>
          <w:szCs w:val="32"/>
        </w:rPr>
        <w:t>年主要工作任务及目标是：</w:t>
      </w:r>
      <w:r>
        <w:rPr>
          <w:rFonts w:ascii="Times New Roman" w:hAnsi="Times New Roman" w:eastAsia="方正仿宋_GBK" w:cs="Times New Roman"/>
          <w:sz w:val="32"/>
          <w:szCs w:val="32"/>
        </w:rPr>
        <w:t>通过前期充分调研和反复征求意见，结合全区项目建设总体规划，拟定了2023年征地拆迁市对区考核项目计划，计划征拆项目20个，其中国有项目2个，房屋面积41441平方米；集体项目18个，征地面积2780.77亩，其中产业项目9个、基础设施项目4个、经营商住项目5个。</w:t>
      </w:r>
    </w:p>
    <w:p>
      <w:pPr>
        <w:pStyle w:val="6"/>
        <w:spacing w:before="0" w:beforeAutospacing="0" w:after="0" w:afterAutospacing="0" w:line="600" w:lineRule="exact"/>
        <w:ind w:firstLine="640" w:firstLineChars="200"/>
        <w:textAlignment w:val="baseline"/>
        <w:rPr>
          <w:rFonts w:ascii="Times New Roman" w:hAnsi="Times New Roman" w:eastAsia="方正仿宋_GBK" w:cs="Times New Roman"/>
          <w:color w:val="000000"/>
          <w:sz w:val="32"/>
          <w:szCs w:val="32"/>
        </w:rPr>
      </w:pPr>
      <w:r>
        <w:rPr>
          <w:rFonts w:ascii="方正仿宋_GBK" w:hAnsi="Times New Roman" w:eastAsia="方正仿宋_GBK" w:cs="Times New Roman"/>
          <w:color w:val="000000"/>
          <w:sz w:val="32"/>
          <w:szCs w:val="32"/>
        </w:rPr>
        <w:t>（三）单位机构、人员情况</w:t>
      </w:r>
    </w:p>
    <w:p>
      <w:pPr>
        <w:pStyle w:val="6"/>
        <w:spacing w:before="0" w:beforeAutospacing="0" w:after="0" w:afterAutospacing="0" w:line="600" w:lineRule="exact"/>
        <w:ind w:firstLine="640" w:firstLineChars="200"/>
        <w:textAlignment w:val="baseline"/>
        <w:rPr>
          <w:rFonts w:ascii="Times New Roman"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lang w:eastAsia="zh-CN"/>
        </w:rPr>
        <w:t>株洲市</w:t>
      </w:r>
      <w:r>
        <w:rPr>
          <w:rFonts w:ascii="方正仿宋_GBK" w:hAnsi="Times New Roman" w:eastAsia="方正仿宋_GBK" w:cs="Times New Roman"/>
          <w:color w:val="000000"/>
          <w:sz w:val="32"/>
          <w:szCs w:val="32"/>
        </w:rPr>
        <w:t>渌口区征地协调服务中心属于全额拨款事业单位，现有股</w:t>
      </w:r>
      <w:r>
        <w:rPr>
          <w:rFonts w:hint="eastAsia" w:ascii="Times New Roman" w:hAnsi="Times New Roman" w:eastAsia="方正仿宋_GBK" w:cs="Times New Roman"/>
          <w:color w:val="000000"/>
          <w:sz w:val="32"/>
          <w:szCs w:val="32"/>
        </w:rPr>
        <w:t>4</w:t>
      </w:r>
      <w:r>
        <w:rPr>
          <w:rFonts w:ascii="方正仿宋_GBK" w:hAnsi="Times New Roman" w:eastAsia="方正仿宋_GBK" w:cs="Times New Roman"/>
          <w:color w:val="000000"/>
          <w:sz w:val="32"/>
          <w:szCs w:val="32"/>
        </w:rPr>
        <w:t>个，在职人员</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7</w:t>
      </w:r>
      <w:r>
        <w:rPr>
          <w:rFonts w:ascii="方正仿宋_GBK" w:hAnsi="Times New Roman" w:eastAsia="方正仿宋_GBK" w:cs="Times New Roman"/>
          <w:color w:val="000000"/>
          <w:sz w:val="32"/>
          <w:szCs w:val="32"/>
        </w:rPr>
        <w:t>人，离休人员</w:t>
      </w:r>
      <w:r>
        <w:rPr>
          <w:rFonts w:ascii="Times New Roman" w:hAnsi="Times New Roman" w:eastAsia="方正仿宋_GBK" w:cs="Times New Roman"/>
          <w:color w:val="000000"/>
          <w:sz w:val="32"/>
          <w:szCs w:val="32"/>
        </w:rPr>
        <w:t>0</w:t>
      </w:r>
      <w:r>
        <w:rPr>
          <w:rFonts w:ascii="方正仿宋_GBK" w:hAnsi="Times New Roman" w:eastAsia="方正仿宋_GBK" w:cs="Times New Roman"/>
          <w:color w:val="000000"/>
          <w:sz w:val="32"/>
          <w:szCs w:val="32"/>
        </w:rPr>
        <w:t>人，退休人员</w:t>
      </w:r>
      <w:r>
        <w:rPr>
          <w:rFonts w:ascii="Times New Roman" w:hAnsi="Times New Roman" w:eastAsia="方正仿宋_GBK" w:cs="Times New Roman"/>
          <w:color w:val="000000"/>
          <w:sz w:val="32"/>
          <w:szCs w:val="32"/>
        </w:rPr>
        <w:t>0</w:t>
      </w:r>
      <w:r>
        <w:rPr>
          <w:rFonts w:ascii="方正仿宋_GBK" w:hAnsi="Times New Roman" w:eastAsia="方正仿宋_GBK" w:cs="Times New Roman"/>
          <w:color w:val="000000"/>
          <w:sz w:val="32"/>
          <w:szCs w:val="32"/>
        </w:rPr>
        <w:t>人，属区一级预算单位。下设</w:t>
      </w:r>
      <w:r>
        <w:rPr>
          <w:rFonts w:ascii="Times New Roman" w:hAnsi="Times New Roman" w:eastAsia="方正仿宋_GBK" w:cs="Times New Roman"/>
          <w:color w:val="000000"/>
          <w:sz w:val="32"/>
          <w:szCs w:val="32"/>
        </w:rPr>
        <w:t>0</w:t>
      </w:r>
      <w:r>
        <w:rPr>
          <w:rFonts w:ascii="方正仿宋_GBK" w:hAnsi="Times New Roman" w:eastAsia="方正仿宋_GBK" w:cs="Times New Roman"/>
          <w:color w:val="000000"/>
          <w:sz w:val="32"/>
          <w:szCs w:val="32"/>
        </w:rPr>
        <w:t>个副科级、</w:t>
      </w:r>
      <w:r>
        <w:rPr>
          <w:rFonts w:ascii="Times New Roman" w:hAnsi="Times New Roman" w:eastAsia="方正仿宋_GBK" w:cs="Times New Roman"/>
          <w:color w:val="000000"/>
          <w:sz w:val="32"/>
          <w:szCs w:val="32"/>
        </w:rPr>
        <w:t>0</w:t>
      </w:r>
      <w:r>
        <w:rPr>
          <w:rFonts w:ascii="方正仿宋_GBK" w:hAnsi="Times New Roman" w:eastAsia="方正仿宋_GBK" w:cs="Times New Roman"/>
          <w:color w:val="000000"/>
          <w:sz w:val="32"/>
          <w:szCs w:val="32"/>
        </w:rPr>
        <w:t>个股级直属单位，其中</w:t>
      </w:r>
      <w:r>
        <w:rPr>
          <w:rFonts w:ascii="Times New Roman" w:hAnsi="Times New Roman" w:eastAsia="方正仿宋_GBK" w:cs="Times New Roman"/>
          <w:color w:val="000000"/>
          <w:sz w:val="32"/>
          <w:szCs w:val="32"/>
        </w:rPr>
        <w:t>0</w:t>
      </w:r>
      <w:r>
        <w:rPr>
          <w:rFonts w:ascii="方正仿宋_GBK" w:hAnsi="Times New Roman" w:eastAsia="方正仿宋_GBK" w:cs="Times New Roman"/>
          <w:color w:val="000000"/>
          <w:sz w:val="32"/>
          <w:szCs w:val="32"/>
        </w:rPr>
        <w:t>个参照公务员法管理、</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0</w:t>
      </w:r>
      <w:r>
        <w:rPr>
          <w:rFonts w:ascii="方正仿宋_GBK" w:hAnsi="Times New Roman" w:eastAsia="方正仿宋_GBK" w:cs="Times New Roman"/>
          <w:color w:val="000000"/>
          <w:sz w:val="32"/>
          <w:szCs w:val="32"/>
        </w:rPr>
        <w:t>个全额拨款、</w:t>
      </w:r>
      <w:r>
        <w:rPr>
          <w:rFonts w:ascii="Times New Roman" w:hAnsi="Times New Roman" w:eastAsia="方正仿宋_GBK" w:cs="Times New Roman"/>
          <w:color w:val="000000"/>
          <w:sz w:val="32"/>
          <w:szCs w:val="32"/>
        </w:rPr>
        <w:t>0</w:t>
      </w:r>
      <w:r>
        <w:rPr>
          <w:rFonts w:ascii="方正仿宋_GBK" w:hAnsi="Times New Roman" w:eastAsia="方正仿宋_GBK" w:cs="Times New Roman"/>
          <w:color w:val="000000"/>
          <w:sz w:val="32"/>
          <w:szCs w:val="32"/>
        </w:rPr>
        <w:t>个差额拨款、</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7</w:t>
      </w:r>
      <w:r>
        <w:rPr>
          <w:rFonts w:ascii="方正仿宋_GBK" w:hAnsi="Times New Roman" w:eastAsia="方正仿宋_GBK" w:cs="Times New Roman"/>
          <w:color w:val="000000"/>
          <w:sz w:val="32"/>
          <w:szCs w:val="32"/>
        </w:rPr>
        <w:t>个自收自支人员。</w:t>
      </w:r>
    </w:p>
    <w:p>
      <w:pPr>
        <w:pStyle w:val="10"/>
        <w:widowControl/>
        <w:spacing w:line="600" w:lineRule="exact"/>
        <w:ind w:left="0" w:leftChars="0" w:firstLine="960" w:firstLineChars="3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spacing w:line="60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spacing w:line="600" w:lineRule="exact"/>
        <w:ind w:firstLine="640" w:firstLineChars="200"/>
        <w:rPr>
          <w:rFonts w:hint="eastAsia" w:ascii="方正仿宋_GBK"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方正仿宋_GBK" w:hAnsi="Times New Roman" w:eastAsia="方正仿宋_GBK" w:cs="Times New Roman"/>
          <w:sz w:val="32"/>
          <w:szCs w:val="32"/>
        </w:rPr>
        <w:t>年度</w:t>
      </w:r>
      <w:r>
        <w:rPr>
          <w:rFonts w:hint="eastAsia" w:ascii="方正仿宋_GBK" w:hAnsi="Times New Roman" w:eastAsia="方正仿宋_GBK" w:cs="Times New Roman"/>
          <w:sz w:val="32"/>
          <w:szCs w:val="32"/>
          <w:lang w:eastAsia="zh-CN"/>
        </w:rPr>
        <w:t>基本</w:t>
      </w:r>
      <w:r>
        <w:rPr>
          <w:rFonts w:ascii="方正仿宋_GBK" w:hAnsi="Times New Roman" w:eastAsia="方正仿宋_GBK" w:cs="Times New Roman"/>
          <w:sz w:val="32"/>
          <w:szCs w:val="32"/>
        </w:rPr>
        <w:t>支出</w:t>
      </w:r>
      <w:r>
        <w:rPr>
          <w:rFonts w:hint="eastAsia" w:ascii="方正仿宋_GBK" w:hAnsi="Times New Roman" w:eastAsia="方正仿宋_GBK" w:cs="Times New Roman"/>
          <w:sz w:val="32"/>
          <w:szCs w:val="32"/>
          <w:lang w:val="en-US" w:eastAsia="zh-CN"/>
        </w:rPr>
        <w:t>386.63</w:t>
      </w:r>
      <w:r>
        <w:rPr>
          <w:rFonts w:ascii="方正仿宋_GBK" w:hAnsi="Times New Roman" w:eastAsia="方正仿宋_GBK" w:cs="Times New Roman"/>
          <w:sz w:val="32"/>
          <w:szCs w:val="32"/>
        </w:rPr>
        <w:t>万元，其中</w:t>
      </w:r>
      <w:r>
        <w:rPr>
          <w:rFonts w:hint="eastAsia" w:ascii="方正仿宋_GBK" w:hAnsi="Times New Roman" w:eastAsia="方正仿宋_GBK" w:cs="Times New Roman"/>
          <w:sz w:val="32"/>
          <w:szCs w:val="32"/>
          <w:lang w:eastAsia="zh-CN"/>
        </w:rPr>
        <w:t>一般公共服务支出</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48.18</w:t>
      </w:r>
      <w:r>
        <w:rPr>
          <w:rFonts w:ascii="方正仿宋_GBK" w:hAnsi="Times New Roman" w:eastAsia="方正仿宋_GBK" w:cs="Times New Roman"/>
          <w:sz w:val="32"/>
          <w:szCs w:val="32"/>
        </w:rPr>
        <w:t>万元；</w:t>
      </w:r>
      <w:r>
        <w:rPr>
          <w:rFonts w:hint="eastAsia" w:ascii="方正仿宋_GBK" w:hAnsi="Times New Roman" w:eastAsia="方正仿宋_GBK" w:cs="Times New Roman"/>
          <w:sz w:val="32"/>
          <w:szCs w:val="32"/>
          <w:lang w:eastAsia="zh-CN"/>
        </w:rPr>
        <w:t>科学技术支出</w:t>
      </w:r>
      <w:r>
        <w:rPr>
          <w:rFonts w:hint="eastAsia" w:ascii="方正仿宋_GBK" w:hAnsi="Times New Roman" w:eastAsia="方正仿宋_GBK" w:cs="Times New Roman"/>
          <w:sz w:val="32"/>
          <w:szCs w:val="32"/>
          <w:lang w:val="en-US" w:eastAsia="zh-CN"/>
        </w:rPr>
        <w:t>0.10万元；社会保障就业支出13.86万元；</w:t>
      </w:r>
      <w:r>
        <w:rPr>
          <w:rFonts w:hint="eastAsia" w:ascii="方正仿宋_GBK" w:hAnsi="Times New Roman" w:eastAsia="方正仿宋_GBK" w:cs="Times New Roman"/>
          <w:sz w:val="32"/>
          <w:szCs w:val="32"/>
        </w:rPr>
        <w:t>卫生健康支出</w:t>
      </w:r>
      <w:r>
        <w:rPr>
          <w:rFonts w:hint="eastAsia" w:ascii="方正仿宋_GBK" w:hAnsi="Times New Roman" w:eastAsia="方正仿宋_GBK" w:cs="Times New Roman"/>
          <w:sz w:val="32"/>
          <w:szCs w:val="32"/>
          <w:lang w:val="en-US" w:eastAsia="zh-CN"/>
        </w:rPr>
        <w:t>6.04</w:t>
      </w:r>
      <w:r>
        <w:rPr>
          <w:rFonts w:hint="eastAsia" w:ascii="方正仿宋_GBK" w:hAnsi="Times New Roman" w:eastAsia="方正仿宋_GBK" w:cs="Times New Roman"/>
          <w:sz w:val="32"/>
          <w:szCs w:val="32"/>
        </w:rPr>
        <w:t>万元；</w:t>
      </w:r>
      <w:r>
        <w:rPr>
          <w:rFonts w:ascii="方正仿宋_GBK" w:hAnsi="Times New Roman" w:eastAsia="方正仿宋_GBK" w:cs="Times New Roman"/>
          <w:sz w:val="32"/>
          <w:szCs w:val="32"/>
        </w:rPr>
        <w:t>自然资源海洋气象等支出</w:t>
      </w:r>
      <w:r>
        <w:rPr>
          <w:rFonts w:hint="eastAsia" w:ascii="方正仿宋_GBK" w:hAnsi="Times New Roman" w:eastAsia="方正仿宋_GBK" w:cs="Times New Roman"/>
          <w:sz w:val="32"/>
          <w:szCs w:val="32"/>
          <w:lang w:val="en-US" w:eastAsia="zh-CN"/>
        </w:rPr>
        <w:t>9.32</w:t>
      </w:r>
      <w:r>
        <w:rPr>
          <w:rFonts w:ascii="方正仿宋_GBK" w:hAnsi="Times New Roman" w:eastAsia="方正仿宋_GBK" w:cs="Times New Roman"/>
          <w:sz w:val="32"/>
          <w:szCs w:val="32"/>
        </w:rPr>
        <w:t>万元；住房保障支出</w:t>
      </w:r>
      <w:r>
        <w:rPr>
          <w:rFonts w:hint="eastAsia" w:ascii="方正仿宋_GBK" w:hAnsi="Times New Roman" w:eastAsia="方正仿宋_GBK" w:cs="Times New Roman"/>
          <w:sz w:val="32"/>
          <w:szCs w:val="32"/>
          <w:lang w:val="en-US" w:eastAsia="zh-CN"/>
        </w:rPr>
        <w:t>11.41</w:t>
      </w:r>
      <w:r>
        <w:rPr>
          <w:rFonts w:ascii="方正仿宋_GBK" w:hAnsi="Times New Roman" w:eastAsia="方正仿宋_GBK" w:cs="Times New Roman"/>
          <w:sz w:val="32"/>
          <w:szCs w:val="32"/>
        </w:rPr>
        <w:t>万元</w:t>
      </w:r>
      <w:r>
        <w:rPr>
          <w:rFonts w:hint="eastAsia" w:ascii="方正仿宋_GBK" w:hAnsi="Times New Roman" w:eastAsia="方正仿宋_GBK" w:cs="Times New Roman"/>
          <w:sz w:val="32"/>
          <w:szCs w:val="32"/>
        </w:rPr>
        <w:t>；其他支出</w:t>
      </w:r>
      <w:r>
        <w:rPr>
          <w:rFonts w:hint="eastAsia" w:ascii="方正仿宋_GBK" w:hAnsi="Times New Roman" w:eastAsia="方正仿宋_GBK" w:cs="Times New Roman"/>
          <w:sz w:val="32"/>
          <w:szCs w:val="32"/>
          <w:lang w:val="en-US" w:eastAsia="zh-CN"/>
        </w:rPr>
        <w:t>197.72</w:t>
      </w:r>
      <w:r>
        <w:rPr>
          <w:rFonts w:hint="eastAsia" w:ascii="方正仿宋_GBK" w:hAnsi="Times New Roman" w:eastAsia="方正仿宋_GBK" w:cs="Times New Roman"/>
          <w:sz w:val="32"/>
          <w:szCs w:val="32"/>
        </w:rPr>
        <w:t>万元。</w:t>
      </w:r>
    </w:p>
    <w:p>
      <w:pPr>
        <w:numPr>
          <w:ilvl w:val="0"/>
          <w:numId w:val="0"/>
        </w:numPr>
        <w:spacing w:line="600" w:lineRule="exact"/>
        <w:ind w:firstLine="640" w:firstLineChars="200"/>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项目支出情况</w:t>
      </w:r>
    </w:p>
    <w:p>
      <w:pPr>
        <w:numPr>
          <w:ilvl w:val="0"/>
          <w:numId w:val="0"/>
        </w:num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2023年项目支出829.99万元，主要是城乡社区支出S330淦田段道路建设征拆资金和国有土地使用权出让收入安排的青龙湾项目征拆资金。</w:t>
      </w:r>
    </w:p>
    <w:p>
      <w:pPr>
        <w:numPr>
          <w:ilvl w:val="0"/>
          <w:numId w:val="0"/>
        </w:numPr>
        <w:spacing w:line="600" w:lineRule="exact"/>
        <w:ind w:firstLine="640" w:firstLineChars="200"/>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三、</w:t>
      </w:r>
      <w:r>
        <w:rPr>
          <w:rFonts w:hint="default" w:ascii="Times New Roman" w:hAnsi="Times New Roman" w:eastAsia="黑体" w:cs="Times New Roman"/>
          <w:kern w:val="2"/>
          <w:sz w:val="32"/>
          <w:szCs w:val="32"/>
          <w:lang w:val="en-US" w:eastAsia="zh-CN" w:bidi="ar"/>
        </w:rPr>
        <w:t>部门整体支出绩效情况</w:t>
      </w:r>
    </w:p>
    <w:p>
      <w:pPr>
        <w:numPr>
          <w:ilvl w:val="0"/>
          <w:numId w:val="0"/>
        </w:num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2023</w:t>
      </w:r>
      <w:r>
        <w:rPr>
          <w:rFonts w:hint="eastAsia" w:ascii="方正仿宋_GBK" w:hAnsi="Times New Roman" w:eastAsia="方正仿宋_GBK" w:cs="Times New Roman"/>
          <w:sz w:val="32"/>
          <w:szCs w:val="32"/>
          <w:lang w:val="en-US" w:eastAsia="zh-CN"/>
        </w:rPr>
        <w:t>年</w:t>
      </w:r>
      <w:r>
        <w:rPr>
          <w:rFonts w:ascii="方正仿宋_GBK" w:hAnsi="Times New Roman" w:eastAsia="方正仿宋_GBK" w:cs="Times New Roman"/>
          <w:sz w:val="32"/>
          <w:szCs w:val="32"/>
        </w:rPr>
        <w:t>我</w:t>
      </w:r>
      <w:r>
        <w:rPr>
          <w:rFonts w:hint="eastAsia" w:ascii="方正仿宋_GBK" w:hAnsi="Times New Roman" w:eastAsia="方正仿宋_GBK" w:cs="Times New Roman"/>
          <w:sz w:val="32"/>
          <w:szCs w:val="32"/>
          <w:lang w:eastAsia="zh-CN"/>
        </w:rPr>
        <w:t>中心</w:t>
      </w:r>
      <w:r>
        <w:rPr>
          <w:rFonts w:ascii="方正仿宋_GBK" w:hAnsi="Times New Roman" w:eastAsia="方正仿宋_GBK" w:cs="Times New Roman"/>
          <w:sz w:val="32"/>
          <w:szCs w:val="32"/>
        </w:rPr>
        <w:t>整体支出绩效良好。全面完成相关绩效目标任务。在区委的正确领导下，</w:t>
      </w:r>
      <w:r>
        <w:rPr>
          <w:rFonts w:hint="eastAsia" w:ascii="方正仿宋_GBK" w:hAnsi="Times New Roman" w:eastAsia="方正仿宋_GBK" w:cs="Times New Roman"/>
          <w:sz w:val="32"/>
          <w:szCs w:val="32"/>
          <w:lang w:eastAsia="zh-CN"/>
        </w:rPr>
        <w:t>我中心</w:t>
      </w:r>
      <w:r>
        <w:rPr>
          <w:rFonts w:ascii="方正仿宋_GBK" w:hAnsi="Times New Roman" w:eastAsia="方正仿宋_GBK" w:cs="Times New Roman"/>
          <w:sz w:val="32"/>
          <w:szCs w:val="32"/>
        </w:rPr>
        <w:t>按照</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高标准、高效能、高质量</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的要求，坚持以习近平新时代中国特色社会主义思想为指导，自觉践行</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五个坚持</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，着力当好党的卫士、参谋助手、督办能手，全面提升服务质量和水平，圆满完成各项工作任务。</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lang w:val="en-US" w:eastAsia="zh-CN"/>
        </w:rPr>
        <w:t>1.</w:t>
      </w:r>
      <w:r>
        <w:rPr>
          <w:rFonts w:hint="default" w:ascii="方正仿宋_GBK" w:hAnsi="Times New Roman" w:eastAsia="方正仿宋_GBK" w:cs="Times New Roman"/>
          <w:sz w:val="32"/>
          <w:szCs w:val="32"/>
          <w:lang w:eastAsia="zh-CN"/>
        </w:rPr>
        <w:t>聚焦目标任务，确保考核排名靠前。2023年，市对区考核项目共计25个，其中集体项目24个、征地面积2841亩（11月新增450亩），国有项目1个、房屋面积10118平方米。一年来，区征地中心始终坚持目标导向，努力奋勇争先，除G4项目外，至目前已完成集体项目24个，征地补偿各类土地2998亩；国有项目房屋征收协议签订全面完成。三季度全市征拆工作考核我区居五县市第一。</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lang w:val="en-US" w:eastAsia="zh-CN"/>
        </w:rPr>
        <w:t>2.</w:t>
      </w:r>
      <w:r>
        <w:rPr>
          <w:rFonts w:hint="default" w:ascii="方正仿宋_GBK" w:hAnsi="Times New Roman" w:eastAsia="方正仿宋_GBK" w:cs="Times New Roman"/>
          <w:sz w:val="32"/>
          <w:szCs w:val="32"/>
          <w:lang w:eastAsia="zh-CN"/>
        </w:rPr>
        <w:t>聚焦重心重点，加强土地要素保障。争取区委、区政府重视，全区6条输变电线路建设工程召开动员部署会，目前各镇征拆工作正在全力推进，部分镇实现半个月签订交地协议；下好先手棋，积极谋划G4项目业务培训、资金测算、安置管理等工作，加强与市交通局对接、反映渌口诉求；严把政策标准，注重降本增效，稳步推进大唐华银及S330线、湘江流域东岸治理、大唐华银风电、梅子湖片区等全区重点项目稳步有序推进；实施攻坚行动，强化责任和担当，加快华新新材料、南洲生态新城等项目的清零扫尾，仅华新项目签订房屋征收协议39栋并全部倒房，赢得企业赞扬。今年以来，全区累计完成房屋征拆71栋，征收集体土地1032亩。</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lang w:val="en-US" w:eastAsia="zh-CN"/>
        </w:rPr>
        <w:t>3.</w:t>
      </w:r>
      <w:r>
        <w:rPr>
          <w:rFonts w:hint="default" w:ascii="方正仿宋_GBK" w:hAnsi="Times New Roman" w:eastAsia="方正仿宋_GBK" w:cs="Times New Roman"/>
          <w:sz w:val="32"/>
          <w:szCs w:val="32"/>
          <w:lang w:eastAsia="zh-CN"/>
        </w:rPr>
        <w:t>聚焦顶层设计，推动征拆规范高效。一是出台安置办法。汇聚各级智慧，拟定《渌口区拆迁安置办法（试行）》，已通过区委、区政府审议并发文，全区安置管理工作将有章可循。二是抓实房屋合法性认定。明确相关操作办法、部门职责和工作机制，目前房屋合法性认定工作正在顺利高效实施。三是推动征拆方式转变。尝试实施以中心组织、镇级包干、部门配合的征拆方式，“大包干”激活“一池春水”，既严把了政策标准，又提高了各级活力，展现了明显的工作成效。</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lang w:val="en-US" w:eastAsia="zh-CN"/>
        </w:rPr>
        <w:t>4.</w:t>
      </w:r>
      <w:r>
        <w:rPr>
          <w:rFonts w:hint="default" w:ascii="方正仿宋_GBK" w:hAnsi="Times New Roman" w:eastAsia="方正仿宋_GBK" w:cs="Times New Roman"/>
          <w:sz w:val="32"/>
          <w:szCs w:val="32"/>
          <w:lang w:eastAsia="zh-CN"/>
        </w:rPr>
        <w:t>聚</w:t>
      </w:r>
      <w:r>
        <w:rPr>
          <w:rFonts w:hint="eastAsia" w:ascii="方正仿宋_GBK" w:hAnsi="Times New Roman" w:eastAsia="方正仿宋_GBK" w:cs="Times New Roman"/>
          <w:sz w:val="32"/>
          <w:szCs w:val="32"/>
          <w:lang w:eastAsia="zh-CN"/>
        </w:rPr>
        <w:t>焦</w:t>
      </w:r>
      <w:r>
        <w:rPr>
          <w:rFonts w:hint="default" w:ascii="方正仿宋_GBK" w:hAnsi="Times New Roman" w:eastAsia="方正仿宋_GBK" w:cs="Times New Roman"/>
          <w:sz w:val="32"/>
          <w:szCs w:val="32"/>
          <w:lang w:eastAsia="zh-CN"/>
        </w:rPr>
        <w:t>队伍建设，激发工作效能提升。一是注重能力提升。承办了全区征拆业务培训会，对现行征拆征收政策进行了解读，提高了全区征拆工作人员的业务水平。二是注重作风建设。结合“项目攻坚年”和“作风建设年”活动，坚持领导带头、加强正向激励，努力打造了一支业务强、作风优的干部队伍。三是注重党建引领。加强机关作风建设，引导党员干部驻守一线“挂牌包点”，亮身份、亮承诺、亮业绩，兜底急、难、重任务，一批“久攻不下”的问题得以突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四、存在的问题及原因分析</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default" w:ascii="方正仿宋_GBK" w:hAnsi="Times New Roman" w:eastAsia="方正仿宋_GBK" w:cs="Times New Roman"/>
          <w:sz w:val="32"/>
          <w:szCs w:val="32"/>
          <w:lang w:eastAsia="zh-CN"/>
        </w:rPr>
        <w:t>一是征拆资金还存在支付不及时、不到位情况，部分项目签订征收协议后未按协议约定完成征拆补偿款支付，涉征群体反映强烈。</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default" w:ascii="方正仿宋_GBK" w:hAnsi="Times New Roman" w:eastAsia="方正仿宋_GBK" w:cs="Times New Roman"/>
          <w:sz w:val="32"/>
          <w:szCs w:val="32"/>
          <w:lang w:eastAsia="zh-CN"/>
        </w:rPr>
        <w:t>二是群众对征拆补偿的期望值越来越高，常因山林田土房等利益诉求产生信访予盾；有的项目因实施时间跨度长，政策标准不一，以及代建房没交付、补偿款没支付等问题，致使信访矛盾问题增加。</w:t>
      </w:r>
    </w:p>
    <w:p>
      <w:pPr>
        <w:numPr>
          <w:ilvl w:val="0"/>
          <w:numId w:val="0"/>
        </w:numPr>
        <w:spacing w:line="600" w:lineRule="exact"/>
        <w:ind w:firstLine="640" w:firstLineChars="200"/>
        <w:rPr>
          <w:rFonts w:hint="default" w:ascii="方正仿宋_GBK" w:hAnsi="Times New Roman" w:eastAsia="方正仿宋_GBK" w:cs="Times New Roman"/>
          <w:sz w:val="32"/>
          <w:szCs w:val="32"/>
          <w:lang w:eastAsia="zh-CN"/>
        </w:rPr>
      </w:pPr>
      <w:r>
        <w:rPr>
          <w:rFonts w:hint="default" w:ascii="方正仿宋_GBK" w:hAnsi="Times New Roman" w:eastAsia="方正仿宋_GBK" w:cs="Times New Roman"/>
          <w:sz w:val="32"/>
          <w:szCs w:val="32"/>
          <w:lang w:eastAsia="zh-CN"/>
        </w:rPr>
        <w:t>三是工作活力不够强，工作压力传导不够，需要在实践中进一步健全完善征拆工作机制体制。</w:t>
      </w:r>
    </w:p>
    <w:p>
      <w:pPr>
        <w:numPr>
          <w:ilvl w:val="0"/>
          <w:numId w:val="1"/>
        </w:numPr>
        <w:spacing w:line="600" w:lineRule="exact"/>
        <w:ind w:firstLine="707" w:firstLineChars="221"/>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numPr>
          <w:ilvl w:val="0"/>
          <w:numId w:val="0"/>
        </w:numPr>
        <w:spacing w:line="60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进一步规范我</w:t>
      </w:r>
      <w:r>
        <w:rPr>
          <w:rFonts w:hint="eastAsia" w:ascii="方正仿宋_GBK" w:hAnsi="Times New Roman" w:eastAsia="方正仿宋_GBK" w:cs="Times New Roman"/>
          <w:sz w:val="32"/>
          <w:szCs w:val="32"/>
          <w:lang w:eastAsia="zh-CN"/>
        </w:rPr>
        <w:t>中心</w:t>
      </w:r>
      <w:r>
        <w:rPr>
          <w:rFonts w:ascii="方正仿宋_GBK" w:hAnsi="Times New Roman" w:eastAsia="方正仿宋_GBK" w:cs="Times New Roman"/>
          <w:sz w:val="32"/>
          <w:szCs w:val="32"/>
        </w:rPr>
        <w:t>资金及预决算管理，按照</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谁支出、谁负责</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的原则，加强预算绩效日常监控，围绕绩效目标，适时监控绩效目标实现程度和预算执行情况，及时掌握绩效运行情况、资金支出进度等。</w:t>
      </w:r>
    </w:p>
    <w:p>
      <w:pPr>
        <w:numPr>
          <w:ilvl w:val="0"/>
          <w:numId w:val="0"/>
        </w:numPr>
        <w:spacing w:line="600" w:lineRule="exact"/>
        <w:ind w:firstLine="640" w:firstLineChars="200"/>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六、</w:t>
      </w:r>
      <w:r>
        <w:rPr>
          <w:rFonts w:hint="default" w:ascii="Times New Roman" w:hAnsi="Times New Roman" w:eastAsia="黑体" w:cs="Times New Roman"/>
          <w:kern w:val="2"/>
          <w:sz w:val="32"/>
          <w:szCs w:val="32"/>
          <w:lang w:val="en-US" w:eastAsia="zh-CN" w:bidi="ar"/>
        </w:rPr>
        <w:t>绩效自评结果拟应用和公开情况</w:t>
      </w:r>
    </w:p>
    <w:p>
      <w:pPr>
        <w:numPr>
          <w:ilvl w:val="0"/>
          <w:numId w:val="0"/>
        </w:numPr>
        <w:spacing w:line="600" w:lineRule="exact"/>
        <w:ind w:firstLine="640" w:firstLineChars="20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本单位2023年整体绩效自评结果会应用到2024年项目绩效评价中，更好的管理和使用项目资金。2023年项目绩效自评情况会在规定的时间内，在株洲市渌口区人民政府门户网公开。</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bookmarkStart w:id="0" w:name="_GoBack"/>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7"/>
        <w:tblpPr w:leftFromText="180" w:rightFromText="180" w:vertAnchor="text" w:horzAnchor="page" w:tblpX="1155" w:tblpY="291"/>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339"/>
        <w:gridCol w:w="988"/>
        <w:gridCol w:w="1125"/>
        <w:gridCol w:w="1260"/>
        <w:gridCol w:w="533"/>
        <w:gridCol w:w="834"/>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株洲市渌口区征地工作协调服务中心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9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829.99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829.99</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829.99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829.99</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加快项目推进，保障项目用地需求</w:t>
            </w:r>
            <w:r>
              <w:rPr>
                <w:rFonts w:hint="default" w:ascii="Times New Roman" w:hAnsi="Times New Roman" w:eastAsia="仿宋_GB2312" w:cs="Times New Roman"/>
                <w:kern w:val="0"/>
                <w:sz w:val="21"/>
                <w:szCs w:val="21"/>
                <w:lang w:val="en-US" w:eastAsia="zh-CN" w:bidi="ar"/>
              </w:rPr>
              <w:t>　　</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全面完成区委、区政府交办的征拆任务工作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土地征收</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2840亩</w:t>
            </w:r>
            <w:r>
              <w:rPr>
                <w:rFonts w:hint="default" w:ascii="Times New Roman" w:hAnsi="Times New Roman" w:eastAsia="仿宋_GB2312" w:cs="Times New Roman"/>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2998亩</w:t>
            </w:r>
            <w:r>
              <w:rPr>
                <w:rFonts w:hint="default" w:ascii="Times New Roman" w:hAnsi="Times New Roman" w:eastAsia="仿宋_GB2312" w:cs="Times New Roman"/>
                <w:kern w:val="0"/>
                <w:sz w:val="21"/>
                <w:szCs w:val="21"/>
                <w:lang w:val="en-US" w:eastAsia="zh-CN" w:bidi="ar"/>
              </w:rPr>
              <w:t>　</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房屋拆除</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71栋</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71栋</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保障项目进度用地进程</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征拆资金补偿拨付及时率</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征拆投入</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829.99万元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829.99万元</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税收递增</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当地经济发展增长</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15%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15%</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增加就业率</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20%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宋体" w:hAnsi="宋体" w:eastAsia="宋体" w:cs="宋体"/>
                <w:kern w:val="0"/>
                <w:sz w:val="21"/>
                <w:szCs w:val="21"/>
                <w:lang w:val="en-US" w:eastAsia="zh-CN" w:bidi="ar"/>
              </w:rPr>
              <w:t>≧</w:t>
            </w:r>
            <w:r>
              <w:rPr>
                <w:rFonts w:hint="eastAsia" w:ascii="仿宋_GB2312" w:hAnsi="仿宋_GB2312" w:eastAsia="仿宋_GB2312" w:cs="仿宋_GB2312"/>
                <w:kern w:val="0"/>
                <w:sz w:val="21"/>
                <w:szCs w:val="21"/>
                <w:lang w:val="en-US" w:eastAsia="zh-CN" w:bidi="ar"/>
              </w:rPr>
              <w:t>20%</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拆迁对象满意度</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bookmarkEnd w:id="0"/>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10"/>
        <w:widowControl/>
        <w:numPr>
          <w:ilvl w:val="0"/>
          <w:numId w:val="0"/>
        </w:numPr>
        <w:tabs>
          <w:tab w:val="left" w:pos="1077"/>
        </w:tabs>
        <w:spacing w:line="600" w:lineRule="exact"/>
        <w:ind w:right="0" w:rightChars="0" w:firstLine="2508" w:firstLineChars="600"/>
        <w:jc w:val="both"/>
        <w:rPr>
          <w:rFonts w:hint="eastAsia" w:ascii="方正小标宋_GBK" w:hAnsi="方正小标宋_GBK" w:eastAsia="方正小标宋_GBK" w:cs="方正小标宋_GBK"/>
          <w:bCs/>
          <w:w w:val="95"/>
          <w:sz w:val="44"/>
          <w:szCs w:val="44"/>
          <w:lang w:eastAsia="zh-CN"/>
        </w:rPr>
      </w:pPr>
      <w:r>
        <w:rPr>
          <w:rFonts w:hint="eastAsia" w:ascii="方正小标宋_GBK" w:hAnsi="方正小标宋_GBK" w:eastAsia="方正小标宋_GBK" w:cs="方正小标宋_GBK"/>
          <w:bCs/>
          <w:w w:val="95"/>
          <w:sz w:val="44"/>
          <w:szCs w:val="44"/>
          <w:lang w:eastAsia="zh-CN"/>
        </w:rPr>
        <w:t>项目支出绩效自评报告</w:t>
      </w:r>
    </w:p>
    <w:p>
      <w:pPr>
        <w:pStyle w:val="10"/>
        <w:widowControl/>
        <w:numPr>
          <w:ilvl w:val="0"/>
          <w:numId w:val="0"/>
        </w:numPr>
        <w:tabs>
          <w:tab w:val="left" w:pos="1077"/>
        </w:tabs>
        <w:spacing w:line="600" w:lineRule="exact"/>
        <w:ind w:right="0" w:rightChars="0" w:firstLine="576" w:firstLineChars="200"/>
        <w:jc w:val="center"/>
        <w:rPr>
          <w:rFonts w:hint="default" w:ascii="Times New Roman" w:hAnsi="Times New Roman" w:eastAsia="仿宋" w:cs="Times New Roman"/>
          <w:w w:val="80"/>
          <w:sz w:val="32"/>
          <w:szCs w:val="32"/>
          <w:lang w:val="en-US"/>
        </w:rPr>
      </w:pPr>
      <w:r>
        <w:rPr>
          <w:rFonts w:hint="eastAsia" w:ascii="Times New Roman" w:hAnsi="Times New Roman" w:eastAsia="仿宋_GB2312" w:cs="Times New Roman"/>
          <w:w w:val="90"/>
          <w:sz w:val="32"/>
          <w:szCs w:val="32"/>
          <w:lang w:val="en-US" w:eastAsia="zh-CN"/>
        </w:rPr>
        <w:t>株洲市渌口区征地工作协调服务中心</w:t>
      </w:r>
    </w:p>
    <w:p>
      <w:pPr>
        <w:pStyle w:val="10"/>
        <w:widowControl/>
        <w:spacing w:line="600" w:lineRule="exact"/>
        <w:ind w:left="0" w:firstLine="0"/>
        <w:rPr>
          <w:rFonts w:hint="default" w:ascii="Times New Roman" w:hAnsi="Times New Roman" w:eastAsia="仿宋" w:cs="Times New Roman"/>
          <w:bCs/>
          <w:sz w:val="32"/>
          <w:szCs w:val="32"/>
          <w:lang w:val="en-US"/>
        </w:rPr>
      </w:pPr>
    </w:p>
    <w:p>
      <w:pPr>
        <w:pStyle w:val="10"/>
        <w:widowControl/>
        <w:numPr>
          <w:ilvl w:val="0"/>
          <w:numId w:val="0"/>
        </w:numPr>
        <w:tabs>
          <w:tab w:val="left" w:pos="1077"/>
        </w:tabs>
        <w:spacing w:line="600" w:lineRule="exact"/>
        <w:ind w:leftChars="200" w:right="0" w:rightChars="0" w:firstLine="320" w:firstLineChars="100"/>
        <w:jc w:val="left"/>
        <w:rPr>
          <w:rFonts w:hint="eastAsia" w:ascii="Times New Roman" w:hAnsi="Times New Roman" w:eastAsia="仿宋_GB2312" w:cs="Times New Roman"/>
          <w:w w:val="90"/>
          <w:sz w:val="32"/>
          <w:szCs w:val="32"/>
          <w:lang w:val="en-US"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lang w:eastAsia="zh-CN"/>
        </w:rPr>
        <w:t>绩效自评工作开展情况</w:t>
      </w:r>
    </w:p>
    <w:p>
      <w:pPr>
        <w:pStyle w:val="10"/>
        <w:widowControl/>
        <w:numPr>
          <w:ilvl w:val="0"/>
          <w:numId w:val="0"/>
        </w:numPr>
        <w:tabs>
          <w:tab w:val="left" w:pos="1077"/>
        </w:tabs>
        <w:spacing w:line="600" w:lineRule="exact"/>
        <w:ind w:right="0" w:rightChars="0" w:firstLine="576" w:firstLineChars="200"/>
        <w:jc w:val="left"/>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根据项目绩效管理要求。2023年，本单位组织了相关业务科室，对本年项目资金进行了绩效自评。</w:t>
      </w:r>
    </w:p>
    <w:p>
      <w:pPr>
        <w:pStyle w:val="10"/>
        <w:widowControl/>
        <w:numPr>
          <w:ilvl w:val="0"/>
          <w:numId w:val="0"/>
        </w:numPr>
        <w:tabs>
          <w:tab w:val="left" w:pos="1077"/>
        </w:tabs>
        <w:spacing w:line="600" w:lineRule="exact"/>
        <w:ind w:right="0" w:rightChars="0" w:firstLine="576" w:firstLineChars="200"/>
        <w:jc w:val="left"/>
        <w:rPr>
          <w:rFonts w:hint="eastAsia"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2023年度城乡社区支出的项目征地和拆迁补偿专项资金629.99万元，城乡社区支出国有土地使用权出让安排的收入征拆专项资金200万元，共涉及资金829.99万元，完成项目支出829.99万元。从评价情况来看，承办的征地专项资金支出严格按照省、市、区的文件规定，依法征拆，确保了征拆款项及时到位，有效的促进了项目推进，保障了项目用地需求。</w:t>
      </w:r>
    </w:p>
    <w:p>
      <w:pPr>
        <w:pStyle w:val="10"/>
        <w:widowControl/>
        <w:spacing w:line="600" w:lineRule="exact"/>
        <w:ind w:left="0" w:leftChars="0" w:firstLine="960" w:firstLineChars="3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0"/>
        <w:widowControl/>
        <w:numPr>
          <w:ilvl w:val="0"/>
          <w:numId w:val="0"/>
        </w:numPr>
        <w:tabs>
          <w:tab w:val="left" w:pos="1077"/>
        </w:tabs>
        <w:spacing w:line="600" w:lineRule="exact"/>
        <w:ind w:right="0" w:rightChars="0" w:firstLine="608" w:firstLineChars="200"/>
        <w:jc w:val="left"/>
        <w:rPr>
          <w:rFonts w:hint="default" w:ascii="Times New Roman" w:hAnsi="Times New Roman" w:eastAsia="方正楷体_GBK" w:cs="Times New Roman"/>
          <w:w w:val="95"/>
          <w:sz w:val="32"/>
          <w:szCs w:val="32"/>
          <w:lang w:eastAsia="zh-CN"/>
        </w:rPr>
      </w:pPr>
      <w:r>
        <w:rPr>
          <w:rFonts w:hint="default" w:ascii="Times New Roman" w:hAnsi="Times New Roman" w:eastAsia="方正楷体_GBK" w:cs="Times New Roman"/>
          <w:w w:val="95"/>
          <w:sz w:val="32"/>
          <w:szCs w:val="32"/>
          <w:lang w:eastAsia="zh-CN"/>
        </w:rPr>
        <w:t>（一）资金投入情况分析。</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val="en-US" w:eastAsia="zh-CN"/>
        </w:rPr>
        <w:t>项目资金到位情况分析。</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本单位2023年度，城乡社区支出中的项目征地拆迁资金829.99万元，实际完成项目支出829.99万元，全部按进度支付到位。</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val="en-US" w:eastAsia="zh-CN"/>
        </w:rPr>
        <w:t>项目资金执行情况分析。</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本单位2023年承办的征拆项目征地拆迁专项资金829.99万元，是严格按照省、市、区的征拆文件要求，按政策全部按进度补偿到位。执行率100%。</w:t>
      </w:r>
    </w:p>
    <w:p>
      <w:pPr>
        <w:pStyle w:val="10"/>
        <w:widowControl/>
        <w:numPr>
          <w:ilvl w:val="0"/>
          <w:numId w:val="0"/>
        </w:numPr>
        <w:tabs>
          <w:tab w:val="left" w:pos="1080"/>
        </w:tabs>
        <w:spacing w:line="600" w:lineRule="exact"/>
        <w:ind w:left="781"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本单位财务管理严格按照政府会计制度以及相关的法律法规执行。一是对本单位的项目资金进行绩效管理，严格按照征地拆迁工作的相关条例、政策、法律法规及管理办法拨付资金。二是坚持依法行政、依法办事，统一征拆模式、统一程序、统一标准，阳光征拆，有效的用好资金。</w:t>
      </w:r>
    </w:p>
    <w:p>
      <w:pPr>
        <w:pStyle w:val="3"/>
        <w:widowControl/>
        <w:spacing w:line="600" w:lineRule="exact"/>
        <w:ind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征地拆迁项目经费分析：产出数量目标完成土地征收2840亩，房屋征拆71栋，实际完成土地征收2998亩，房屋征拆71栋；质量指标是达到了目标任务，保障项目用地，实际已完成征地任务，保证项目进程；时效指标按进度补偿款及时到位，实际完成已拨付到位；成本指标目标征拆投入829.99万元实际到位829.99万元，全年征地拆迁项目预算调整支出829.99万元，决算实际专项支出829.99万元。</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10"/>
        <w:widowControl/>
        <w:numPr>
          <w:ilvl w:val="0"/>
          <w:numId w:val="0"/>
        </w:numPr>
        <w:tabs>
          <w:tab w:val="left" w:pos="1077"/>
        </w:tabs>
        <w:spacing w:line="600" w:lineRule="exact"/>
        <w:ind w:right="0" w:rightChars="0" w:firstLine="576" w:firstLineChars="200"/>
        <w:jc w:val="left"/>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w w:val="90"/>
          <w:sz w:val="32"/>
          <w:szCs w:val="32"/>
          <w:lang w:val="en-US" w:eastAsia="zh-CN"/>
        </w:rPr>
        <w:t>征地拆迁项目经费分析：经济效益方面；征地拆迁专项资金支出，目标税收增加5%，实际税收增长5%以上。社会效益方面：当地经济发展增长≧15%，实际增长15%以上。可持续影响方面：征地拆迁专项投入将增加当地就业利率20%以上，实际完成就业率增长20%以上</w:t>
      </w:r>
      <w:r>
        <w:rPr>
          <w:rFonts w:hint="eastAsia" w:ascii="仿宋_GB2312" w:hAnsi="仿宋_GB2312" w:eastAsia="仿宋_GB2312" w:cs="仿宋_GB2312"/>
          <w:sz w:val="32"/>
          <w:szCs w:val="32"/>
          <w:lang w:val="en-US" w:eastAsia="zh-CN"/>
        </w:rPr>
        <w:t>。</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由于组织领导到位，依法办事，坚持阳光操作，及时拨付补偿款，拆迁对象满意度100%的好评。</w:t>
      </w:r>
    </w:p>
    <w:p>
      <w:pPr>
        <w:pStyle w:val="10"/>
        <w:widowControl/>
        <w:numPr>
          <w:ilvl w:val="0"/>
          <w:numId w:val="0"/>
        </w:numPr>
        <w:tabs>
          <w:tab w:val="left" w:pos="1077"/>
        </w:tabs>
        <w:spacing w:line="600" w:lineRule="exact"/>
        <w:ind w:right="0" w:rightChars="0" w:firstLine="640" w:firstLineChars="200"/>
        <w:jc w:val="left"/>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10"/>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由于工作扎实，绩效目标无偏离，2024年我单位将进一步加大对征地工作开展，为项目建设储备足够的土地，为加快全区经济社会发展夯实基础。</w:t>
      </w:r>
    </w:p>
    <w:p>
      <w:pPr>
        <w:pStyle w:val="10"/>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lang w:eastAsia="zh-CN"/>
        </w:rPr>
        <w:t>绩效自评结果拟应用和公开情况</w:t>
      </w:r>
    </w:p>
    <w:p>
      <w:pPr>
        <w:pStyle w:val="10"/>
        <w:widowControl/>
        <w:numPr>
          <w:ilvl w:val="0"/>
          <w:numId w:val="0"/>
        </w:numPr>
        <w:spacing w:line="600" w:lineRule="exact"/>
        <w:ind w:right="0" w:rightChars="0" w:firstLine="576"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仿宋_GB2312" w:cs="Times New Roman"/>
          <w:w w:val="90"/>
          <w:sz w:val="32"/>
          <w:szCs w:val="32"/>
          <w:lang w:val="en-US" w:eastAsia="zh-CN"/>
        </w:rPr>
        <w:t>本单位2023年项目绩效自评结果会应用到2024年项目绩效评价中，更好的管理和使用项目资金。2024年项目绩效自评情况会在规定的时间内，在株洲市渌口区人民政府门户网公开。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楷体" w:cs="Times New Roman"/>
          <w:color w:val="000000"/>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0FAC8"/>
    <w:multiLevelType w:val="singleLevel"/>
    <w:tmpl w:val="7880FAC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jFjNGVlNWE1ODlhMzFmNzRkODFiY2RhMTllN2YifQ=="/>
  </w:docVars>
  <w:rsids>
    <w:rsidRoot w:val="00000000"/>
    <w:rsid w:val="038C3FED"/>
    <w:rsid w:val="03907674"/>
    <w:rsid w:val="04704120"/>
    <w:rsid w:val="05436869"/>
    <w:rsid w:val="0D564DFD"/>
    <w:rsid w:val="0DB57CB4"/>
    <w:rsid w:val="0E8845BE"/>
    <w:rsid w:val="14274190"/>
    <w:rsid w:val="18D620ED"/>
    <w:rsid w:val="18D97BBF"/>
    <w:rsid w:val="1C9A5481"/>
    <w:rsid w:val="1EE65901"/>
    <w:rsid w:val="1F397586"/>
    <w:rsid w:val="20221513"/>
    <w:rsid w:val="21C276E9"/>
    <w:rsid w:val="2B95569E"/>
    <w:rsid w:val="2EFFB905"/>
    <w:rsid w:val="36A8646C"/>
    <w:rsid w:val="37A570FA"/>
    <w:rsid w:val="3A6562FC"/>
    <w:rsid w:val="3DEE5168"/>
    <w:rsid w:val="3E6A6D4F"/>
    <w:rsid w:val="3FE693AD"/>
    <w:rsid w:val="4035158F"/>
    <w:rsid w:val="40DB20CC"/>
    <w:rsid w:val="455137CA"/>
    <w:rsid w:val="4A9A5B32"/>
    <w:rsid w:val="4AF01932"/>
    <w:rsid w:val="4DD57ADF"/>
    <w:rsid w:val="4F3BD62E"/>
    <w:rsid w:val="524C14DA"/>
    <w:rsid w:val="536974C6"/>
    <w:rsid w:val="53CB15B5"/>
    <w:rsid w:val="577C6C0C"/>
    <w:rsid w:val="590F614C"/>
    <w:rsid w:val="5A8A6312"/>
    <w:rsid w:val="5E3D48E1"/>
    <w:rsid w:val="6186789B"/>
    <w:rsid w:val="63B32BC4"/>
    <w:rsid w:val="64CB5136"/>
    <w:rsid w:val="6B0851D1"/>
    <w:rsid w:val="72337BD2"/>
    <w:rsid w:val="77B909F0"/>
    <w:rsid w:val="78540864"/>
    <w:rsid w:val="7DF13485"/>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iPriority w:val="0"/>
    <w:pPr>
      <w:widowControl/>
      <w:spacing w:before="100" w:beforeAutospacing="1" w:after="100" w:afterAutospacing="1"/>
      <w:jc w:val="left"/>
    </w:pPr>
    <w:rPr>
      <w:rFonts w:ascii="宋体" w:cs="宋体"/>
      <w:kern w:val="0"/>
      <w:sz w:val="24"/>
      <w:szCs w:val="24"/>
    </w:rPr>
  </w:style>
  <w:style w:type="character" w:customStyle="1" w:styleId="9">
    <w:name w:val="标题 1 Char"/>
    <w:basedOn w:val="8"/>
    <w:link w:val="2"/>
    <w:autoRedefine/>
    <w:qFormat/>
    <w:uiPriority w:val="0"/>
    <w:rPr>
      <w:rFonts w:hint="default" w:ascii="Calibri" w:hAnsi="Calibri" w:cs="Calibri"/>
      <w:b/>
      <w:bCs/>
      <w:kern w:val="44"/>
      <w:sz w:val="44"/>
      <w:szCs w:val="44"/>
    </w:rPr>
  </w:style>
  <w:style w:type="paragraph" w:customStyle="1" w:styleId="10">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3"/>
    <w:autoRedefine/>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6056</Words>
  <Characters>6211</Characters>
  <Lines>0</Lines>
  <Paragraphs>0</Paragraphs>
  <TotalTime>124</TotalTime>
  <ScaleCrop>false</ScaleCrop>
  <LinksUpToDate>false</LinksUpToDate>
  <CharactersWithSpaces>6762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雯雯</cp:lastModifiedBy>
  <cp:lastPrinted>2024-04-18T07:24:51Z</cp:lastPrinted>
  <dcterms:modified xsi:type="dcterms:W3CDTF">2024-04-18T08:21:29Z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EED5D6D83E0944EF85A4087E4EA8D0A2</vt:lpwstr>
  </property>
</Properties>
</file>