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7F08F">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中共株洲市渌口区委组织部</w:t>
      </w:r>
    </w:p>
    <w:p w14:paraId="6823D59A">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202</w:t>
      </w:r>
      <w:r>
        <w:rPr>
          <w:rFonts w:hint="eastAsia" w:ascii="Times New Roman" w:hAnsi="Times New Roman" w:eastAsia="方正小标宋简体" w:cs="Times New Roman"/>
          <w:kern w:val="2"/>
          <w:sz w:val="44"/>
          <w:szCs w:val="44"/>
          <w:lang w:val="en-US" w:eastAsia="zh-CN" w:bidi="ar"/>
        </w:rPr>
        <w:t>3</w:t>
      </w:r>
      <w:r>
        <w:rPr>
          <w:rFonts w:hint="default" w:ascii="Times New Roman" w:hAnsi="Times New Roman" w:eastAsia="方正小标宋简体" w:cs="Times New Roman"/>
          <w:kern w:val="2"/>
          <w:sz w:val="44"/>
          <w:szCs w:val="44"/>
          <w:lang w:val="en-US" w:eastAsia="zh-CN" w:bidi="ar"/>
        </w:rPr>
        <w:t>年度部门整体支出绩效自评报告</w:t>
      </w:r>
    </w:p>
    <w:p w14:paraId="3C5FDA77">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14:paraId="6BE3459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方正黑体_GBK" w:cs="Times New Roman"/>
          <w:kern w:val="2"/>
          <w:sz w:val="32"/>
          <w:szCs w:val="32"/>
          <w:lang w:val="en-US" w:eastAsia="zh-CN" w:bidi="ar"/>
        </w:rPr>
        <w:t>一、预算单位基本情况</w:t>
      </w:r>
    </w:p>
    <w:p w14:paraId="2FE53853">
      <w:pPr>
        <w:pStyle w:val="8"/>
        <w:widowControl/>
        <w:spacing w:line="600" w:lineRule="exact"/>
        <w:ind w:lef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渌口</w:t>
      </w:r>
      <w:r>
        <w:rPr>
          <w:rFonts w:hint="default" w:ascii="Times New Roman" w:hAnsi="Times New Roman" w:eastAsia="方正仿宋_GBK" w:cs="Times New Roman"/>
          <w:color w:val="000000"/>
          <w:sz w:val="32"/>
          <w:szCs w:val="32"/>
          <w:lang w:eastAsia="zh-CN"/>
        </w:rPr>
        <w:t>区委组织部</w:t>
      </w:r>
      <w:r>
        <w:rPr>
          <w:rFonts w:hint="default" w:ascii="Times New Roman" w:hAnsi="Times New Roman" w:eastAsia="方正仿宋_GBK" w:cs="Times New Roman"/>
          <w:color w:val="000000"/>
          <w:sz w:val="32"/>
          <w:szCs w:val="32"/>
        </w:rPr>
        <w:t>是区人民政府主管</w:t>
      </w:r>
      <w:r>
        <w:rPr>
          <w:rFonts w:hint="default" w:ascii="Times New Roman" w:hAnsi="Times New Roman" w:eastAsia="方正仿宋_GBK" w:cs="Times New Roman"/>
          <w:color w:val="000000"/>
          <w:sz w:val="32"/>
          <w:szCs w:val="32"/>
          <w:lang w:eastAsia="zh-CN"/>
        </w:rPr>
        <w:t>组织</w:t>
      </w:r>
      <w:r>
        <w:rPr>
          <w:rFonts w:hint="default" w:ascii="Times New Roman" w:hAnsi="Times New Roman" w:eastAsia="方正仿宋_GBK" w:cs="Times New Roman"/>
          <w:color w:val="000000"/>
          <w:sz w:val="32"/>
          <w:szCs w:val="32"/>
        </w:rPr>
        <w:t>工作的行政机关，</w:t>
      </w:r>
      <w:r>
        <w:rPr>
          <w:rFonts w:hint="eastAsia" w:ascii="Times New Roman" w:hAnsi="Times New Roman" w:eastAsia="方正仿宋_GBK" w:cs="Times New Roman"/>
          <w:color w:val="000000"/>
          <w:sz w:val="32"/>
          <w:szCs w:val="32"/>
          <w:lang w:eastAsia="zh-CN"/>
        </w:rPr>
        <w:t>共有编制数</w:t>
      </w:r>
      <w:r>
        <w:rPr>
          <w:rFonts w:hint="eastAsia" w:ascii="Times New Roman" w:hAnsi="Times New Roman" w:eastAsia="方正仿宋_GBK" w:cs="Times New Roman"/>
          <w:color w:val="000000"/>
          <w:sz w:val="32"/>
          <w:szCs w:val="32"/>
          <w:lang w:val="en-US" w:eastAsia="zh-CN"/>
        </w:rPr>
        <w:t>40人，</w:t>
      </w:r>
      <w:r>
        <w:rPr>
          <w:rFonts w:hint="default" w:ascii="Times New Roman" w:hAnsi="Times New Roman" w:eastAsia="方正仿宋_GBK" w:cs="Times New Roman"/>
          <w:color w:val="000000"/>
          <w:sz w:val="32"/>
          <w:szCs w:val="32"/>
        </w:rPr>
        <w:t>现有在职人员</w:t>
      </w: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人，离休人员</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人，退休人员</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人，属区一级预算单位。</w:t>
      </w:r>
      <w:r>
        <w:rPr>
          <w:rFonts w:hint="eastAsia" w:ascii="Times New Roman" w:hAnsi="Times New Roman" w:eastAsia="方正仿宋_GBK" w:cs="Times New Roman"/>
          <w:color w:val="000000"/>
          <w:sz w:val="32"/>
          <w:szCs w:val="32"/>
          <w:lang w:eastAsia="zh-CN"/>
        </w:rPr>
        <w:t>设有</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个</w:t>
      </w:r>
      <w:bookmarkStart w:id="0" w:name="_GoBack"/>
      <w:bookmarkEnd w:id="0"/>
      <w:r>
        <w:rPr>
          <w:rFonts w:hint="eastAsia" w:ascii="Times New Roman" w:hAnsi="Times New Roman" w:eastAsia="方正仿宋_GBK" w:cs="Times New Roman"/>
          <w:color w:val="000000"/>
          <w:sz w:val="32"/>
          <w:szCs w:val="32"/>
          <w:lang w:eastAsia="zh-CN"/>
        </w:rPr>
        <w:t>组（股）室：办公室、研究室、干部组、干监组、干信室、公务员办、人才（干教）组、组织组、党联办、老干股、绩效办。</w:t>
      </w:r>
      <w:r>
        <w:rPr>
          <w:rFonts w:hint="default" w:ascii="Times New Roman" w:hAnsi="Times New Roman" w:eastAsia="方正仿宋_GBK" w:cs="Times New Roman"/>
          <w:color w:val="000000"/>
          <w:sz w:val="32"/>
          <w:szCs w:val="32"/>
        </w:rPr>
        <w:t>下设</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个副科级</w:t>
      </w:r>
      <w:r>
        <w:rPr>
          <w:rFonts w:hint="eastAsia" w:ascii="Times New Roman" w:hAnsi="Times New Roman" w:eastAsia="方正仿宋_GBK" w:cs="Times New Roman"/>
          <w:color w:val="000000"/>
          <w:sz w:val="32"/>
          <w:szCs w:val="32"/>
          <w:lang w:eastAsia="zh-CN"/>
        </w:rPr>
        <w:t>二级机构，</w:t>
      </w:r>
      <w:r>
        <w:rPr>
          <w:rFonts w:hint="default" w:ascii="Times New Roman" w:hAnsi="Times New Roman" w:eastAsia="方正仿宋_GBK" w:cs="Times New Roman"/>
          <w:color w:val="000000"/>
          <w:sz w:val="32"/>
          <w:szCs w:val="32"/>
        </w:rPr>
        <w:t>其中</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个参照公务员法管理、</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个全额拨款</w:t>
      </w:r>
      <w:r>
        <w:rPr>
          <w:rFonts w:hint="eastAsia" w:ascii="Times New Roman" w:hAnsi="Times New Roman" w:eastAsia="方正仿宋_GBK" w:cs="Times New Roman"/>
          <w:color w:val="000000"/>
          <w:sz w:val="32"/>
          <w:szCs w:val="32"/>
          <w:lang w:eastAsia="zh-CN"/>
        </w:rPr>
        <w:t>事业单位</w:t>
      </w:r>
      <w:r>
        <w:rPr>
          <w:rFonts w:hint="default" w:ascii="Times New Roman" w:hAnsi="Times New Roman" w:eastAsia="方正仿宋_GBK" w:cs="Times New Roman"/>
          <w:color w:val="000000"/>
          <w:sz w:val="32"/>
          <w:szCs w:val="32"/>
        </w:rPr>
        <w:t>。</w:t>
      </w:r>
    </w:p>
    <w:p w14:paraId="16F5BF80">
      <w:pPr>
        <w:pStyle w:val="8"/>
        <w:widowControl/>
        <w:spacing w:line="600" w:lineRule="exact"/>
        <w:ind w:left="0" w:firstLine="640" w:firstLineChars="200"/>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二、一般公共预算支出情况</w:t>
      </w:r>
    </w:p>
    <w:p w14:paraId="00451D8F">
      <w:pPr>
        <w:pStyle w:val="8"/>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（一）基本支出情况</w:t>
      </w:r>
    </w:p>
    <w:p w14:paraId="6577D8E7">
      <w:pPr>
        <w:pStyle w:val="8"/>
        <w:widowControl/>
        <w:spacing w:line="600" w:lineRule="exact"/>
        <w:ind w:left="0"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度</w:t>
      </w:r>
      <w:r>
        <w:rPr>
          <w:rFonts w:hint="default" w:ascii="Times New Roman" w:hAnsi="Times New Roman" w:eastAsia="方正仿宋_GBK" w:cs="Times New Roman"/>
          <w:color w:val="000000"/>
          <w:sz w:val="32"/>
          <w:szCs w:val="32"/>
          <w:lang w:val="en-US"/>
        </w:rPr>
        <w:t>基本支出1272.75万元，其中：人员经费</w:t>
      </w:r>
      <w:r>
        <w:rPr>
          <w:rFonts w:hint="eastAsia" w:ascii="Times New Roman" w:hAnsi="Times New Roman" w:eastAsia="方正仿宋_GBK" w:cs="Times New Roman"/>
          <w:color w:val="000000"/>
          <w:sz w:val="32"/>
          <w:szCs w:val="32"/>
          <w:lang w:val="en-US" w:eastAsia="zh-CN"/>
        </w:rPr>
        <w:t>761.25</w:t>
      </w:r>
      <w:r>
        <w:rPr>
          <w:rFonts w:hint="default" w:ascii="Times New Roman" w:hAnsi="Times New Roman" w:eastAsia="方正仿宋_GBK" w:cs="Times New Roman"/>
          <w:color w:val="000000"/>
          <w:sz w:val="32"/>
          <w:szCs w:val="32"/>
          <w:lang w:val="en-US"/>
        </w:rPr>
        <w:t>万元，占基本支出的</w:t>
      </w:r>
      <w:r>
        <w:rPr>
          <w:rFonts w:hint="eastAsia" w:ascii="Times New Roman" w:hAnsi="Times New Roman" w:eastAsia="方正仿宋_GBK" w:cs="Times New Roman"/>
          <w:color w:val="000000"/>
          <w:sz w:val="32"/>
          <w:szCs w:val="32"/>
          <w:lang w:val="en-US" w:eastAsia="zh-CN"/>
        </w:rPr>
        <w:t>59.81</w:t>
      </w:r>
      <w:r>
        <w:rPr>
          <w:rFonts w:hint="default" w:ascii="Times New Roman" w:hAnsi="Times New Roman" w:eastAsia="方正仿宋_GBK" w:cs="Times New Roman"/>
          <w:color w:val="000000"/>
          <w:sz w:val="32"/>
          <w:szCs w:val="32"/>
          <w:lang w:val="en-US"/>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rPr>
        <w:t>主要包括基本工资、津贴补贴、奖金、伙食补助费、机关事业单位基本养老保险、职工基本医疗保险、住房公积金、离休费、奖励金、代缴社会保险费、其他对个人和家庭的补助等；公用经费</w:t>
      </w:r>
      <w:r>
        <w:rPr>
          <w:rFonts w:hint="eastAsia" w:ascii="Times New Roman" w:hAnsi="Times New Roman" w:eastAsia="方正仿宋_GBK" w:cs="Times New Roman"/>
          <w:color w:val="000000"/>
          <w:sz w:val="32"/>
          <w:szCs w:val="32"/>
          <w:lang w:val="en-US" w:eastAsia="zh-CN"/>
        </w:rPr>
        <w:t>511.50</w:t>
      </w:r>
      <w:r>
        <w:rPr>
          <w:rFonts w:hint="default" w:ascii="Times New Roman" w:hAnsi="Times New Roman" w:eastAsia="方正仿宋_GBK" w:cs="Times New Roman"/>
          <w:color w:val="000000"/>
          <w:sz w:val="32"/>
          <w:szCs w:val="32"/>
          <w:lang w:val="en-US"/>
        </w:rPr>
        <w:t>万元，占基本支出的</w:t>
      </w:r>
      <w:r>
        <w:rPr>
          <w:rFonts w:hint="eastAsia" w:ascii="Times New Roman" w:hAnsi="Times New Roman" w:eastAsia="方正仿宋_GBK" w:cs="Times New Roman"/>
          <w:color w:val="000000"/>
          <w:sz w:val="32"/>
          <w:szCs w:val="32"/>
          <w:lang w:val="en-US" w:eastAsia="zh-CN"/>
        </w:rPr>
        <w:t>40.19</w:t>
      </w:r>
      <w:r>
        <w:rPr>
          <w:rFonts w:hint="default" w:ascii="Times New Roman" w:hAnsi="Times New Roman" w:eastAsia="方正仿宋_GBK" w:cs="Times New Roman"/>
          <w:color w:val="000000"/>
          <w:sz w:val="32"/>
          <w:szCs w:val="32"/>
          <w:lang w:val="en-US"/>
        </w:rPr>
        <w:t>%，主要包括办公费、印刷费、咨询费、差旅费、维修（护）费、培训费、工会经费、劳务费、其他交通费、其他商品和服务支出等。</w:t>
      </w:r>
    </w:p>
    <w:p w14:paraId="6A0A4E8E">
      <w:pPr>
        <w:pStyle w:val="8"/>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14:paraId="7B9EFA6C">
      <w:pPr>
        <w:pStyle w:val="8"/>
        <w:widowControl/>
        <w:spacing w:line="600"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一是</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度专项资金分配安排和管理使用情况。2023年度专项资金收入359.96</w:t>
      </w:r>
      <w:r>
        <w:rPr>
          <w:rFonts w:hint="default" w:ascii="Times New Roman" w:hAnsi="Times New Roman" w:eastAsia="方正仿宋_GBK" w:cs="Times New Roman"/>
          <w:color w:val="000000"/>
          <w:sz w:val="32"/>
          <w:szCs w:val="32"/>
          <w:lang w:val="en-US"/>
        </w:rPr>
        <w:t>万元</w:t>
      </w:r>
      <w:r>
        <w:rPr>
          <w:rFonts w:hint="eastAsia" w:ascii="Times New Roman" w:hAnsi="Times New Roman" w:eastAsia="方正仿宋_GBK" w:cs="Times New Roman"/>
          <w:color w:val="000000"/>
          <w:sz w:val="32"/>
          <w:szCs w:val="32"/>
          <w:lang w:val="en-US" w:eastAsia="zh-CN"/>
        </w:rPr>
        <w:t>，支出359.96</w:t>
      </w:r>
      <w:r>
        <w:rPr>
          <w:rFonts w:hint="default" w:ascii="Times New Roman" w:hAnsi="Times New Roman" w:eastAsia="方正仿宋_GBK" w:cs="Times New Roman"/>
          <w:color w:val="000000"/>
          <w:sz w:val="32"/>
          <w:szCs w:val="32"/>
          <w:lang w:val="en-US"/>
        </w:rPr>
        <w:t>万元</w:t>
      </w:r>
      <w:r>
        <w:rPr>
          <w:rFonts w:hint="eastAsia" w:ascii="Times New Roman" w:hAnsi="Times New Roman" w:eastAsia="方正仿宋_GBK" w:cs="Times New Roman"/>
          <w:color w:val="000000"/>
          <w:sz w:val="32"/>
          <w:szCs w:val="32"/>
          <w:lang w:val="en-US" w:eastAsia="zh-CN"/>
        </w:rPr>
        <w:t>，分配安排如下：省市下达人才项目经费116万元，柏连阳院士工作站第二年技术服务费100万元，科技服务专家团队2022年工作经费28.8万元，人才慰问经费8.5万元，2022年度村社区主职养老保险补助37.75万元，村社区干部人身意外保险服务费44.91万元，区“七一”表彰“两优一先”经费24万元。在项目资金的管理使用上，资金拨付程序规范，全部拨付到位，做到规范使用、专款专用。定期对资金使用情况进行检查，严格确保项目质量。</w:t>
      </w:r>
    </w:p>
    <w:p w14:paraId="34711AA5">
      <w:pPr>
        <w:pStyle w:val="8"/>
        <w:widowControl/>
        <w:spacing w:line="600"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二是除专项资金外的其他项目资金支出情况。无</w:t>
      </w:r>
    </w:p>
    <w:p w14:paraId="1FF8EAD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三、部门整体支出绩效情况</w:t>
      </w:r>
    </w:p>
    <w:p w14:paraId="543A75B8">
      <w:pPr>
        <w:pStyle w:val="8"/>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2023年，渌口区委组织部以习近平新时代中国特色社会主义思想为指导，深入学习宣传贯彻党的二十大精神和全国、全省、全市组织工作会议精神，全面贯彻新时代党的建设总要求和党的组织路线，强思想筑根基、选干部配班子、抓基层打基础、搭平台聚人才，为全区经济社会高质量发展提供了坚强有力组织保证。</w:t>
      </w:r>
    </w:p>
    <w:p w14:paraId="60F47F02">
      <w:pPr>
        <w:pStyle w:val="8"/>
        <w:widowControl/>
        <w:spacing w:line="600" w:lineRule="exact"/>
        <w:ind w:left="210" w:leftChars="10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干部工作。坚持在乡村振兴、项目建设等重点工作和基层一线识人选人用人，重实干实绩、重基层一线的用人导向更加鲜明。有效提升干部能力，精准设立“凝心铸魂、高质量发展、固本强基”三大干部培训专题，举办行政执法队伍大集训、党务干部培训班等主体班次21期，开展“青春渌口大讲堂”高质量讲座11期。持续推进“六个一批”活动，选派161名干部参与项目建设、打造“三个高地”、招商引资、信访维稳、乡村振兴、巡视巡察等中心工作。实施年轻干部“薪火工程”，开展年轻干部和中层干部专题调研，建立年轻干部培优库。有效盘活职级干部资源，职级干部管理经验被省委组织部全省推介。</w:t>
      </w:r>
    </w:p>
    <w:p w14:paraId="31A5A784">
      <w:pPr>
        <w:pStyle w:val="8"/>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党建工作。按照“每月一主题一培训”，围绕基层党组织建设、村集体经济发展、村级财务管理等内容，举办培训班11期，对761名村社干部实施全覆盖“赋能”。补齐配强村社“两委”空缺37人，安排36名区领导包镇联村，124个机关企事业单位与村社结对，选派驻村第一书记31名、驻村干部45名。以“动力党建”为引领，推行党建引领小区治理“1+6”模式，举办第三届“渌口正青春·幸福邻里节”活动，一体推进“活力家园”“实力乡村”“聚力两新”“合力攻坚”行动，打造了“百名干部进小区”“红色物业”等工作品牌。“三长制”基层治理体系建大建强，带动居民参与政策宣传、文明创建等工作，提供民生微服务3万余次。</w:t>
      </w:r>
    </w:p>
    <w:p w14:paraId="3076FC37">
      <w:pPr>
        <w:pStyle w:val="8"/>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人才工作。深化“院地合作”、校企合作，柏连阳院士创新团队渌口工作室取得新成果，龙门镇成功创建湖南首个“镉低积累水稻新品种示范镇”。着眼紧缺专业人才，通过高校集中引才、公务员录用、定向委培引进专业紧缺人才164名。举办首届渌商大会、2023株洲高分子新材料产业技术论坛暨产业发展推进会、百合花科技节等活动，推动人才链产业链创新链融合更紧。</w:t>
      </w:r>
    </w:p>
    <w:p w14:paraId="79BBA4C6">
      <w:pPr>
        <w:pStyle w:val="8"/>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绩效考核工作。推动“考事”与“考人”相结合，将党的建设、高质量发展、拆违控违、乡村振兴、重点项目、建设等“考事”指标与“考人”指标相结合，重点考核干部在重大工作中的表现，并作为评价干部的重要依据。强化考核结果运用，将考核结果同精神激励、物质奖励及干部的选拔任用、晋升职级挂钩。对综合表现优秀、善于攻坚克难、工作实绩突出的干部加大表彰奖励，今年53人获得了“三等功”、199人获得了“嘉奖”。</w:t>
      </w:r>
    </w:p>
    <w:p w14:paraId="6B24648E">
      <w:pPr>
        <w:pStyle w:val="8"/>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老干工作。深入开展“五化”“六好”示范党支部创建，区政协离退休干部党支部成功创建省级示范离退休干部党支部。邀请老战士、老干部、老教师组建讲师团，开展宣讲100余场，结对帮扶困难家庭青少年502对，发动社会力量捐赠20余万元用于资助200多名困难学生。围绕科教文卫、党建等7个领域，创设“五老”示范讲堂，以“小微企业主家庭教育”为重点，开展讲座20场次，2000多企业主参加听课，助力全区“小微企业服务行动”。</w:t>
      </w:r>
    </w:p>
    <w:p w14:paraId="25969552">
      <w:pPr>
        <w:pStyle w:val="8"/>
        <w:widowControl/>
        <w:spacing w:line="600" w:lineRule="exact"/>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四、存在的问题及原因分析</w:t>
      </w:r>
    </w:p>
    <w:p w14:paraId="0813E399">
      <w:pPr>
        <w:pStyle w:val="8"/>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总体绩效目标和绩效指标能按时完成，但是政策执行或项目实施中存在的问题：一是绩效自评工作质量待提高。绩效自评缺乏专业性，绩效满意度样本量较少，满意度结果证明效力有限。二是项目执行缺乏有效监控。未定期对项目的完成情况进行</w:t>
      </w:r>
      <w:r>
        <w:rPr>
          <w:rFonts w:hint="eastAsia" w:ascii="Times New Roman" w:hAnsi="Times New Roman" w:eastAsia="方正仿宋_GBK" w:cs="Times New Roman"/>
          <w:color w:val="000000"/>
          <w:sz w:val="32"/>
          <w:szCs w:val="32"/>
          <w:lang w:val="en-US" w:eastAsia="zh-CN"/>
        </w:rPr>
        <w:t>梳理</w:t>
      </w:r>
      <w:r>
        <w:rPr>
          <w:rFonts w:hint="default" w:ascii="Times New Roman" w:hAnsi="Times New Roman" w:eastAsia="方正仿宋_GBK" w:cs="Times New Roman"/>
          <w:color w:val="000000"/>
          <w:sz w:val="32"/>
          <w:szCs w:val="32"/>
          <w:lang w:val="en-US" w:eastAsia="zh-CN"/>
        </w:rPr>
        <w:t>汇总，缺乏强制措施进行有效约束。</w:t>
      </w:r>
    </w:p>
    <w:p w14:paraId="5C8999B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五、下一步改进措施</w:t>
      </w:r>
    </w:p>
    <w:p w14:paraId="59A1B59B">
      <w:pPr>
        <w:pStyle w:val="8"/>
        <w:widowControl/>
        <w:spacing w:line="600" w:lineRule="exact"/>
        <w:ind w:left="0" w:firstLine="640" w:firstLineChars="200"/>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Times New Roman"/>
          <w:color w:val="000000"/>
          <w:sz w:val="32"/>
          <w:szCs w:val="32"/>
          <w:lang w:val="en-US" w:eastAsia="zh-CN"/>
        </w:rPr>
        <w:t>一是提高政治站位，各业务组室需提升项目支出绩效评价的意识，深入学习绩效评价相关知识。二是</w:t>
      </w:r>
      <w:r>
        <w:rPr>
          <w:rFonts w:hint="default" w:ascii="Times New Roman" w:hAnsi="Times New Roman" w:eastAsia="方正仿宋_GBK" w:cs="Times New Roman"/>
          <w:color w:val="000000"/>
          <w:sz w:val="32"/>
          <w:szCs w:val="32"/>
          <w:lang w:val="en-US" w:eastAsia="zh-CN"/>
        </w:rPr>
        <w:t>加强财务管理</w:t>
      </w:r>
      <w:r>
        <w:rPr>
          <w:rFonts w:hint="eastAsia" w:ascii="Times New Roman" w:hAnsi="Times New Roman" w:eastAsia="方正仿宋_GBK" w:cs="Times New Roman"/>
          <w:color w:val="000000"/>
          <w:sz w:val="32"/>
          <w:szCs w:val="32"/>
          <w:lang w:val="en-US" w:eastAsia="zh-CN"/>
        </w:rPr>
        <w:t>。严格执行</w:t>
      </w:r>
      <w:r>
        <w:rPr>
          <w:rFonts w:hint="default" w:ascii="Times New Roman" w:hAnsi="Times New Roman" w:eastAsia="方正仿宋_GBK" w:cs="Times New Roman"/>
          <w:color w:val="000000"/>
          <w:sz w:val="32"/>
          <w:szCs w:val="32"/>
          <w:lang w:val="en-US" w:eastAsia="zh-CN"/>
        </w:rPr>
        <w:t>单位财务管理制度，严格按照预算规定的项目和用途进行资金使用，杜绝超支现象的发生。</w:t>
      </w:r>
      <w:r>
        <w:rPr>
          <w:rFonts w:hint="eastAsia" w:ascii="Times New Roman" w:hAnsi="Times New Roman" w:eastAsia="方正仿宋_GBK" w:cs="Times New Roman"/>
          <w:color w:val="000000"/>
          <w:sz w:val="32"/>
          <w:szCs w:val="32"/>
          <w:lang w:val="en-US" w:eastAsia="zh-CN"/>
        </w:rPr>
        <w:t>三是</w:t>
      </w:r>
      <w:r>
        <w:rPr>
          <w:rFonts w:hint="default" w:ascii="Times New Roman" w:hAnsi="Times New Roman" w:eastAsia="方正仿宋_GBK" w:cs="Times New Roman"/>
          <w:color w:val="000000"/>
          <w:sz w:val="32"/>
          <w:szCs w:val="32"/>
          <w:lang w:val="en-US" w:eastAsia="zh-CN"/>
        </w:rPr>
        <w:t>加强资金监管。</w:t>
      </w:r>
      <w:r>
        <w:rPr>
          <w:rFonts w:hint="eastAsia" w:ascii="Times New Roman" w:hAnsi="Times New Roman" w:eastAsia="方正仿宋_GBK" w:cs="Times New Roman"/>
          <w:color w:val="000000"/>
          <w:sz w:val="32"/>
          <w:szCs w:val="32"/>
          <w:lang w:val="en-US" w:eastAsia="zh-CN"/>
        </w:rPr>
        <w:t>财政部门需</w:t>
      </w:r>
      <w:r>
        <w:rPr>
          <w:rFonts w:hint="default" w:ascii="Times New Roman" w:hAnsi="Times New Roman" w:eastAsia="方正仿宋_GBK" w:cs="Times New Roman"/>
          <w:color w:val="000000"/>
          <w:sz w:val="32"/>
          <w:szCs w:val="32"/>
          <w:lang w:val="en-US" w:eastAsia="zh-CN"/>
        </w:rPr>
        <w:t>建立健全对专项资金</w:t>
      </w:r>
      <w:r>
        <w:rPr>
          <w:rFonts w:hint="eastAsia" w:ascii="Times New Roman" w:hAnsi="Times New Roman" w:eastAsia="方正仿宋_GBK" w:cs="Times New Roman"/>
          <w:color w:val="000000"/>
          <w:sz w:val="32"/>
          <w:szCs w:val="32"/>
          <w:lang w:val="en-US" w:eastAsia="zh-CN"/>
        </w:rPr>
        <w:t>专门的</w:t>
      </w:r>
      <w:r>
        <w:rPr>
          <w:rFonts w:hint="default" w:ascii="Times New Roman" w:hAnsi="Times New Roman" w:eastAsia="方正仿宋_GBK" w:cs="Times New Roman"/>
          <w:color w:val="000000"/>
          <w:sz w:val="32"/>
          <w:szCs w:val="32"/>
          <w:lang w:val="en-US" w:eastAsia="zh-CN"/>
        </w:rPr>
        <w:t>监管制度，加大监管力度，规范专项资金的使用用途和使用流程，定期对资金使用情况进行监督和反馈。</w:t>
      </w:r>
    </w:p>
    <w:p w14:paraId="5345FEB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六、绩效自评结果拟应用和公开情况</w:t>
      </w:r>
    </w:p>
    <w:p w14:paraId="6C30BD50">
      <w:pPr>
        <w:pStyle w:val="8"/>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绩效自评结果拟应用对各组室工作绩效考核奖评以及以后专项资金的分配</w:t>
      </w:r>
      <w:r>
        <w:rPr>
          <w:rFonts w:hint="eastAsia" w:ascii="Times New Roman" w:hAnsi="Times New Roman" w:eastAsia="方正仿宋_GBK" w:cs="Times New Roman"/>
          <w:color w:val="000000"/>
          <w:sz w:val="32"/>
          <w:szCs w:val="32"/>
          <w:lang w:val="en-US" w:eastAsia="zh-CN"/>
        </w:rPr>
        <w:t>和使用</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绩效自评结果在项目实施结束后，均纳入年度部门决算公开在政府门户网进行公示公开</w:t>
      </w:r>
      <w:r>
        <w:rPr>
          <w:rFonts w:hint="default" w:ascii="Times New Roman" w:hAnsi="Times New Roman" w:eastAsia="方正仿宋_GBK" w:cs="Times New Roman"/>
          <w:color w:val="000000"/>
          <w:sz w:val="32"/>
          <w:szCs w:val="32"/>
          <w:lang w:val="en-US" w:eastAsia="zh-CN"/>
        </w:rPr>
        <w:t>。</w:t>
      </w:r>
    </w:p>
    <w:p w14:paraId="4982ABBB">
      <w:pPr>
        <w:pStyle w:val="8"/>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p>
    <w:p w14:paraId="2A0745C8">
      <w:pPr>
        <w:pStyle w:val="8"/>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中共株洲市渌口区委组织部</w:t>
      </w:r>
    </w:p>
    <w:p w14:paraId="7FF50A67">
      <w:pPr>
        <w:pStyle w:val="8"/>
        <w:widowControl/>
        <w:wordWrap w:val="0"/>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2024年4月14日    </w:t>
      </w:r>
    </w:p>
    <w:p w14:paraId="24E7FACD">
      <w:pPr>
        <w:pStyle w:val="8"/>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p>
    <w:p w14:paraId="54A926BD">
      <w:pPr>
        <w:pStyle w:val="8"/>
        <w:widowControl/>
        <w:spacing w:line="600" w:lineRule="exact"/>
        <w:ind w:left="0" w:firstLine="640" w:firstLineChars="200"/>
        <w:rPr>
          <w:rFonts w:hint="default" w:ascii="Times New Roman" w:hAnsi="Times New Roman" w:eastAsia="方正仿宋_GBK"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OGNiOTUwOGY0MmYyZjE1NjU3MGIyOTBiMDk5MzcifQ=="/>
  </w:docVars>
  <w:rsids>
    <w:rsidRoot w:val="519C5A29"/>
    <w:rsid w:val="04E12DAF"/>
    <w:rsid w:val="0A8A5906"/>
    <w:rsid w:val="0C7C2A8D"/>
    <w:rsid w:val="28346114"/>
    <w:rsid w:val="2A1F2024"/>
    <w:rsid w:val="324A4B44"/>
    <w:rsid w:val="3F760C61"/>
    <w:rsid w:val="427479BE"/>
    <w:rsid w:val="519C5A29"/>
    <w:rsid w:val="55D46258"/>
    <w:rsid w:val="701713DC"/>
    <w:rsid w:val="7099415F"/>
    <w:rsid w:val="7E90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3"/>
    <w:basedOn w:val="3"/>
    <w:next w:val="1"/>
    <w:qFormat/>
    <w:uiPriority w:val="0"/>
    <w:pPr>
      <w:spacing w:line="360" w:lineRule="auto"/>
      <w:ind w:left="560" w:firstLine="1044"/>
    </w:pPr>
    <w:rPr>
      <w:rFonts w:eastAsia="楷体"/>
      <w:sz w:val="24"/>
    </w:rPr>
  </w:style>
  <w:style w:type="paragraph" w:styleId="3">
    <w:name w:val="table of authorities"/>
    <w:basedOn w:val="1"/>
    <w:next w:val="1"/>
    <w:qFormat/>
    <w:uiPriority w:val="0"/>
    <w:pPr>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正文文字"/>
    <w:basedOn w:val="1"/>
    <w:next w:val="1"/>
    <w:autoRedefine/>
    <w:unhideWhenUsed/>
    <w:qFormat/>
    <w:uiPriority w:val="0"/>
    <w:pPr>
      <w:spacing w:after="120"/>
    </w:pPr>
    <w:rPr>
      <w:rFonts w:hint="default"/>
      <w:sz w:val="21"/>
      <w:szCs w:val="24"/>
    </w:rPr>
  </w:style>
  <w:style w:type="paragraph" w:customStyle="1" w:styleId="8">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9">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2329</Words>
  <Characters>2446</Characters>
  <Lines>0</Lines>
  <Paragraphs>0</Paragraphs>
  <TotalTime>0</TotalTime>
  <ScaleCrop>false</ScaleCrop>
  <LinksUpToDate>false</LinksUpToDate>
  <CharactersWithSpaces>2450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2022-03-03T06:11:00Z</dcterms:created>
  <dc:creator>Administrator</dc:creator>
  <cp:lastModifiedBy>谭Sir!</cp:lastModifiedBy>
  <dcterms:modified xsi:type="dcterms:W3CDTF">2024-09-19T04:32:22Z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15FFC0E496864100A753F19ACF16CFB4</vt:lpwstr>
  </property>
</Properties>
</file>