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填报单位：（盖章）渌口区优化营商环境协调事务中心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8"/>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1"/>
        <w:gridCol w:w="1348"/>
        <w:gridCol w:w="1364"/>
        <w:gridCol w:w="26"/>
        <w:gridCol w:w="1067"/>
        <w:gridCol w:w="26"/>
        <w:gridCol w:w="874"/>
        <w:gridCol w:w="900"/>
        <w:gridCol w:w="748"/>
        <w:gridCol w:w="863"/>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2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68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渌口区优化营商环境协调事务中心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111.75</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180.55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180.55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180.55</w:t>
            </w:r>
          </w:p>
        </w:tc>
        <w:tc>
          <w:tcPr>
            <w:tcW w:w="43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180.55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 xml:space="preserve">        178.94</w:t>
            </w:r>
          </w:p>
        </w:tc>
        <w:tc>
          <w:tcPr>
            <w:tcW w:w="43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3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 xml:space="preserve">          1.61</w:t>
            </w:r>
          </w:p>
        </w:tc>
        <w:tc>
          <w:tcPr>
            <w:tcW w:w="43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1、参与全区优化营商环境相关政策措施的制定及落实。负责组织对全区优化营商环境相关政策的宣传、培训，收集整理涉及各类市场主体在办理各项业务过程中遇到的问题、困难并提出建议对策；</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2、负责涉及营商环境的投诉举报的协调事务工作。协同配合相关部门对全区优化营商环境工作中的违纪违规行为进行调查核实，并提出处理建议意见；</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3、负责组织相关部门对涉企政策法规进行解读和业务培训并开展政策法规执行效果第三方评估；</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4、承担国家、省、市对我区的营商环境评价的事务性工作。参与拟订全区营商环境考核评价体系，参与全区营商环境评价工作。　　</w:t>
            </w:r>
          </w:p>
        </w:tc>
        <w:tc>
          <w:tcPr>
            <w:tcW w:w="43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20" w:firstLineChars="20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2023年完成了</w:t>
            </w:r>
            <w:r>
              <w:rPr>
                <w:rFonts w:hint="default" w:ascii="Times New Roman" w:hAnsi="Times New Roman" w:eastAsia="仿宋_GB2312" w:cs="Times New Roman"/>
                <w:kern w:val="0"/>
                <w:sz w:val="21"/>
                <w:szCs w:val="21"/>
                <w:lang w:val="en-US" w:eastAsia="zh-CN" w:bidi="ar"/>
              </w:rPr>
              <w:t>对全区优化营商环境相关政策的宣传、培训，收集整理涉及各类市场主体在办理各项业务过程中遇到的问题、困难并提出建议对策</w:t>
            </w:r>
            <w:r>
              <w:rPr>
                <w:rFonts w:hint="eastAsia" w:ascii="Times New Roman" w:hAnsi="Times New Roman" w:eastAsia="仿宋_GB2312" w:cs="Times New Roman"/>
                <w:kern w:val="0"/>
                <w:sz w:val="21"/>
                <w:szCs w:val="21"/>
                <w:lang w:val="en-US" w:eastAsia="zh-CN" w:bidi="ar"/>
              </w:rPr>
              <w:t>。</w:t>
            </w:r>
          </w:p>
          <w:p>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紧贴市场主体发展需求，聚焦资金、人才、土地等要素资源，梳理区域内企业融资需求36笔，召开精准银企对接活动6次。开展11场现场招聘会，提供6000余个就业岗位。完成集体土地项目24个，全力做好营商环境要素保障工作。出台全市首个“六即”改革工作方案，累计压缩审批时限23%</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渌口区全年开工项目共30个，竣工项目共18个，实现“洽谈即服务”亿元签约项目29个，25家企业实现“开工即配套”，打造“竣工即交证”示范项目3个，打造全市首个“拿地即开工”示范项目1个。在区政务中心设立外商投资企业资讯和投诉处理窗口，及时有效处理外商投资企业或者其投资者反映的问题，协调完善相关政策措施，持续优化外商投资环境，年度完成新注册外资企业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8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政策的宣传、培训</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2</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shd w:val="clear" w:color="auto" w:fill="auto"/>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开展营商环境评价工作</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w:t>
            </w:r>
            <w:r>
              <w:rPr>
                <w:rFonts w:hint="default" w:ascii="Times New Roman" w:hAnsi="Times New Roman" w:eastAsia="仿宋_GB2312" w:cs="Times New Roman"/>
                <w:kern w:val="0"/>
                <w:sz w:val="21"/>
                <w:szCs w:val="21"/>
                <w:lang w:val="en-US" w:eastAsia="zh-CN" w:bidi="ar"/>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受理涉及营商环境的投诉举报</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宣传、培训效果达标率</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开展营商环境评价工作完成率</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受理涉及营商环境的投诉举报解决问题程度</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85%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85%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受理营商环境投诉时间</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Arial" w:hAnsi="Arial" w:eastAsia="仿宋_GB2312" w:cs="Arial"/>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7天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default" w:ascii="Arial" w:hAnsi="Arial" w:eastAsia="仿宋_GB2312" w:cs="Arial"/>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7天</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统筹优化全区营商环境工作成本</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default" w:ascii="Arial" w:hAnsi="Arial" w:eastAsia="仿宋_GB2312" w:cs="Arial"/>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30万元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default" w:ascii="Arial" w:hAnsi="Arial" w:eastAsia="仿宋_GB2312" w:cs="Arial"/>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30万元</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优化营商环境，企业经营成本下降，经济发展稳定</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稳定</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稳定</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 xml:space="preserve"> </w:t>
            </w:r>
            <w:r>
              <w:rPr>
                <w:rFonts w:hint="eastAsia" w:ascii="Times New Roman" w:hAnsi="Times New Roman" w:eastAsia="仿宋_GB2312" w:cs="Times New Roman"/>
                <w:kern w:val="0"/>
                <w:szCs w:val="21"/>
                <w:lang w:val="en-US" w:eastAsia="zh-CN"/>
              </w:rPr>
              <w:t>政务服务便利</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便利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便利</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生态</w:t>
            </w:r>
            <w:r>
              <w:rPr>
                <w:rFonts w:hint="eastAsia" w:ascii="Times New Roman" w:hAnsi="Times New Roman" w:eastAsia="仿宋_GB2312" w:cs="Times New Roman"/>
                <w:kern w:val="0"/>
                <w:sz w:val="21"/>
                <w:szCs w:val="21"/>
                <w:lang w:val="en-US" w:eastAsia="zh-CN" w:bidi="ar"/>
              </w:rPr>
              <w:t>环境质量</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提高</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提高</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优化营商环境工作持续推进</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持续</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持续</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 xml:space="preserve"> 满意度</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4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cs="Times New Roman"/>
          <w:sz w:val="32"/>
          <w:szCs w:val="32"/>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spacing w:line="560" w:lineRule="exact"/>
        <w:ind w:firstLine="640" w:firstLineChars="200"/>
        <w:jc w:val="left"/>
        <w:rPr>
          <w:rFonts w:ascii="仿宋_GB2312" w:hAnsi="仿宋_GB2312" w:eastAsia="仿宋_GB2312" w:cs="仿宋_GB2312"/>
          <w:sz w:val="32"/>
          <w:szCs w:val="32"/>
        </w:rPr>
      </w:pPr>
      <w:r>
        <w:rPr>
          <w:rFonts w:hint="eastAsia" w:ascii="Times New Roman" w:hAnsi="Times New Roman" w:eastAsia="黑体" w:cs="Times New Roman"/>
          <w:kern w:val="2"/>
          <w:sz w:val="32"/>
          <w:szCs w:val="32"/>
          <w:lang w:val="en-US" w:eastAsia="zh-CN" w:bidi="ar"/>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）部门职能：</w:t>
      </w:r>
    </w:p>
    <w:p>
      <w:pPr>
        <w:pStyle w:val="7"/>
        <w:spacing w:before="0" w:beforeAutospacing="0" w:after="0" w:afterAutospacing="0" w:line="560" w:lineRule="exact"/>
        <w:ind w:firstLine="640" w:firstLineChars="200"/>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1、参与全区优化营商环境相关政策措施的制定及落实。负责组织对全区优化营商环境相关政策的宣传、培训，收集整理涉及各类市场主体在办理各项业务过程中遇到的问题、困难并提出建议对策；</w:t>
      </w:r>
    </w:p>
    <w:p>
      <w:pPr>
        <w:pStyle w:val="7"/>
        <w:spacing w:before="0" w:beforeAutospacing="0" w:after="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2、参与涉及营商环境投诉举报的协调事务工作。协同配合相关部门对全区优化营商环境工作中的违纪违规行为进行调查核实，并提出处理建议意见；</w:t>
      </w:r>
    </w:p>
    <w:p>
      <w:pPr>
        <w:pStyle w:val="7"/>
        <w:spacing w:before="0" w:beforeAutospacing="0" w:after="0" w:afterAutospacing="0" w:line="560" w:lineRule="exact"/>
        <w:ind w:firstLine="640" w:firstLineChars="200"/>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3、负责组织相关部门对涉企政策法规进行解读和业务培训并开展政策法规执行效果第三方评估；</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4、承担国家、省、市对我区的营商环境评价的事务性工作。参与拟订全区营商环境考核评价体系，参与全区营商环境评价工作。</w:t>
      </w:r>
    </w:p>
    <w:p>
      <w:pPr>
        <w:snapToGrid w:val="0"/>
        <w:spacing w:line="520" w:lineRule="exact"/>
        <w:ind w:firstLine="640" w:firstLineChars="200"/>
        <w:rPr>
          <w:rFonts w:hint="eastAsia" w:ascii="仿宋_GB2312" w:hAnsi="仿宋" w:eastAsia="仿宋_GB2312"/>
          <w:sz w:val="32"/>
          <w:szCs w:val="32"/>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w:t>
      </w:r>
      <w:r>
        <w:rPr>
          <w:rFonts w:hint="eastAsia" w:ascii="仿宋_GB2312" w:hAnsi="仿宋" w:eastAsia="仿宋_GB2312"/>
          <w:sz w:val="32"/>
          <w:szCs w:val="32"/>
        </w:rPr>
        <w:t>机构情况，独立核算机构，未设二级机构。</w:t>
      </w:r>
    </w:p>
    <w:p>
      <w:pPr>
        <w:snapToGrid w:val="0"/>
        <w:spacing w:line="520" w:lineRule="exact"/>
        <w:ind w:firstLine="640" w:firstLineChars="200"/>
        <w:rPr>
          <w:rFonts w:hint="eastAsia" w:ascii="Times New Roman" w:hAnsi="Times New Roman" w:eastAsia="楷体_GB2312" w:cs="Times New Roman"/>
          <w:kern w:val="2"/>
          <w:sz w:val="32"/>
          <w:szCs w:val="32"/>
          <w:lang w:val="en-US" w:eastAsia="zh-CN" w:bidi="ar"/>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lang w:eastAsia="zh-CN"/>
        </w:rPr>
        <w:t>）</w:t>
      </w:r>
      <w:r>
        <w:rPr>
          <w:rFonts w:hint="eastAsia" w:ascii="仿宋_GB2312" w:hAnsi="仿宋" w:eastAsia="仿宋_GB2312"/>
          <w:sz w:val="32"/>
          <w:szCs w:val="32"/>
        </w:rPr>
        <w:t>人员情况，事业编制</w:t>
      </w:r>
      <w:r>
        <w:rPr>
          <w:rFonts w:hint="eastAsia" w:ascii="仿宋_GB2312" w:hAnsi="仿宋" w:eastAsia="仿宋_GB2312"/>
          <w:sz w:val="32"/>
          <w:szCs w:val="32"/>
          <w:lang w:val="en-US" w:eastAsia="zh-CN"/>
        </w:rPr>
        <w:t>8</w:t>
      </w:r>
      <w:r>
        <w:rPr>
          <w:rFonts w:hint="eastAsia" w:ascii="仿宋_GB2312" w:hAnsi="仿宋" w:eastAsia="仿宋_GB2312"/>
          <w:sz w:val="32"/>
          <w:szCs w:val="32"/>
        </w:rPr>
        <w:t>人，在岗在编</w:t>
      </w:r>
      <w:r>
        <w:rPr>
          <w:rFonts w:hint="eastAsia" w:ascii="仿宋_GB2312" w:hAnsi="仿宋" w:eastAsia="仿宋_GB2312"/>
          <w:sz w:val="32"/>
          <w:szCs w:val="32"/>
          <w:lang w:val="en-US" w:eastAsia="zh-CN"/>
        </w:rPr>
        <w:t>8</w:t>
      </w:r>
      <w:r>
        <w:rPr>
          <w:rFonts w:hint="eastAsia" w:ascii="仿宋_GB2312" w:hAnsi="仿宋" w:eastAsia="仿宋_GB2312"/>
          <w:sz w:val="32"/>
          <w:szCs w:val="32"/>
        </w:rPr>
        <w:t>人，临聘人员1人。</w:t>
      </w:r>
    </w:p>
    <w:p>
      <w:pPr>
        <w:pStyle w:val="11"/>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11"/>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11"/>
        <w:widowControl/>
        <w:spacing w:line="600" w:lineRule="exact"/>
        <w:ind w:left="0" w:leftChars="0" w:firstLine="960" w:firstLineChars="300"/>
        <w:rPr>
          <w:rFonts w:hint="default" w:ascii="Times New Roman" w:hAnsi="Times New Roman" w:eastAsia="楷体_GB2312" w:cs="Times New Roman"/>
          <w:sz w:val="32"/>
          <w:szCs w:val="32"/>
          <w:lang w:val="en-US"/>
        </w:rPr>
      </w:pPr>
      <w:r>
        <w:rPr>
          <w:rFonts w:hint="eastAsia" w:eastAsia="方正仿宋_GBK"/>
          <w:color w:val="000000"/>
          <w:kern w:val="0"/>
          <w:sz w:val="32"/>
          <w:szCs w:val="32"/>
          <w:lang w:val="en-US" w:eastAsia="zh-CN"/>
        </w:rPr>
        <w:t>2023</w:t>
      </w:r>
      <w:r>
        <w:rPr>
          <w:rFonts w:hint="eastAsia" w:ascii="仿宋_GB2312" w:hAnsi="仿宋" w:eastAsia="仿宋_GB2312" w:cs="宋体"/>
          <w:sz w:val="32"/>
          <w:szCs w:val="32"/>
          <w:lang w:val="en-US" w:eastAsia="zh-CN"/>
        </w:rPr>
        <w:t>年决算支出180.55万元，</w:t>
      </w:r>
      <w:r>
        <w:rPr>
          <w:rFonts w:hint="default" w:ascii="仿宋_GB2312" w:hAnsi="仿宋" w:eastAsia="仿宋_GB2312" w:cs="宋体"/>
          <w:sz w:val="32"/>
          <w:szCs w:val="32"/>
          <w:lang w:val="en-US" w:eastAsia="zh-CN"/>
        </w:rPr>
        <w:t>按收入性质分</w:t>
      </w:r>
      <w:r>
        <w:rPr>
          <w:rFonts w:hint="eastAsia" w:ascii="仿宋_GB2312" w:hAnsi="仿宋" w:eastAsia="仿宋_GB2312" w:cs="宋体"/>
          <w:sz w:val="32"/>
          <w:szCs w:val="32"/>
          <w:lang w:val="en-US" w:eastAsia="zh-CN"/>
        </w:rPr>
        <w:t>其中：一般公共预算支出178.94万元，其他支出1.61万元。按支出</w:t>
      </w:r>
      <w:r>
        <w:rPr>
          <w:rFonts w:hint="default" w:ascii="仿宋_GB2312" w:hAnsi="仿宋" w:eastAsia="仿宋_GB2312" w:cs="宋体"/>
          <w:sz w:val="32"/>
          <w:szCs w:val="32"/>
          <w:lang w:val="en-US" w:eastAsia="zh-CN"/>
        </w:rPr>
        <w:t>性质分</w:t>
      </w:r>
      <w:r>
        <w:rPr>
          <w:rFonts w:hint="eastAsia" w:ascii="仿宋_GB2312" w:hAnsi="仿宋" w:eastAsia="仿宋_GB2312" w:cs="宋体"/>
          <w:sz w:val="32"/>
          <w:szCs w:val="32"/>
          <w:lang w:val="en-US" w:eastAsia="zh-CN"/>
        </w:rPr>
        <w:t>其中：基本支出170.55万元，项目支出10万元。基本支出按经济科目分类，</w:t>
      </w:r>
      <w:r>
        <w:rPr>
          <w:rFonts w:hint="eastAsia" w:ascii="仿宋_GB2312" w:hAnsi="仿宋" w:eastAsia="仿宋_GB2312"/>
          <w:sz w:val="32"/>
          <w:szCs w:val="32"/>
          <w:lang w:val="en-US" w:eastAsia="zh-CN"/>
        </w:rPr>
        <w:t>其中工资福利支出113.1万元，较上年增加9.18万元，增长8.84%，原因是工资上调；商品和服务支出57.45万元，较上年减少62.81万元，下降52.23%，原因是减少原国资中心“三供一业”维修款。</w:t>
      </w:r>
    </w:p>
    <w:p>
      <w:pPr>
        <w:pStyle w:val="11"/>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pStyle w:val="11"/>
        <w:widowControl/>
        <w:numPr>
          <w:ilvl w:val="0"/>
          <w:numId w:val="0"/>
        </w:numPr>
        <w:tabs>
          <w:tab w:val="left" w:pos="1080"/>
        </w:tabs>
        <w:spacing w:line="600" w:lineRule="exact"/>
        <w:ind w:right="0" w:rightChars="0" w:firstLine="640" w:firstLineChars="200"/>
        <w:jc w:val="left"/>
        <w:rPr>
          <w:rFonts w:hint="default" w:ascii="仿宋_GB2312" w:hAnsi="仿宋" w:eastAsia="仿宋_GB2312"/>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仿宋_GB2312" w:hAnsi="仿宋" w:eastAsia="仿宋_GB2312"/>
          <w:sz w:val="32"/>
          <w:szCs w:val="32"/>
          <w:lang w:val="en-US" w:eastAsia="zh-CN"/>
        </w:rPr>
        <w:t xml:space="preserve"> 2023年引进外资奖励专项10万元，上年同期无项目资金。该项目资金及时拨付到株洲邦鑫硬质合金公司。严格按专项资金管理办法使用，做到专款专用。</w:t>
      </w:r>
      <w:bookmarkStart w:id="0" w:name="_GoBack"/>
      <w:bookmarkEnd w:id="0"/>
    </w:p>
    <w:p>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三、</w:t>
      </w:r>
      <w:r>
        <w:rPr>
          <w:rFonts w:hint="default" w:ascii="Times New Roman" w:hAnsi="Times New Roman" w:eastAsia="黑体" w:cs="Times New Roman"/>
          <w:kern w:val="2"/>
          <w:sz w:val="32"/>
          <w:szCs w:val="32"/>
          <w:lang w:val="en-US" w:eastAsia="zh-CN" w:bidi="ar"/>
        </w:rPr>
        <w:t>部门整体支出绩效情况</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2023年完成了</w:t>
      </w:r>
      <w:r>
        <w:rPr>
          <w:rFonts w:hint="default" w:ascii="Times New Roman" w:hAnsi="Times New Roman" w:eastAsia="仿宋_GB2312" w:cs="Times New Roman"/>
          <w:kern w:val="2"/>
          <w:sz w:val="32"/>
          <w:szCs w:val="32"/>
          <w:lang w:val="en-US" w:eastAsia="zh-CN" w:bidi="ar"/>
        </w:rPr>
        <w:t>对全区优化营商环境相关政策的宣传、培训，收集整理涉及各类市场主体在办理各项业务过程中遇到的问题、困难并提出建议对策</w:t>
      </w:r>
      <w:r>
        <w:rPr>
          <w:rFonts w:hint="eastAsia"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紧贴市场主体发展需求，聚焦资金、人才、土地等要素资源，梳理区域内企业融资需求36笔，召开精准银企对接活动6次。开展11场现场招聘会，提供6000余个就业岗位。完成集体土地项目24个，全力做好营商环境要素保障工作。出台全市首个“六即”改革工作方案，累计压缩审批时限23%</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渌口区全年开工项目共30个，竣工项目共18个，实现“洽谈即服务”亿元签约项目29个，25家企业实现“开工即配套”，打造“竣工即交证”示范项目3个，打造全市首个“拿地即开工”示范项目1个。在区政务中心设立外商投资企业资讯和投诉处理窗口，及时有效处理外商投资企业或者其投资者反映的问题，协调完善相关政策措施，持续优化外商投资环境，年度完成新注册外资企业3家。</w:t>
      </w:r>
      <w:r>
        <w:rPr>
          <w:rFonts w:hint="eastAsia" w:ascii="Times New Roman" w:hAnsi="Times New Roman" w:eastAsia="仿宋_GB2312" w:cs="Times New Roman"/>
          <w:kern w:val="2"/>
          <w:sz w:val="32"/>
          <w:szCs w:val="32"/>
          <w:lang w:val="en-US" w:eastAsia="zh-CN" w:bidi="ar"/>
        </w:rPr>
        <w:t>绩效指标全部按年初目标完成。</w:t>
      </w:r>
    </w:p>
    <w:p>
      <w:pPr>
        <w:numPr>
          <w:ilvl w:val="0"/>
          <w:numId w:val="2"/>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cs="Times New Roman"/>
          <w:kern w:val="2"/>
          <w:sz w:val="32"/>
          <w:szCs w:val="32"/>
          <w:lang w:val="en-US" w:eastAsia="zh-CN" w:bidi="ar"/>
        </w:rPr>
        <w:t>产出指标完成情况分析：</w:t>
      </w:r>
    </w:p>
    <w:p>
      <w:pPr>
        <w:numPr>
          <w:ilvl w:val="0"/>
          <w:numId w:val="3"/>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数量指标：</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（1）对全区优化营商环境相关政策的宣传、培训大于或等于2次；2023年</w:t>
      </w:r>
      <w:r>
        <w:rPr>
          <w:rFonts w:hint="default" w:ascii="仿宋_GB2312" w:hAnsi="仿宋_GB2312" w:eastAsia="仿宋_GB2312" w:cs="仿宋_GB2312"/>
          <w:color w:val="000000"/>
          <w:kern w:val="0"/>
          <w:sz w:val="32"/>
          <w:szCs w:val="32"/>
          <w:lang w:val="en-US" w:eastAsia="zh-CN" w:bidi="ar-SA"/>
        </w:rPr>
        <w:t>召开精准银企对接活动6次。开展11场现场招聘会，提供6000余个就业岗位，现场达成初步就业意向1618人。</w:t>
      </w:r>
    </w:p>
    <w:p>
      <w:pPr>
        <w:numPr>
          <w:ilvl w:val="0"/>
          <w:numId w:val="0"/>
        </w:numPr>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（2）组织全区开展营商环境评价工作大于或等于2次；实际完成2次。</w:t>
      </w:r>
    </w:p>
    <w:p>
      <w:pPr>
        <w:numPr>
          <w:ilvl w:val="0"/>
          <w:numId w:val="0"/>
        </w:numPr>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（3）受理涉及营商环境的投诉举报大于或等于2次。2023年</w:t>
      </w:r>
      <w:r>
        <w:rPr>
          <w:rFonts w:hint="default" w:ascii="仿宋_GB2312" w:hAnsi="仿宋_GB2312" w:eastAsia="仿宋_GB2312" w:cs="仿宋_GB2312"/>
          <w:color w:val="000000"/>
          <w:kern w:val="0"/>
          <w:sz w:val="32"/>
          <w:szCs w:val="32"/>
          <w:lang w:val="en-US" w:eastAsia="zh-CN" w:bidi="ar-SA"/>
        </w:rPr>
        <w:t>在区政务中心设立外商投资企业资讯和投诉处理窗口，及时有效处理外商投资企业或者其投资者反映的问题。</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2、质量指标：</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（1）对全区优化营商环境相关政策的宣传、培训效果达标率100%；实际完成政策的宣传、培训效果达标率100%。</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（2）组织全区开展营商环境评价工作完成率100%；实际完成全区开展营商环境评价工作完成率100%。</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（3）受理涉及营商环境的投诉举报解决问题程度大于或等于85%。实际完成达标率85%以上。</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3、时效指标：受理营商环境投诉时间小于或等于7天。实际完成受理营商环境投诉时间小于或等于7天。2023年</w:t>
      </w:r>
      <w:r>
        <w:rPr>
          <w:rFonts w:hint="default" w:ascii="仿宋_GB2312" w:hAnsi="仿宋_GB2312" w:eastAsia="仿宋_GB2312" w:cs="仿宋_GB2312"/>
          <w:color w:val="000000"/>
          <w:kern w:val="0"/>
          <w:sz w:val="32"/>
          <w:szCs w:val="32"/>
          <w:lang w:val="en-US" w:eastAsia="zh-CN" w:bidi="ar-SA"/>
        </w:rPr>
        <w:t>出台全市首个“六即”改革工作方案，累计压缩审批时限23%，办件资料精简30%，“竣工即交证”助推审批提速83%。</w:t>
      </w:r>
    </w:p>
    <w:p>
      <w:pPr>
        <w:numPr>
          <w:ilvl w:val="0"/>
          <w:numId w:val="0"/>
        </w:numPr>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4、成本指标：统筹优化全区营商环境工作成本小于或等于30万元。实际成本30万元。</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（二）效益指标完成情况分析：</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1、经济效益指标：优化营商环境，企业经营成本下降，经济发展稳定；2023年</w:t>
      </w:r>
      <w:r>
        <w:rPr>
          <w:rFonts w:hint="default" w:ascii="仿宋_GB2312" w:hAnsi="仿宋_GB2312" w:eastAsia="仿宋_GB2312" w:cs="仿宋_GB2312"/>
          <w:color w:val="000000"/>
          <w:kern w:val="0"/>
          <w:sz w:val="32"/>
          <w:szCs w:val="32"/>
          <w:lang w:val="en-US" w:eastAsia="zh-CN" w:bidi="ar-SA"/>
        </w:rPr>
        <w:t>召开“湘易办”惠企政策兑现工作推进会，加大各级各职能部门梳理惠企政策兑现事项工作力度，渌口区“湘易办”政策兑现专区上线惠企政策文件（含政策解读）47项、政策兑现事项61项</w:t>
      </w:r>
      <w:r>
        <w:rPr>
          <w:rFonts w:hint="eastAsia" w:ascii="仿宋_GB2312" w:hAnsi="仿宋_GB2312" w:eastAsia="仿宋_GB2312" w:cs="仿宋_GB2312"/>
          <w:color w:val="000000"/>
          <w:kern w:val="0"/>
          <w:sz w:val="32"/>
          <w:szCs w:val="32"/>
          <w:lang w:val="en-US" w:eastAsia="zh-CN" w:bidi="ar-SA"/>
        </w:rPr>
        <w:t>。</w:t>
      </w:r>
    </w:p>
    <w:p>
      <w:pPr>
        <w:numPr>
          <w:ilvl w:val="0"/>
          <w:numId w:val="0"/>
        </w:numPr>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2、社会效益指标：优化营商环境，政务服务便利度提高；2023年</w:t>
      </w:r>
      <w:r>
        <w:rPr>
          <w:rFonts w:hint="default" w:ascii="仿宋_GB2312" w:hAnsi="仿宋_GB2312" w:eastAsia="仿宋_GB2312" w:cs="仿宋_GB2312"/>
          <w:color w:val="000000"/>
          <w:kern w:val="0"/>
          <w:sz w:val="32"/>
          <w:szCs w:val="32"/>
          <w:lang w:val="en-US" w:eastAsia="zh-CN" w:bidi="ar-SA"/>
        </w:rPr>
        <w:t>制定并下发了《株洲市渌口区“企业办事不求人”实施方案》，安排联企干部共174人，联系企业336家，开展了助企纾困工作，通过驻企联络员走访企业收集并反馈问题，截止目前，共收集并解决问题458个。</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3、生态效益指标：优化营商环境，生态环境质量提高；</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4、可持续影响指标：优化营商环境工作持续推进。</w:t>
      </w:r>
      <w:r>
        <w:rPr>
          <w:rFonts w:hint="default" w:ascii="仿宋_GB2312" w:hAnsi="仿宋_GB2312" w:eastAsia="仿宋_GB2312" w:cs="仿宋_GB2312"/>
          <w:color w:val="000000"/>
          <w:kern w:val="0"/>
          <w:sz w:val="32"/>
          <w:szCs w:val="32"/>
          <w:lang w:val="en-US" w:eastAsia="zh-CN" w:bidi="ar-SA"/>
        </w:rPr>
        <w:t>开展涉企行政执法突出问题专项整治行动，严厉打击“衣食住行”市场中的乱象，打击破坏市场经营秩序的违法犯罪行为。</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（三）满意度指标完成情况分析：</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服务对象满意度指标：市场主体、群众满意度大于或等于98%。</w:t>
      </w:r>
    </w:p>
    <w:p>
      <w:pPr>
        <w:pStyle w:val="11"/>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预算执行中存在的主要问题是：指标串用，表现为公用经费用作人员经费，商品和服务性支出经济分类不明晰，绩效评价结果运用不成熟。</w:t>
      </w:r>
    </w:p>
    <w:p>
      <w:pPr>
        <w:keepNext w:val="0"/>
        <w:keepLines w:val="0"/>
        <w:widowControl w:val="0"/>
        <w:numPr>
          <w:ilvl w:val="0"/>
          <w:numId w:val="4"/>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sz w:val="32"/>
          <w:szCs w:val="32"/>
          <w:lang w:val="en-US"/>
        </w:rPr>
      </w:pPr>
      <w:r>
        <w:rPr>
          <w:rFonts w:hint="eastAsia" w:ascii="仿宋_GB2312" w:hAnsi="仿宋" w:eastAsia="仿宋_GB2312" w:cs="Times New Roman"/>
          <w:color w:val="auto"/>
          <w:sz w:val="32"/>
          <w:szCs w:val="32"/>
          <w:lang w:val="en-US" w:eastAsia="zh-CN"/>
        </w:rPr>
        <w:t>2024年，将进一步规范预算指标的运用，尽可能做到有预算才开支，无预算不开支。建立健全绩效评价结果运用机制，充分发挥绩效评价的作用。</w:t>
      </w:r>
    </w:p>
    <w:p>
      <w:pPr>
        <w:keepNext w:val="0"/>
        <w:keepLines w:val="0"/>
        <w:widowControl w:val="0"/>
        <w:numPr>
          <w:ilvl w:val="0"/>
          <w:numId w:val="4"/>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sz w:val="32"/>
          <w:szCs w:val="32"/>
          <w:lang w:val="en-US"/>
        </w:rPr>
      </w:pPr>
      <w:r>
        <w:rPr>
          <w:rFonts w:hint="eastAsia" w:eastAsia="仿宋_GB2312"/>
          <w:sz w:val="32"/>
          <w:szCs w:val="32"/>
          <w:lang w:val="en-US" w:eastAsia="zh-CN"/>
        </w:rPr>
        <w:t>本单位2023年绩效自评结果会应用到2024年绩效评价中，促进明年的工作取得更大的成绩。2023年绩效自评情况会在规定的时间内，在株洲市渌口区人民政府门户网公开。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8"/>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339"/>
        <w:gridCol w:w="849"/>
        <w:gridCol w:w="1186"/>
        <w:gridCol w:w="1102"/>
        <w:gridCol w:w="769"/>
        <w:gridCol w:w="83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引进外资奖励专项</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区人民政府</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渌口区优化营商环境协调事务中心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优化营商环境</w:t>
            </w:r>
            <w:r>
              <w:rPr>
                <w:rFonts w:hint="eastAsia" w:ascii="Times New Roman" w:hAnsi="Times New Roman" w:eastAsia="仿宋_GB2312" w:cs="Times New Roman"/>
                <w:kern w:val="0"/>
                <w:sz w:val="21"/>
                <w:szCs w:val="21"/>
                <w:lang w:val="en-US" w:eastAsia="zh-CN" w:bidi="ar"/>
              </w:rPr>
              <w:t>，积极引进外资企业</w:t>
            </w:r>
            <w:r>
              <w:rPr>
                <w:rFonts w:hint="default" w:ascii="Times New Roman" w:hAnsi="Times New Roman" w:eastAsia="仿宋_GB2312" w:cs="Times New Roman"/>
                <w:kern w:val="0"/>
                <w:sz w:val="21"/>
                <w:szCs w:val="21"/>
                <w:lang w:val="en-US" w:eastAsia="zh-CN" w:bidi="ar"/>
              </w:rPr>
              <w:t>　　</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优化营商环境</w:t>
            </w:r>
            <w:r>
              <w:rPr>
                <w:rFonts w:hint="eastAsia" w:ascii="Times New Roman" w:hAnsi="Times New Roman" w:eastAsia="仿宋_GB2312" w:cs="Times New Roman"/>
                <w:kern w:val="0"/>
                <w:sz w:val="21"/>
                <w:szCs w:val="21"/>
                <w:lang w:val="en-US" w:eastAsia="zh-CN" w:bidi="ar"/>
              </w:rPr>
              <w:t>，积极引进外资企业</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进外资企业</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1个</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1个</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优化营商环境</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优化</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优化</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及时拨付资金</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及时</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及时</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引进外资奖励</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10万元</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10万元</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助力外贸业绩回流</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提高</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提高</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扩大就业</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扩大</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扩大</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无</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优化营商环境工作持续推进</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持续</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持续</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w:t>
            </w:r>
            <w:r>
              <w:rPr>
                <w:rFonts w:hint="eastAsia" w:ascii="Times New Roman" w:hAnsi="Times New Roman" w:eastAsia="仿宋_GB2312" w:cs="Times New Roman"/>
                <w:kern w:val="0"/>
                <w:sz w:val="21"/>
                <w:szCs w:val="21"/>
                <w:lang w:val="en-US" w:eastAsia="zh-CN" w:bidi="ar"/>
              </w:rPr>
              <w:t>企业满意度</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4"/>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1"/>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1"/>
        <w:widowControl/>
        <w:numPr>
          <w:ilvl w:val="0"/>
          <w:numId w:val="0"/>
        </w:numPr>
        <w:spacing w:line="600" w:lineRule="exact"/>
        <w:ind w:leftChars="200" w:right="0" w:rightChars="0" w:firstLine="288" w:firstLineChars="100"/>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val="en-US" w:eastAsia="zh-CN"/>
        </w:rPr>
        <w:t>2024年4月本单位由项目负责人牵头，组织各个相关股室人员，对2023年引进外资奖励专项支出项目进行了绩效</w:t>
      </w:r>
      <w:r>
        <w:rPr>
          <w:rFonts w:hint="default" w:ascii="Times New Roman" w:hAnsi="Times New Roman" w:eastAsia="仿宋_GB2312" w:cs="Times New Roman"/>
          <w:w w:val="90"/>
          <w:sz w:val="32"/>
          <w:szCs w:val="32"/>
          <w:lang w:val="en-US" w:eastAsia="zh-CN"/>
        </w:rPr>
        <w:t>自评</w:t>
      </w:r>
      <w:r>
        <w:rPr>
          <w:rFonts w:hint="default" w:ascii="Times New Roman" w:hAnsi="Times New Roman" w:eastAsia="仿宋_GB2312" w:cs="Times New Roman"/>
          <w:w w:val="90"/>
          <w:sz w:val="32"/>
          <w:szCs w:val="32"/>
          <w:lang w:eastAsia="zh-CN"/>
        </w:rPr>
        <w:t>。</w:t>
      </w:r>
    </w:p>
    <w:p>
      <w:pPr>
        <w:pStyle w:val="11"/>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1"/>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1"/>
        <w:widowControl/>
        <w:numPr>
          <w:ilvl w:val="0"/>
          <w:numId w:val="5"/>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11"/>
        <w:widowControl/>
        <w:numPr>
          <w:ilvl w:val="0"/>
          <w:numId w:val="0"/>
        </w:numPr>
        <w:tabs>
          <w:tab w:val="left" w:pos="1080"/>
        </w:tabs>
        <w:spacing w:line="600" w:lineRule="exact"/>
        <w:ind w:right="0" w:rightChars="0" w:firstLine="864" w:firstLineChars="3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2023年引进外资奖励专项10万元，及时拨付到株洲邦鑫</w:t>
      </w:r>
      <w:r>
        <w:rPr>
          <w:rFonts w:hint="eastAsia" w:ascii="Times New Roman" w:hAnsi="Times New Roman" w:eastAsia="仿宋_GB2312" w:cs="Times New Roman"/>
          <w:w w:val="90"/>
          <w:sz w:val="32"/>
          <w:szCs w:val="32"/>
          <w:lang w:eastAsia="zh-CN"/>
        </w:rPr>
        <w:t>硬质合金公司。</w:t>
      </w:r>
    </w:p>
    <w:p>
      <w:pPr>
        <w:pStyle w:val="11"/>
        <w:widowControl/>
        <w:numPr>
          <w:ilvl w:val="0"/>
          <w:numId w:val="5"/>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pPr>
        <w:pStyle w:val="11"/>
        <w:widowControl/>
        <w:numPr>
          <w:ilvl w:val="0"/>
          <w:numId w:val="0"/>
        </w:numPr>
        <w:tabs>
          <w:tab w:val="left" w:pos="1080"/>
        </w:tabs>
        <w:spacing w:line="600" w:lineRule="exact"/>
        <w:ind w:right="0" w:rightChars="0" w:firstLine="864" w:firstLineChars="3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2023年引进外资奖励专项年初预算10万元，全年决算10万元，</w:t>
      </w:r>
      <w:r>
        <w:rPr>
          <w:rFonts w:hint="default" w:ascii="Times New Roman" w:hAnsi="Times New Roman" w:eastAsia="仿宋_GB2312" w:cs="Times New Roman"/>
          <w:w w:val="90"/>
          <w:sz w:val="32"/>
          <w:szCs w:val="32"/>
          <w:lang w:val="en-US" w:eastAsia="zh-CN"/>
        </w:rPr>
        <w:t>执行率</w:t>
      </w:r>
      <w:r>
        <w:rPr>
          <w:rFonts w:hint="eastAsia" w:ascii="Times New Roman" w:hAnsi="Times New Roman" w:eastAsia="仿宋_GB2312" w:cs="Times New Roman"/>
          <w:w w:val="90"/>
          <w:sz w:val="32"/>
          <w:szCs w:val="32"/>
          <w:lang w:val="en-US" w:eastAsia="zh-CN"/>
        </w:rPr>
        <w:t>100%。</w:t>
      </w:r>
    </w:p>
    <w:p>
      <w:pPr>
        <w:pStyle w:val="11"/>
        <w:widowControl/>
        <w:numPr>
          <w:ilvl w:val="0"/>
          <w:numId w:val="5"/>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pPr>
        <w:pStyle w:val="11"/>
        <w:widowControl/>
        <w:numPr>
          <w:ilvl w:val="0"/>
          <w:numId w:val="0"/>
        </w:numPr>
        <w:tabs>
          <w:tab w:val="left" w:pos="1080"/>
        </w:tabs>
        <w:spacing w:line="600" w:lineRule="exact"/>
        <w:ind w:right="0" w:rightChars="0"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2023年引进外资奖励专项10万元，严格按专项资金管理办法使用，做到专款专用。</w:t>
      </w:r>
    </w:p>
    <w:p>
      <w:pPr>
        <w:pStyle w:val="4"/>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1"/>
        <w:widowControl/>
        <w:numPr>
          <w:ilvl w:val="0"/>
          <w:numId w:val="6"/>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4"/>
        <w:widowControl/>
        <w:spacing w:line="600" w:lineRule="exact"/>
        <w:ind w:firstLine="608"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5"/>
          <w:sz w:val="32"/>
          <w:szCs w:val="32"/>
          <w:lang w:eastAsia="zh-CN"/>
        </w:rPr>
        <w:t>产出数量</w:t>
      </w:r>
      <w:r>
        <w:rPr>
          <w:rFonts w:hint="default" w:ascii="Times New Roman" w:hAnsi="Times New Roman" w:eastAsia="仿宋_GB2312" w:cs="Times New Roman"/>
          <w:sz w:val="32"/>
          <w:szCs w:val="32"/>
          <w:lang w:eastAsia="zh-CN"/>
        </w:rPr>
        <w:t>指标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w w:val="95"/>
          <w:sz w:val="32"/>
          <w:szCs w:val="32"/>
          <w:lang w:val="en-US" w:eastAsia="zh-CN"/>
        </w:rPr>
        <w:t>进外资企业1个，完成进外资企业1个；</w:t>
      </w:r>
      <w:r>
        <w:rPr>
          <w:rFonts w:hint="default" w:ascii="Times New Roman" w:hAnsi="Times New Roman" w:eastAsia="仿宋_GB2312" w:cs="Times New Roman"/>
          <w:w w:val="95"/>
          <w:sz w:val="32"/>
          <w:szCs w:val="32"/>
          <w:lang w:eastAsia="zh-CN"/>
        </w:rPr>
        <w:t>质量指标</w:t>
      </w:r>
      <w:r>
        <w:rPr>
          <w:rFonts w:hint="eastAsia" w:ascii="Times New Roman" w:hAnsi="Times New Roman" w:eastAsia="仿宋_GB2312" w:cs="Times New Roman"/>
          <w:w w:val="95"/>
          <w:sz w:val="32"/>
          <w:szCs w:val="32"/>
          <w:lang w:eastAsia="zh-CN"/>
        </w:rPr>
        <w:t>，</w:t>
      </w:r>
      <w:r>
        <w:rPr>
          <w:rFonts w:hint="default" w:ascii="Times New Roman" w:hAnsi="Times New Roman" w:eastAsia="仿宋_GB2312" w:cs="Times New Roman"/>
          <w:w w:val="95"/>
          <w:sz w:val="32"/>
          <w:szCs w:val="32"/>
          <w:lang w:val="en-US" w:eastAsia="zh-CN"/>
        </w:rPr>
        <w:t>优化营商环境</w:t>
      </w:r>
      <w:r>
        <w:rPr>
          <w:rFonts w:hint="eastAsia" w:ascii="Times New Roman" w:hAnsi="Times New Roman" w:eastAsia="仿宋_GB2312" w:cs="Times New Roman"/>
          <w:w w:val="95"/>
          <w:sz w:val="32"/>
          <w:szCs w:val="32"/>
          <w:lang w:eastAsia="zh-CN"/>
        </w:rPr>
        <w:t>；</w:t>
      </w:r>
      <w:r>
        <w:rPr>
          <w:rFonts w:hint="default" w:ascii="Times New Roman" w:hAnsi="Times New Roman" w:eastAsia="仿宋_GB2312" w:cs="Times New Roman"/>
          <w:w w:val="95"/>
          <w:sz w:val="32"/>
          <w:szCs w:val="32"/>
          <w:lang w:eastAsia="zh-CN"/>
        </w:rPr>
        <w:t>时效指标</w:t>
      </w:r>
      <w:r>
        <w:rPr>
          <w:rFonts w:hint="eastAsia" w:ascii="Times New Roman" w:hAnsi="Times New Roman" w:eastAsia="仿宋_GB2312" w:cs="Times New Roman"/>
          <w:w w:val="95"/>
          <w:sz w:val="32"/>
          <w:szCs w:val="32"/>
          <w:lang w:eastAsia="zh-CN"/>
        </w:rPr>
        <w:t>，及时拨付资金到位；</w:t>
      </w:r>
      <w:r>
        <w:rPr>
          <w:rFonts w:hint="default" w:ascii="Times New Roman" w:hAnsi="Times New Roman" w:eastAsia="仿宋_GB2312" w:cs="Times New Roman"/>
          <w:w w:val="95"/>
          <w:sz w:val="32"/>
          <w:szCs w:val="32"/>
          <w:lang w:eastAsia="zh-CN"/>
        </w:rPr>
        <w:t>成本指标</w:t>
      </w:r>
      <w:r>
        <w:rPr>
          <w:rFonts w:hint="eastAsia" w:ascii="Times New Roman" w:hAnsi="Times New Roman" w:eastAsia="仿宋_GB2312" w:cs="Times New Roman"/>
          <w:w w:val="95"/>
          <w:sz w:val="32"/>
          <w:szCs w:val="32"/>
          <w:lang w:eastAsia="zh-CN"/>
        </w:rPr>
        <w:t>，项目预算数</w:t>
      </w:r>
      <w:r>
        <w:rPr>
          <w:rFonts w:hint="eastAsia" w:ascii="Times New Roman" w:hAnsi="Times New Roman" w:eastAsia="仿宋_GB2312" w:cs="Times New Roman"/>
          <w:w w:val="95"/>
          <w:sz w:val="32"/>
          <w:szCs w:val="32"/>
          <w:lang w:val="en-US" w:eastAsia="zh-CN"/>
        </w:rPr>
        <w:t>10万元，</w:t>
      </w:r>
      <w:r>
        <w:rPr>
          <w:rFonts w:hint="default" w:ascii="Times New Roman" w:hAnsi="Times New Roman" w:eastAsia="仿宋_GB2312" w:cs="Times New Roman"/>
          <w:w w:val="95"/>
          <w:sz w:val="32"/>
          <w:szCs w:val="32"/>
          <w:lang w:eastAsia="zh-CN"/>
        </w:rPr>
        <w:t>完成项目预算数</w:t>
      </w:r>
      <w:r>
        <w:rPr>
          <w:rFonts w:hint="eastAsia" w:ascii="Times New Roman" w:hAnsi="Times New Roman" w:eastAsia="仿宋_GB2312" w:cs="Times New Roman"/>
          <w:w w:val="95"/>
          <w:sz w:val="32"/>
          <w:szCs w:val="32"/>
          <w:lang w:val="en-US" w:eastAsia="zh-CN"/>
        </w:rPr>
        <w:t>10万元</w:t>
      </w:r>
      <w:r>
        <w:rPr>
          <w:rFonts w:hint="default" w:ascii="Times New Roman" w:hAnsi="Times New Roman" w:eastAsia="仿宋_GB2312" w:cs="Times New Roman"/>
          <w:w w:val="95"/>
          <w:sz w:val="32"/>
          <w:szCs w:val="32"/>
          <w:lang w:eastAsia="zh-CN"/>
        </w:rPr>
        <w:t>。。</w:t>
      </w:r>
    </w:p>
    <w:p>
      <w:pPr>
        <w:pStyle w:val="11"/>
        <w:widowControl/>
        <w:numPr>
          <w:ilvl w:val="0"/>
          <w:numId w:val="6"/>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numPr>
          <w:ilvl w:val="0"/>
          <w:numId w:val="0"/>
        </w:numPr>
        <w:spacing w:line="560" w:lineRule="exact"/>
        <w:ind w:firstLine="576"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经济效益</w:t>
      </w:r>
      <w:r>
        <w:rPr>
          <w:rFonts w:hint="default" w:ascii="Times New Roman" w:hAnsi="Times New Roman" w:eastAsia="仿宋_GB2312" w:cs="Times New Roman"/>
          <w:sz w:val="32"/>
          <w:szCs w:val="32"/>
          <w:lang w:eastAsia="zh-CN"/>
        </w:rPr>
        <w:t>指标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w w:val="90"/>
          <w:sz w:val="32"/>
          <w:szCs w:val="32"/>
          <w:lang w:eastAsia="zh-CN"/>
        </w:rPr>
        <w:t>助力外贸业绩回流</w:t>
      </w:r>
      <w:r>
        <w:rPr>
          <w:rFonts w:hint="eastAsia" w:ascii="Times New Roman" w:hAnsi="Times New Roman" w:eastAsia="仿宋_GB2312" w:cs="Times New Roman"/>
          <w:w w:val="90"/>
          <w:sz w:val="32"/>
          <w:szCs w:val="32"/>
          <w:lang w:eastAsia="zh-CN"/>
        </w:rPr>
        <w:t>，</w:t>
      </w:r>
      <w:r>
        <w:rPr>
          <w:rFonts w:hint="default" w:ascii="Times New Roman" w:hAnsi="Times New Roman" w:eastAsia="仿宋_GB2312" w:cs="Times New Roman"/>
          <w:w w:val="90"/>
          <w:sz w:val="32"/>
          <w:szCs w:val="32"/>
          <w:lang w:val="en-US" w:eastAsia="zh-CN"/>
        </w:rPr>
        <w:t>在区政务中心设立外商投资企业资讯和投诉处理窗口，及时有效处理外商投资企业或者其投资者反映的问题，协调完善相关政策措施，持续优化外商投资环境，年度完成新注册外资企业3家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w w:val="90"/>
          <w:sz w:val="32"/>
          <w:szCs w:val="32"/>
          <w:lang w:eastAsia="zh-CN"/>
        </w:rPr>
        <w:t>社会效益</w:t>
      </w:r>
      <w:r>
        <w:rPr>
          <w:rFonts w:hint="default" w:ascii="Times New Roman" w:hAnsi="Times New Roman" w:eastAsia="仿宋_GB2312" w:cs="Times New Roman"/>
          <w:sz w:val="32"/>
          <w:szCs w:val="32"/>
          <w:lang w:eastAsia="zh-CN"/>
        </w:rPr>
        <w:t>指标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w w:val="90"/>
          <w:sz w:val="32"/>
          <w:szCs w:val="32"/>
          <w:lang w:val="en-US" w:eastAsia="zh-CN"/>
        </w:rPr>
        <w:t>扩大就业，2023年</w:t>
      </w:r>
      <w:r>
        <w:rPr>
          <w:rFonts w:hint="default" w:ascii="Times New Roman" w:hAnsi="Times New Roman" w:eastAsia="仿宋_GB2312" w:cs="Times New Roman"/>
          <w:w w:val="90"/>
          <w:sz w:val="32"/>
          <w:szCs w:val="32"/>
          <w:lang w:val="en-US" w:eastAsia="zh-CN"/>
        </w:rPr>
        <w:t>开展11场现场招聘会，提供6000余个就业岗位，现场达成初步就业意向1618人</w:t>
      </w:r>
      <w:r>
        <w:rPr>
          <w:rFonts w:hint="eastAsia" w:ascii="Times New Roman" w:hAnsi="Times New Roman" w:eastAsia="仿宋_GB2312" w:cs="Times New Roman"/>
          <w:w w:val="90"/>
          <w:sz w:val="32"/>
          <w:szCs w:val="32"/>
          <w:lang w:val="en-US" w:eastAsia="zh-CN"/>
        </w:rPr>
        <w:t>；</w:t>
      </w:r>
      <w:r>
        <w:rPr>
          <w:rFonts w:hint="default" w:ascii="Times New Roman" w:hAnsi="Times New Roman" w:eastAsia="仿宋_GB2312" w:cs="Times New Roman"/>
          <w:w w:val="90"/>
          <w:sz w:val="32"/>
          <w:szCs w:val="32"/>
          <w:lang w:val="en-US" w:eastAsia="zh-CN"/>
        </w:rPr>
        <w:t>生态效益指标</w:t>
      </w:r>
      <w:r>
        <w:rPr>
          <w:rFonts w:hint="eastAsia" w:ascii="Times New Roman" w:hAnsi="Times New Roman" w:eastAsia="仿宋_GB2312" w:cs="Times New Roman"/>
          <w:w w:val="90"/>
          <w:sz w:val="32"/>
          <w:szCs w:val="32"/>
          <w:lang w:val="en-US" w:eastAsia="zh-CN"/>
        </w:rPr>
        <w:t>，无；</w:t>
      </w:r>
      <w:r>
        <w:rPr>
          <w:rFonts w:hint="default" w:ascii="Times New Roman" w:hAnsi="Times New Roman" w:eastAsia="仿宋_GB2312" w:cs="Times New Roman"/>
          <w:w w:val="90"/>
          <w:sz w:val="32"/>
          <w:szCs w:val="32"/>
          <w:lang w:val="en-US" w:eastAsia="zh-CN"/>
        </w:rPr>
        <w:t>可持续影响指标</w:t>
      </w:r>
      <w:r>
        <w:rPr>
          <w:rFonts w:hint="eastAsia" w:ascii="Times New Roman" w:hAnsi="Times New Roman" w:eastAsia="仿宋_GB2312" w:cs="Times New Roman"/>
          <w:w w:val="90"/>
          <w:sz w:val="32"/>
          <w:szCs w:val="32"/>
          <w:lang w:val="en-US" w:eastAsia="zh-CN"/>
        </w:rPr>
        <w:t>，优化营商环境工作持续推进，</w:t>
      </w:r>
      <w:r>
        <w:rPr>
          <w:rFonts w:hint="default" w:ascii="Times New Roman" w:hAnsi="Times New Roman" w:eastAsia="仿宋_GB2312" w:cs="Times New Roman"/>
          <w:w w:val="90"/>
          <w:sz w:val="32"/>
          <w:szCs w:val="32"/>
          <w:lang w:val="en-US" w:eastAsia="zh-CN"/>
        </w:rPr>
        <w:t>开展涉企行政执法突出问</w:t>
      </w:r>
      <w:r>
        <w:rPr>
          <w:rFonts w:hint="default" w:ascii="仿宋_GB2312" w:hAnsi="仿宋_GB2312" w:eastAsia="仿宋_GB2312" w:cs="仿宋_GB2312"/>
          <w:color w:val="000000"/>
          <w:kern w:val="0"/>
          <w:sz w:val="32"/>
          <w:szCs w:val="32"/>
          <w:lang w:val="en-US" w:eastAsia="zh-CN" w:bidi="ar-SA"/>
        </w:rPr>
        <w:t>题专项整治行动，严厉打击“衣食住行”市场中的乱象，打击破坏市场经营秩序的违法犯罪行为。</w:t>
      </w:r>
    </w:p>
    <w:p>
      <w:pPr>
        <w:pStyle w:val="11"/>
        <w:widowControl/>
        <w:numPr>
          <w:ilvl w:val="0"/>
          <w:numId w:val="6"/>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11"/>
        <w:widowControl/>
        <w:numPr>
          <w:ilvl w:val="0"/>
          <w:numId w:val="0"/>
        </w:numPr>
        <w:tabs>
          <w:tab w:val="left" w:pos="1164"/>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
        </w:rPr>
      </w:pPr>
      <w:r>
        <w:rPr>
          <w:rFonts w:hint="default" w:ascii="Times New Roman" w:hAnsi="Times New Roman" w:eastAsia="仿宋_GB2312" w:cs="Times New Roman"/>
          <w:w w:val="90"/>
          <w:kern w:val="2"/>
          <w:sz w:val="32"/>
          <w:szCs w:val="32"/>
          <w:lang w:val="en-US" w:eastAsia="zh-CN" w:bidi="ar"/>
        </w:rPr>
        <w:t>服务</w:t>
      </w:r>
      <w:r>
        <w:rPr>
          <w:rFonts w:hint="eastAsia" w:ascii="Times New Roman" w:hAnsi="Times New Roman" w:eastAsia="仿宋_GB2312" w:cs="Times New Roman"/>
          <w:w w:val="90"/>
          <w:kern w:val="2"/>
          <w:sz w:val="32"/>
          <w:szCs w:val="32"/>
          <w:lang w:val="en-US" w:eastAsia="zh-CN" w:bidi="ar"/>
        </w:rPr>
        <w:t>企业满意度98%，完成</w:t>
      </w:r>
      <w:r>
        <w:rPr>
          <w:rFonts w:hint="default" w:ascii="Times New Roman" w:hAnsi="Times New Roman" w:eastAsia="仿宋_GB2312" w:cs="Times New Roman"/>
          <w:w w:val="90"/>
          <w:kern w:val="2"/>
          <w:sz w:val="32"/>
          <w:szCs w:val="32"/>
          <w:lang w:val="en-US" w:eastAsia="zh-CN" w:bidi="ar"/>
        </w:rPr>
        <w:t>服务</w:t>
      </w:r>
      <w:r>
        <w:rPr>
          <w:rFonts w:hint="eastAsia" w:ascii="Times New Roman" w:hAnsi="Times New Roman" w:eastAsia="仿宋_GB2312" w:cs="Times New Roman"/>
          <w:w w:val="90"/>
          <w:kern w:val="2"/>
          <w:sz w:val="32"/>
          <w:szCs w:val="32"/>
          <w:lang w:val="en-US" w:eastAsia="zh-CN" w:bidi="ar"/>
        </w:rPr>
        <w:t>企业满意度98%。</w:t>
      </w:r>
    </w:p>
    <w:p>
      <w:pPr>
        <w:pStyle w:val="11"/>
        <w:widowControl/>
        <w:numPr>
          <w:ilvl w:val="0"/>
          <w:numId w:val="1"/>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11"/>
        <w:widowControl/>
        <w:numPr>
          <w:ilvl w:val="0"/>
          <w:numId w:val="0"/>
        </w:numPr>
        <w:tabs>
          <w:tab w:val="left" w:pos="1164"/>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
        </w:rPr>
      </w:pPr>
      <w:r>
        <w:rPr>
          <w:rFonts w:hint="default" w:ascii="Times New Roman" w:hAnsi="Times New Roman" w:eastAsia="仿宋_GB2312" w:cs="Times New Roman"/>
          <w:w w:val="90"/>
          <w:kern w:val="2"/>
          <w:sz w:val="32"/>
          <w:szCs w:val="32"/>
          <w:lang w:val="en-US" w:eastAsia="zh-CN" w:bidi="ar"/>
        </w:rPr>
        <w:t>进一步提升数字赋能营商环境服务水平，使数字营商环境服务融入政务服务各个环节，大力提升营商服务效率和质量。发挥先进地区营商环境的引领示范效应，总结提炼营商环境优良省市县区的经验做法，并上升为标准规范，对标借鉴、复制推广。</w:t>
      </w:r>
    </w:p>
    <w:p>
      <w:pPr>
        <w:pStyle w:val="11"/>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pStyle w:val="11"/>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eastAsia" w:eastAsia="仿宋_GB2312"/>
          <w:sz w:val="32"/>
          <w:szCs w:val="32"/>
        </w:rPr>
        <w:t>本单位2023年绩效自评结果会应用到2024年绩效评价中，促进明年的工作取得更大的成绩。2023年绩效自评情况会在规定的时间内，在株洲市渌口区人民政府门户网公开。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9B66A"/>
    <w:multiLevelType w:val="singleLevel"/>
    <w:tmpl w:val="B5A9B66A"/>
    <w:lvl w:ilvl="0" w:tentative="0">
      <w:start w:val="5"/>
      <w:numFmt w:val="chineseCounting"/>
      <w:suff w:val="nothing"/>
      <w:lvlText w:val="%1、"/>
      <w:lvlJc w:val="left"/>
      <w:rPr>
        <w:rFonts w:hint="eastAsia"/>
      </w:rPr>
    </w:lvl>
  </w:abstractNum>
  <w:abstractNum w:abstractNumId="1">
    <w:nsid w:val="E398C97A"/>
    <w:multiLevelType w:val="singleLevel"/>
    <w:tmpl w:val="E398C97A"/>
    <w:lvl w:ilvl="0" w:tentative="0">
      <w:start w:val="1"/>
      <w:numFmt w:val="chineseCounting"/>
      <w:suff w:val="nothing"/>
      <w:lvlText w:val="%1、"/>
      <w:lvlJc w:val="left"/>
      <w:rPr>
        <w:rFonts w:hint="eastAsia"/>
      </w:rPr>
    </w:lvl>
  </w:abstractNum>
  <w:abstractNum w:abstractNumId="2">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3">
    <w:nsid w:val="F427D948"/>
    <w:multiLevelType w:val="singleLevel"/>
    <w:tmpl w:val="F427D948"/>
    <w:lvl w:ilvl="0" w:tentative="0">
      <w:start w:val="1"/>
      <w:numFmt w:val="chineseCounting"/>
      <w:suff w:val="nothing"/>
      <w:lvlText w:val="（%1）"/>
      <w:lvlJc w:val="left"/>
      <w:rPr>
        <w:rFonts w:hint="eastAsia"/>
      </w:rPr>
    </w:lvl>
  </w:abstractNum>
  <w:abstractNum w:abstractNumId="4">
    <w:nsid w:val="2B041834"/>
    <w:multiLevelType w:val="singleLevel"/>
    <w:tmpl w:val="2B041834"/>
    <w:lvl w:ilvl="0" w:tentative="0">
      <w:start w:val="1"/>
      <w:numFmt w:val="decimal"/>
      <w:suff w:val="nothing"/>
      <w:lvlText w:val="%1、"/>
      <w:lvlJc w:val="left"/>
    </w:lvl>
  </w:abstractNum>
  <w:abstractNum w:abstractNumId="5">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ZWNjNjE5YjE0ODQ3OGQ4MzNmOTUxMGU4OTVjODMifQ=="/>
  </w:docVars>
  <w:rsids>
    <w:rsidRoot w:val="00000000"/>
    <w:rsid w:val="01FD18ED"/>
    <w:rsid w:val="05436869"/>
    <w:rsid w:val="0B015412"/>
    <w:rsid w:val="0D564DFD"/>
    <w:rsid w:val="0DB57CB4"/>
    <w:rsid w:val="0E8845BE"/>
    <w:rsid w:val="14274190"/>
    <w:rsid w:val="17E6395B"/>
    <w:rsid w:val="18D620ED"/>
    <w:rsid w:val="18D97BBF"/>
    <w:rsid w:val="1C9A5481"/>
    <w:rsid w:val="1EE65901"/>
    <w:rsid w:val="1F397586"/>
    <w:rsid w:val="20221513"/>
    <w:rsid w:val="21C276E9"/>
    <w:rsid w:val="25500E6A"/>
    <w:rsid w:val="25E23B7B"/>
    <w:rsid w:val="2B95569E"/>
    <w:rsid w:val="2EFFB905"/>
    <w:rsid w:val="37A570FA"/>
    <w:rsid w:val="3E6A6D4F"/>
    <w:rsid w:val="3FE693AD"/>
    <w:rsid w:val="4035158F"/>
    <w:rsid w:val="455137CA"/>
    <w:rsid w:val="4576714F"/>
    <w:rsid w:val="4A9A5B32"/>
    <w:rsid w:val="4AF01932"/>
    <w:rsid w:val="4DD57ADF"/>
    <w:rsid w:val="4F3BD62E"/>
    <w:rsid w:val="50A6777A"/>
    <w:rsid w:val="524C14DA"/>
    <w:rsid w:val="536974C6"/>
    <w:rsid w:val="53CB15B5"/>
    <w:rsid w:val="559A367F"/>
    <w:rsid w:val="560D0D33"/>
    <w:rsid w:val="577C6C0C"/>
    <w:rsid w:val="590F614C"/>
    <w:rsid w:val="5E3D48E1"/>
    <w:rsid w:val="5FD12370"/>
    <w:rsid w:val="6186789B"/>
    <w:rsid w:val="63B32BC4"/>
    <w:rsid w:val="64CB5136"/>
    <w:rsid w:val="66835FBA"/>
    <w:rsid w:val="68383CF7"/>
    <w:rsid w:val="6B0851D1"/>
    <w:rsid w:val="76BA762C"/>
    <w:rsid w:val="76C8722C"/>
    <w:rsid w:val="77B909F0"/>
    <w:rsid w:val="78540864"/>
    <w:rsid w:val="7DE30FEF"/>
    <w:rsid w:val="7E5F0AF2"/>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index 5"/>
    <w:basedOn w:val="1"/>
    <w:next w:val="1"/>
    <w:autoRedefine/>
    <w:qFormat/>
    <w:uiPriority w:val="0"/>
    <w:pPr>
      <w:ind w:left="1680"/>
    </w:pPr>
  </w:style>
  <w:style w:type="paragraph" w:styleId="4">
    <w:name w:val="Body Text"/>
    <w:basedOn w:val="1"/>
    <w:link w:val="12"/>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footer"/>
    <w:basedOn w:val="1"/>
    <w:next w:val="3"/>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标题 1 Char"/>
    <w:basedOn w:val="9"/>
    <w:link w:val="2"/>
    <w:autoRedefine/>
    <w:qFormat/>
    <w:uiPriority w:val="0"/>
    <w:rPr>
      <w:rFonts w:hint="default" w:ascii="Calibri" w:hAnsi="Calibri" w:cs="Calibri"/>
      <w:b/>
      <w:bCs/>
      <w:kern w:val="44"/>
      <w:sz w:val="44"/>
      <w:szCs w:val="44"/>
    </w:rPr>
  </w:style>
  <w:style w:type="paragraph" w:customStyle="1" w:styleId="11">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2">
    <w:name w:val="正文文本 Char"/>
    <w:basedOn w:val="9"/>
    <w:link w:val="4"/>
    <w:autoRedefine/>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6056</Words>
  <Characters>6211</Characters>
  <Lines>0</Lines>
  <Paragraphs>0</Paragraphs>
  <TotalTime>15</TotalTime>
  <ScaleCrop>false</ScaleCrop>
  <LinksUpToDate>false</LinksUpToDate>
  <CharactersWithSpaces>6762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Administrator</cp:lastModifiedBy>
  <cp:lastPrinted>2023-03-31T11:20:00Z</cp:lastPrinted>
  <dcterms:modified xsi:type="dcterms:W3CDTF">2024-04-12T01:27:29Z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EED5D6D83E0944EF85A4087E4EA8D0A2</vt:lpwstr>
  </property>
</Properties>
</file>