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default" w:ascii="Times New Roman" w:hAnsi="Times New Roman" w:eastAsia="仿宋_GB2312" w:cs="Times New Roman"/>
          <w:b/>
          <w:bCs/>
          <w:color w:val="auto"/>
          <w:sz w:val="44"/>
          <w:szCs w:val="52"/>
          <w:lang w:val="en-US" w:eastAsia="zh-CN"/>
        </w:rPr>
      </w:pPr>
    </w:p>
    <w:p>
      <w:pPr>
        <w:widowControl/>
        <w:ind w:firstLine="0" w:firstLineChars="0"/>
        <w:jc w:val="center"/>
        <w:rPr>
          <w:rFonts w:hint="default" w:ascii="Times New Roman" w:hAnsi="Times New Roman" w:eastAsia="仿宋_GB2312" w:cs="Times New Roman"/>
          <w:color w:val="auto"/>
          <w:sz w:val="52"/>
          <w:szCs w:val="52"/>
          <w:lang w:val="zh-CN"/>
        </w:rPr>
      </w:pPr>
    </w:p>
    <w:p>
      <w:pPr>
        <w:widowControl/>
        <w:ind w:firstLine="0" w:firstLineChars="0"/>
        <w:jc w:val="center"/>
        <w:rPr>
          <w:rFonts w:hint="default" w:ascii="Times New Roman" w:hAnsi="Times New Roman" w:eastAsia="仿宋_GB2312" w:cs="Times New Roman"/>
          <w:color w:val="auto"/>
          <w:sz w:val="52"/>
          <w:szCs w:val="52"/>
          <w:lang w:val="zh-CN"/>
        </w:rPr>
      </w:pPr>
    </w:p>
    <w:p>
      <w:pPr>
        <w:widowControl/>
        <w:ind w:firstLine="0" w:firstLineChars="0"/>
        <w:jc w:val="center"/>
        <w:rPr>
          <w:rFonts w:hint="default" w:ascii="Times New Roman" w:hAnsi="Times New Roman" w:eastAsia="仿宋_GB2312" w:cs="Times New Roman"/>
          <w:color w:val="auto"/>
          <w:sz w:val="52"/>
          <w:szCs w:val="52"/>
          <w:lang w:val="zh-CN"/>
        </w:rPr>
      </w:pPr>
    </w:p>
    <w:p>
      <w:pPr>
        <w:widowControl/>
        <w:ind w:firstLine="0" w:firstLineChars="0"/>
        <w:jc w:val="center"/>
        <w:rPr>
          <w:rFonts w:hint="eastAsia" w:ascii="黑体" w:hAnsi="黑体" w:eastAsia="黑体" w:cs="黑体"/>
          <w:b/>
          <w:bCs/>
          <w:color w:val="auto"/>
          <w:sz w:val="52"/>
          <w:szCs w:val="52"/>
          <w:lang w:val="zh-CN"/>
        </w:rPr>
      </w:pPr>
      <w:r>
        <w:rPr>
          <w:rFonts w:hint="eastAsia" w:ascii="黑体" w:hAnsi="黑体" w:eastAsia="黑体" w:cs="黑体"/>
          <w:b/>
          <w:bCs/>
          <w:color w:val="auto"/>
          <w:sz w:val="52"/>
          <w:szCs w:val="52"/>
          <w:lang w:val="zh-CN"/>
        </w:rPr>
        <w:t>株洲市城市路灯综合服务经营权</w:t>
      </w:r>
    </w:p>
    <w:p>
      <w:pPr>
        <w:widowControl/>
        <w:ind w:firstLine="0" w:firstLineChars="0"/>
        <w:jc w:val="center"/>
        <w:rPr>
          <w:rFonts w:hint="eastAsia" w:ascii="黑体" w:hAnsi="黑体" w:eastAsia="黑体" w:cs="黑体"/>
          <w:b/>
          <w:bCs/>
          <w:color w:val="auto"/>
          <w:sz w:val="52"/>
          <w:szCs w:val="52"/>
          <w:lang w:val="zh-CN"/>
        </w:rPr>
      </w:pPr>
      <w:r>
        <w:rPr>
          <w:rFonts w:hint="eastAsia" w:ascii="黑体" w:hAnsi="黑体" w:eastAsia="黑体" w:cs="黑体"/>
          <w:b/>
          <w:bCs/>
          <w:color w:val="auto"/>
          <w:sz w:val="52"/>
          <w:szCs w:val="52"/>
          <w:lang w:val="zh-CN"/>
        </w:rPr>
        <w:t>项目实施方案</w:t>
      </w:r>
    </w:p>
    <w:p>
      <w:pPr>
        <w:pStyle w:val="23"/>
        <w:ind w:left="0" w:leftChars="0" w:firstLine="0" w:firstLineChars="0"/>
        <w:jc w:val="center"/>
        <w:rPr>
          <w:rFonts w:hint="eastAsia" w:ascii="黑体" w:hAnsi="黑体" w:eastAsia="黑体" w:cs="黑体"/>
          <w:b w:val="0"/>
          <w:bCs w:val="0"/>
          <w:color w:val="auto"/>
          <w:sz w:val="36"/>
          <w:szCs w:val="36"/>
          <w:lang w:val="en-US" w:eastAsia="zh-CN"/>
        </w:rPr>
      </w:pPr>
      <w:r>
        <w:rPr>
          <w:rFonts w:hint="eastAsia" w:ascii="黑体" w:hAnsi="黑体" w:eastAsia="黑体" w:cs="黑体"/>
          <w:b w:val="0"/>
          <w:bCs w:val="0"/>
          <w:color w:val="auto"/>
          <w:sz w:val="32"/>
          <w:szCs w:val="32"/>
          <w:lang w:val="en-US" w:eastAsia="zh-CN"/>
        </w:rPr>
        <w:t>（征求意见稿）</w:t>
      </w:r>
    </w:p>
    <w:p>
      <w:pPr>
        <w:widowControl/>
        <w:ind w:firstLine="0" w:firstLineChars="0"/>
        <w:jc w:val="both"/>
        <w:rPr>
          <w:rFonts w:hint="eastAsia" w:ascii="黑体" w:hAnsi="黑体" w:eastAsia="黑体" w:cs="黑体"/>
          <w:color w:val="auto"/>
          <w:sz w:val="52"/>
          <w:szCs w:val="52"/>
          <w:lang w:val="en-US" w:eastAsia="zh-CN"/>
        </w:rPr>
      </w:pPr>
    </w:p>
    <w:p>
      <w:pPr>
        <w:widowControl/>
        <w:ind w:firstLine="0" w:firstLineChars="0"/>
        <w:jc w:val="center"/>
        <w:rPr>
          <w:rFonts w:hint="eastAsia" w:ascii="黑体" w:hAnsi="黑体" w:eastAsia="黑体" w:cs="黑体"/>
          <w:color w:val="auto"/>
          <w:sz w:val="52"/>
          <w:szCs w:val="52"/>
          <w:lang w:val="en-US" w:eastAsia="zh-CN"/>
        </w:rPr>
      </w:pPr>
      <w:bookmarkStart w:id="64" w:name="_GoBack"/>
      <w:bookmarkEnd w:id="64"/>
    </w:p>
    <w:p>
      <w:pPr>
        <w:widowControl/>
        <w:ind w:firstLine="0" w:firstLineChars="0"/>
        <w:jc w:val="center"/>
        <w:rPr>
          <w:rFonts w:hint="eastAsia" w:ascii="黑体" w:hAnsi="黑体" w:eastAsia="黑体" w:cs="黑体"/>
          <w:color w:val="auto"/>
          <w:sz w:val="52"/>
          <w:szCs w:val="52"/>
          <w:lang w:val="zh-CN"/>
        </w:rPr>
      </w:pPr>
    </w:p>
    <w:p>
      <w:pPr>
        <w:widowControl/>
        <w:ind w:firstLine="0" w:firstLineChars="0"/>
        <w:jc w:val="center"/>
        <w:rPr>
          <w:rFonts w:hint="eastAsia" w:ascii="黑体" w:hAnsi="黑体" w:eastAsia="黑体" w:cs="黑体"/>
          <w:color w:val="auto"/>
          <w:sz w:val="52"/>
          <w:szCs w:val="52"/>
          <w:lang w:val="zh-CN"/>
        </w:rPr>
      </w:pPr>
    </w:p>
    <w:p>
      <w:pPr>
        <w:widowControl/>
        <w:ind w:firstLine="0" w:firstLineChars="0"/>
        <w:jc w:val="center"/>
        <w:rPr>
          <w:rFonts w:hint="eastAsia" w:ascii="黑体" w:hAnsi="黑体" w:eastAsia="黑体" w:cs="黑体"/>
          <w:color w:val="auto"/>
          <w:sz w:val="52"/>
          <w:szCs w:val="52"/>
          <w:lang w:val="zh-CN"/>
        </w:rPr>
      </w:pPr>
    </w:p>
    <w:p>
      <w:pPr>
        <w:widowControl/>
        <w:ind w:firstLine="0" w:firstLineChars="0"/>
        <w:jc w:val="center"/>
        <w:rPr>
          <w:rFonts w:hint="eastAsia" w:ascii="黑体" w:hAnsi="黑体" w:eastAsia="黑体" w:cs="黑体"/>
          <w:color w:val="auto"/>
          <w:sz w:val="52"/>
          <w:szCs w:val="52"/>
          <w:lang w:val="zh-CN"/>
        </w:rPr>
      </w:pPr>
    </w:p>
    <w:p>
      <w:pPr>
        <w:keepNext w:val="0"/>
        <w:keepLines w:val="0"/>
        <w:pageBreakBefore w:val="0"/>
        <w:widowControl/>
        <w:kinsoku/>
        <w:wordWrap/>
        <w:overflowPunct/>
        <w:topLinePunct w:val="0"/>
        <w:autoSpaceDE/>
        <w:autoSpaceDN/>
        <w:bidi w:val="0"/>
        <w:adjustRightInd/>
        <w:snapToGrid/>
        <w:ind w:left="0" w:leftChars="0" w:firstLine="1600" w:firstLineChars="5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zh-CN"/>
        </w:rPr>
        <w:t>编制单位：天信工程项目管理有限公司</w:t>
      </w:r>
    </w:p>
    <w:p>
      <w:pPr>
        <w:pStyle w:val="23"/>
        <w:keepNext w:val="0"/>
        <w:keepLines w:val="0"/>
        <w:pageBreakBefore w:val="0"/>
        <w:kinsoku/>
        <w:wordWrap/>
        <w:overflowPunct/>
        <w:topLinePunct w:val="0"/>
        <w:autoSpaceDE/>
        <w:autoSpaceDN/>
        <w:bidi w:val="0"/>
        <w:adjustRightInd/>
        <w:snapToGrid/>
        <w:spacing w:after="0"/>
        <w:ind w:left="0" w:leftChars="0" w:firstLine="1600" w:firstLineChars="500"/>
        <w:textAlignment w:val="auto"/>
        <w:rPr>
          <w:rFonts w:hint="eastAsia" w:ascii="黑体" w:hAnsi="黑体" w:eastAsia="黑体" w:cs="黑体"/>
          <w:color w:val="auto"/>
          <w:kern w:val="2"/>
          <w:sz w:val="32"/>
          <w:szCs w:val="32"/>
          <w:lang w:val="zh-CN" w:eastAsia="zh-CN" w:bidi="ar-SA"/>
        </w:rPr>
      </w:pPr>
      <w:r>
        <w:rPr>
          <w:rFonts w:hint="eastAsia" w:ascii="黑体" w:hAnsi="黑体" w:eastAsia="黑体" w:cs="黑体"/>
          <w:color w:val="auto"/>
          <w:kern w:val="2"/>
          <w:sz w:val="32"/>
          <w:szCs w:val="32"/>
          <w:lang w:val="zh-CN" w:eastAsia="zh-CN" w:bidi="ar-SA"/>
        </w:rPr>
        <w:t>委托单位：株洲市城市管理局</w:t>
      </w:r>
    </w:p>
    <w:p>
      <w:pPr>
        <w:keepNext w:val="0"/>
        <w:keepLines w:val="0"/>
        <w:pageBreakBefore w:val="0"/>
        <w:widowControl/>
        <w:kinsoku/>
        <w:wordWrap/>
        <w:overflowPunct/>
        <w:topLinePunct w:val="0"/>
        <w:autoSpaceDE/>
        <w:autoSpaceDN/>
        <w:bidi w:val="0"/>
        <w:adjustRightInd/>
        <w:snapToGrid/>
        <w:ind w:left="0" w:leftChars="0" w:firstLine="1600" w:firstLineChars="500"/>
        <w:textAlignment w:val="auto"/>
        <w:rPr>
          <w:rFonts w:hint="default" w:ascii="Times New Roman" w:hAnsi="Times New Roman" w:eastAsia="仿宋_GB2312" w:cs="Times New Roman"/>
          <w:color w:val="auto"/>
          <w:kern w:val="2"/>
          <w:sz w:val="32"/>
          <w:szCs w:val="32"/>
          <w:lang w:val="zh-CN" w:eastAsia="zh-CN" w:bidi="ar-SA"/>
        </w:rPr>
      </w:pPr>
      <w:r>
        <w:rPr>
          <w:rFonts w:hint="eastAsia" w:ascii="黑体" w:hAnsi="黑体" w:eastAsia="黑体" w:cs="黑体"/>
          <w:color w:val="auto"/>
          <w:kern w:val="2"/>
          <w:sz w:val="32"/>
          <w:szCs w:val="32"/>
          <w:lang w:val="zh-CN" w:eastAsia="zh-CN" w:bidi="ar-SA"/>
        </w:rPr>
        <w:t>编制时间：2024年</w:t>
      </w:r>
      <w:r>
        <w:rPr>
          <w:rFonts w:hint="eastAsia" w:ascii="黑体" w:hAnsi="黑体" w:eastAsia="黑体" w:cs="黑体"/>
          <w:color w:val="auto"/>
          <w:kern w:val="2"/>
          <w:sz w:val="32"/>
          <w:szCs w:val="32"/>
          <w:lang w:val="en-US" w:eastAsia="zh-CN" w:bidi="ar-SA"/>
        </w:rPr>
        <w:t>9</w:t>
      </w:r>
      <w:r>
        <w:rPr>
          <w:rFonts w:hint="eastAsia" w:ascii="黑体" w:hAnsi="黑体" w:eastAsia="黑体" w:cs="黑体"/>
          <w:color w:val="auto"/>
          <w:kern w:val="2"/>
          <w:sz w:val="32"/>
          <w:szCs w:val="32"/>
          <w:lang w:val="zh-CN" w:eastAsia="zh-CN" w:bidi="ar-SA"/>
        </w:rPr>
        <w:t>月</w:t>
      </w:r>
    </w:p>
    <w:p>
      <w:pPr>
        <w:pStyle w:val="58"/>
        <w:rPr>
          <w:rFonts w:hint="default" w:ascii="Times New Roman" w:hAnsi="Times New Roman" w:eastAsia="仿宋_GB2312" w:cs="Times New Roman"/>
          <w:color w:val="auto"/>
        </w:rPr>
      </w:pPr>
    </w:p>
    <w:p>
      <w:pPr>
        <w:ind w:firstLine="555" w:firstLineChars="185"/>
        <w:rPr>
          <w:rFonts w:hint="default" w:ascii="Times New Roman" w:hAnsi="Times New Roman" w:eastAsia="仿宋_GB2312" w:cs="Times New Roman"/>
          <w:b/>
          <w:bCs/>
          <w:color w:val="auto"/>
          <w:sz w:val="30"/>
          <w:szCs w:val="30"/>
        </w:rPr>
        <w:sectPr>
          <w:headerReference r:id="rId7" w:type="first"/>
          <w:headerReference r:id="rId5" w:type="default"/>
          <w:headerReference r:id="rId6" w:type="even"/>
          <w:pgSz w:w="11906" w:h="16838"/>
          <w:pgMar w:top="1440" w:right="1797" w:bottom="1440" w:left="1797" w:header="851" w:footer="992" w:gutter="0"/>
          <w:pgNumType w:fmt="decimal" w:start="1"/>
          <w:cols w:space="720" w:num="1"/>
          <w:docGrid w:type="linesAndChars" w:linePitch="312" w:charSpace="0"/>
        </w:sectPr>
      </w:pPr>
    </w:p>
    <w:p>
      <w:pPr>
        <w:ind w:firstLine="0" w:firstLineChars="0"/>
        <w:jc w:val="center"/>
        <w:rPr>
          <w:rFonts w:hint="default" w:ascii="Times New Roman" w:hAnsi="Times New Roman" w:eastAsia="仿宋_GB2312" w:cs="Times New Roman"/>
          <w:b/>
          <w:bCs/>
          <w:color w:val="auto"/>
          <w:sz w:val="32"/>
          <w:szCs w:val="28"/>
        </w:rPr>
      </w:pPr>
      <w:r>
        <w:rPr>
          <w:rFonts w:hint="default" w:ascii="Times New Roman" w:hAnsi="Times New Roman" w:eastAsia="仿宋_GB2312" w:cs="Times New Roman"/>
          <w:b/>
          <w:bCs/>
          <w:color w:val="auto"/>
          <w:sz w:val="32"/>
          <w:szCs w:val="28"/>
        </w:rPr>
        <w:t>目  录</w:t>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TOC \o "1-2" \h \u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_Toc27656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第1章 </w:t>
      </w:r>
      <w:r>
        <w:rPr>
          <w:rFonts w:hint="default" w:ascii="Times New Roman" w:hAnsi="Times New Roman" w:eastAsia="仿宋_GB2312" w:cs="Times New Roman"/>
          <w:color w:val="auto"/>
        </w:rPr>
        <w:t>总论</w:t>
      </w:r>
      <w:r>
        <w:rPr>
          <w:color w:val="auto"/>
        </w:rPr>
        <w:tab/>
      </w:r>
      <w:r>
        <w:rPr>
          <w:color w:val="auto"/>
        </w:rPr>
        <w:fldChar w:fldCharType="begin"/>
      </w:r>
      <w:r>
        <w:rPr>
          <w:color w:val="auto"/>
        </w:rPr>
        <w:instrText xml:space="preserve"> PAGEREF _Toc27656 \h </w:instrText>
      </w:r>
      <w:r>
        <w:rPr>
          <w:color w:val="auto"/>
        </w:rPr>
        <w:fldChar w:fldCharType="separate"/>
      </w:r>
      <w:r>
        <w:rPr>
          <w:color w:val="auto"/>
        </w:rPr>
        <w:t>1</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_Toc28268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lang w:val="en-US" w:eastAsia="zh-CN"/>
        </w:rPr>
        <w:t xml:space="preserve">1.1  </w:t>
      </w:r>
      <w:r>
        <w:rPr>
          <w:rFonts w:hint="default" w:ascii="Times New Roman" w:hAnsi="Times New Roman" w:eastAsia="仿宋_GB2312" w:cs="Times New Roman"/>
          <w:color w:val="auto"/>
        </w:rPr>
        <w:t>项目基本情况</w:t>
      </w:r>
      <w:r>
        <w:rPr>
          <w:color w:val="auto"/>
        </w:rPr>
        <w:tab/>
      </w:r>
      <w:r>
        <w:rPr>
          <w:color w:val="auto"/>
        </w:rPr>
        <w:fldChar w:fldCharType="begin"/>
      </w:r>
      <w:r>
        <w:rPr>
          <w:color w:val="auto"/>
        </w:rPr>
        <w:instrText xml:space="preserve"> PAGEREF _Toc28268 \h </w:instrText>
      </w:r>
      <w:r>
        <w:rPr>
          <w:color w:val="auto"/>
        </w:rPr>
        <w:fldChar w:fldCharType="separate"/>
      </w:r>
      <w:r>
        <w:rPr>
          <w:color w:val="auto"/>
        </w:rPr>
        <w:t>1</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_Toc30118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lang w:val="en-US" w:eastAsia="zh-CN"/>
        </w:rPr>
        <w:t>1.2  编制依据</w:t>
      </w:r>
      <w:r>
        <w:rPr>
          <w:color w:val="auto"/>
        </w:rPr>
        <w:tab/>
      </w:r>
      <w:r>
        <w:rPr>
          <w:color w:val="auto"/>
        </w:rPr>
        <w:fldChar w:fldCharType="begin"/>
      </w:r>
      <w:r>
        <w:rPr>
          <w:color w:val="auto"/>
        </w:rPr>
        <w:instrText xml:space="preserve"> PAGEREF _Toc30118 \h </w:instrText>
      </w:r>
      <w:r>
        <w:rPr>
          <w:color w:val="auto"/>
        </w:rPr>
        <w:fldChar w:fldCharType="separate"/>
      </w:r>
      <w:r>
        <w:rPr>
          <w:color w:val="auto"/>
        </w:rPr>
        <w:t>2</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_Toc31030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lang w:val="en-US" w:eastAsia="zh-CN"/>
        </w:rPr>
        <w:t>1.3  项目实施背景</w:t>
      </w:r>
      <w:r>
        <w:rPr>
          <w:color w:val="auto"/>
        </w:rPr>
        <w:tab/>
      </w:r>
      <w:r>
        <w:rPr>
          <w:color w:val="auto"/>
        </w:rPr>
        <w:fldChar w:fldCharType="begin"/>
      </w:r>
      <w:r>
        <w:rPr>
          <w:color w:val="auto"/>
        </w:rPr>
        <w:instrText xml:space="preserve"> PAGEREF _Toc31030 \h </w:instrText>
      </w:r>
      <w:r>
        <w:rPr>
          <w:color w:val="auto"/>
        </w:rPr>
        <w:fldChar w:fldCharType="separate"/>
      </w:r>
      <w:r>
        <w:rPr>
          <w:color w:val="auto"/>
        </w:rPr>
        <w:t>2</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_Toc5502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lang w:val="en-US" w:eastAsia="zh-CN"/>
        </w:rPr>
        <w:t>1.4  项目实施必要性</w:t>
      </w:r>
      <w:r>
        <w:rPr>
          <w:color w:val="auto"/>
        </w:rPr>
        <w:tab/>
      </w:r>
      <w:r>
        <w:rPr>
          <w:color w:val="auto"/>
        </w:rPr>
        <w:fldChar w:fldCharType="begin"/>
      </w:r>
      <w:r>
        <w:rPr>
          <w:color w:val="auto"/>
        </w:rPr>
        <w:instrText xml:space="preserve"> PAGEREF _Toc5502 \h </w:instrText>
      </w:r>
      <w:r>
        <w:rPr>
          <w:color w:val="auto"/>
        </w:rPr>
        <w:fldChar w:fldCharType="separate"/>
      </w:r>
      <w:r>
        <w:rPr>
          <w:color w:val="auto"/>
        </w:rPr>
        <w:t>6</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_Toc13228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第2章 </w:t>
      </w:r>
      <w:r>
        <w:rPr>
          <w:rFonts w:hint="default" w:ascii="Times New Roman" w:hAnsi="Times New Roman" w:eastAsia="仿宋_GB2312" w:cs="Times New Roman"/>
          <w:color w:val="auto"/>
        </w:rPr>
        <w:t>项目运作方式</w:t>
      </w:r>
      <w:r>
        <w:rPr>
          <w:color w:val="auto"/>
        </w:rPr>
        <w:tab/>
      </w:r>
      <w:r>
        <w:rPr>
          <w:color w:val="auto"/>
        </w:rPr>
        <w:fldChar w:fldCharType="begin"/>
      </w:r>
      <w:r>
        <w:rPr>
          <w:color w:val="auto"/>
        </w:rPr>
        <w:instrText xml:space="preserve"> PAGEREF _Toc13228 \h </w:instrText>
      </w:r>
      <w:r>
        <w:rPr>
          <w:color w:val="auto"/>
        </w:rPr>
        <w:fldChar w:fldCharType="separate"/>
      </w:r>
      <w:r>
        <w:rPr>
          <w:color w:val="auto"/>
        </w:rPr>
        <w:t>9</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_Toc2117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2.1 </w:t>
      </w:r>
      <w:r>
        <w:rPr>
          <w:rFonts w:hint="default" w:ascii="Times New Roman" w:hAnsi="Times New Roman" w:eastAsia="仿宋_GB2312" w:cs="Times New Roman"/>
          <w:color w:val="auto"/>
        </w:rPr>
        <w:t>经营权出让</w:t>
      </w:r>
      <w:r>
        <w:rPr>
          <w:color w:val="auto"/>
        </w:rPr>
        <w:tab/>
      </w:r>
      <w:r>
        <w:rPr>
          <w:color w:val="auto"/>
        </w:rPr>
        <w:fldChar w:fldCharType="begin"/>
      </w:r>
      <w:r>
        <w:rPr>
          <w:color w:val="auto"/>
        </w:rPr>
        <w:instrText xml:space="preserve"> PAGEREF _Toc2117 \h </w:instrText>
      </w:r>
      <w:r>
        <w:rPr>
          <w:color w:val="auto"/>
        </w:rPr>
        <w:fldChar w:fldCharType="separate"/>
      </w:r>
      <w:r>
        <w:rPr>
          <w:color w:val="auto"/>
        </w:rPr>
        <w:t>9</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_Toc9343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2.2 </w:t>
      </w:r>
      <w:r>
        <w:rPr>
          <w:rFonts w:hint="default" w:ascii="Times New Roman" w:hAnsi="Times New Roman" w:eastAsia="仿宋_GB2312" w:cs="Times New Roman"/>
          <w:color w:val="auto"/>
        </w:rPr>
        <w:t>项目具体运作</w:t>
      </w:r>
      <w:r>
        <w:rPr>
          <w:rFonts w:hint="default" w:ascii="Times New Roman" w:hAnsi="Times New Roman" w:eastAsia="仿宋_GB2312" w:cs="Times New Roman"/>
          <w:color w:val="auto"/>
          <w:lang w:val="en-US" w:eastAsia="zh-CN"/>
        </w:rPr>
        <w:t>流程</w:t>
      </w:r>
      <w:r>
        <w:rPr>
          <w:color w:val="auto"/>
        </w:rPr>
        <w:tab/>
      </w:r>
      <w:r>
        <w:rPr>
          <w:color w:val="auto"/>
        </w:rPr>
        <w:fldChar w:fldCharType="begin"/>
      </w:r>
      <w:r>
        <w:rPr>
          <w:color w:val="auto"/>
        </w:rPr>
        <w:instrText xml:space="preserve"> PAGEREF _Toc9343 \h </w:instrText>
      </w:r>
      <w:r>
        <w:rPr>
          <w:color w:val="auto"/>
        </w:rPr>
        <w:fldChar w:fldCharType="separate"/>
      </w:r>
      <w:r>
        <w:rPr>
          <w:color w:val="auto"/>
        </w:rPr>
        <w:t>9</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_Toc19309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2.3 </w:t>
      </w:r>
      <w:r>
        <w:rPr>
          <w:rFonts w:hint="default" w:ascii="Times New Roman" w:hAnsi="Times New Roman" w:eastAsia="仿宋_GB2312" w:cs="Times New Roman"/>
          <w:color w:val="auto"/>
        </w:rPr>
        <w:t>经营权受让单位的选择方式和条件</w:t>
      </w:r>
      <w:r>
        <w:rPr>
          <w:color w:val="auto"/>
        </w:rPr>
        <w:tab/>
      </w:r>
      <w:r>
        <w:rPr>
          <w:color w:val="auto"/>
        </w:rPr>
        <w:fldChar w:fldCharType="begin"/>
      </w:r>
      <w:r>
        <w:rPr>
          <w:color w:val="auto"/>
        </w:rPr>
        <w:instrText xml:space="preserve"> PAGEREF _Toc19309 \h </w:instrText>
      </w:r>
      <w:r>
        <w:rPr>
          <w:color w:val="auto"/>
        </w:rPr>
        <w:fldChar w:fldCharType="separate"/>
      </w:r>
      <w:r>
        <w:rPr>
          <w:color w:val="auto"/>
        </w:rPr>
        <w:t>11</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_Toc18110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第3章 </w:t>
      </w:r>
      <w:r>
        <w:rPr>
          <w:rFonts w:hint="default" w:ascii="Times New Roman" w:hAnsi="Times New Roman" w:eastAsia="仿宋_GB2312" w:cs="Times New Roman"/>
          <w:color w:val="auto"/>
        </w:rPr>
        <w:t>交易结构</w:t>
      </w:r>
      <w:r>
        <w:rPr>
          <w:color w:val="auto"/>
        </w:rPr>
        <w:tab/>
      </w:r>
      <w:r>
        <w:rPr>
          <w:color w:val="auto"/>
        </w:rPr>
        <w:fldChar w:fldCharType="begin"/>
      </w:r>
      <w:r>
        <w:rPr>
          <w:color w:val="auto"/>
        </w:rPr>
        <w:instrText xml:space="preserve"> PAGEREF _Toc18110 \h </w:instrText>
      </w:r>
      <w:r>
        <w:rPr>
          <w:color w:val="auto"/>
        </w:rPr>
        <w:fldChar w:fldCharType="separate"/>
      </w:r>
      <w:r>
        <w:rPr>
          <w:color w:val="auto"/>
        </w:rPr>
        <w:t>13</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_Toc7079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3.1 </w:t>
      </w:r>
      <w:r>
        <w:rPr>
          <w:rFonts w:hint="default" w:ascii="Times New Roman" w:hAnsi="Times New Roman" w:eastAsia="仿宋_GB2312" w:cs="Times New Roman"/>
          <w:color w:val="auto"/>
        </w:rPr>
        <w:t>项目投资与建设</w:t>
      </w:r>
      <w:r>
        <w:rPr>
          <w:color w:val="auto"/>
        </w:rPr>
        <w:tab/>
      </w:r>
      <w:r>
        <w:rPr>
          <w:color w:val="auto"/>
        </w:rPr>
        <w:fldChar w:fldCharType="begin"/>
      </w:r>
      <w:r>
        <w:rPr>
          <w:color w:val="auto"/>
        </w:rPr>
        <w:instrText xml:space="preserve"> PAGEREF _Toc7079 \h </w:instrText>
      </w:r>
      <w:r>
        <w:rPr>
          <w:color w:val="auto"/>
        </w:rPr>
        <w:fldChar w:fldCharType="separate"/>
      </w:r>
      <w:r>
        <w:rPr>
          <w:color w:val="auto"/>
        </w:rPr>
        <w:t>13</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_Toc17097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3.2 </w:t>
      </w:r>
      <w:r>
        <w:rPr>
          <w:rFonts w:hint="default" w:ascii="Times New Roman" w:hAnsi="Times New Roman" w:eastAsia="仿宋_GB2312" w:cs="Times New Roman"/>
          <w:color w:val="auto"/>
        </w:rPr>
        <w:t>项目运营</w:t>
      </w:r>
      <w:r>
        <w:rPr>
          <w:color w:val="auto"/>
        </w:rPr>
        <w:tab/>
      </w:r>
      <w:r>
        <w:rPr>
          <w:color w:val="auto"/>
        </w:rPr>
        <w:fldChar w:fldCharType="begin"/>
      </w:r>
      <w:r>
        <w:rPr>
          <w:color w:val="auto"/>
        </w:rPr>
        <w:instrText xml:space="preserve"> PAGEREF _Toc17097 \h </w:instrText>
      </w:r>
      <w:r>
        <w:rPr>
          <w:color w:val="auto"/>
        </w:rPr>
        <w:fldChar w:fldCharType="separate"/>
      </w:r>
      <w:r>
        <w:rPr>
          <w:color w:val="auto"/>
        </w:rPr>
        <w:t>13</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_Toc11392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3.3 </w:t>
      </w:r>
      <w:r>
        <w:rPr>
          <w:rFonts w:hint="default" w:ascii="Times New Roman" w:hAnsi="Times New Roman" w:eastAsia="仿宋_GB2312" w:cs="Times New Roman"/>
          <w:color w:val="auto"/>
        </w:rPr>
        <w:t>项目投融资与财务方案</w:t>
      </w:r>
      <w:r>
        <w:rPr>
          <w:color w:val="auto"/>
        </w:rPr>
        <w:tab/>
      </w:r>
      <w:r>
        <w:rPr>
          <w:color w:val="auto"/>
        </w:rPr>
        <w:fldChar w:fldCharType="begin"/>
      </w:r>
      <w:r>
        <w:rPr>
          <w:color w:val="auto"/>
        </w:rPr>
        <w:instrText xml:space="preserve"> PAGEREF _Toc11392 \h </w:instrText>
      </w:r>
      <w:r>
        <w:rPr>
          <w:color w:val="auto"/>
        </w:rPr>
        <w:fldChar w:fldCharType="separate"/>
      </w:r>
      <w:r>
        <w:rPr>
          <w:color w:val="auto"/>
        </w:rPr>
        <w:t>14</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_Toc8186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3.4 </w:t>
      </w:r>
      <w:r>
        <w:rPr>
          <w:rFonts w:hint="default" w:ascii="Times New Roman" w:hAnsi="Times New Roman" w:eastAsia="仿宋_GB2312" w:cs="Times New Roman"/>
          <w:color w:val="auto"/>
        </w:rPr>
        <w:t>回报机制</w:t>
      </w:r>
      <w:r>
        <w:rPr>
          <w:color w:val="auto"/>
        </w:rPr>
        <w:tab/>
      </w:r>
      <w:r>
        <w:rPr>
          <w:color w:val="auto"/>
        </w:rPr>
        <w:fldChar w:fldCharType="begin"/>
      </w:r>
      <w:r>
        <w:rPr>
          <w:color w:val="auto"/>
        </w:rPr>
        <w:instrText xml:space="preserve"> PAGEREF _Toc8186 \h </w:instrText>
      </w:r>
      <w:r>
        <w:rPr>
          <w:color w:val="auto"/>
        </w:rPr>
        <w:fldChar w:fldCharType="separate"/>
      </w:r>
      <w:r>
        <w:rPr>
          <w:color w:val="auto"/>
        </w:rPr>
        <w:t>25</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_Toc2524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3.5 </w:t>
      </w:r>
      <w:r>
        <w:rPr>
          <w:rFonts w:hint="default" w:ascii="Times New Roman" w:hAnsi="Times New Roman" w:eastAsia="仿宋_GB2312" w:cs="Times New Roman"/>
          <w:color w:val="auto"/>
        </w:rPr>
        <w:t>政府承诺及保障</w:t>
      </w:r>
      <w:r>
        <w:rPr>
          <w:color w:val="auto"/>
        </w:rPr>
        <w:tab/>
      </w:r>
      <w:r>
        <w:rPr>
          <w:color w:val="auto"/>
        </w:rPr>
        <w:fldChar w:fldCharType="begin"/>
      </w:r>
      <w:r>
        <w:rPr>
          <w:color w:val="auto"/>
        </w:rPr>
        <w:instrText xml:space="preserve"> PAGEREF _Toc2524 \h </w:instrText>
      </w:r>
      <w:r>
        <w:rPr>
          <w:color w:val="auto"/>
        </w:rPr>
        <w:fldChar w:fldCharType="separate"/>
      </w:r>
      <w:r>
        <w:rPr>
          <w:color w:val="auto"/>
        </w:rPr>
        <w:t>25</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_Toc15541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第4章 </w:t>
      </w:r>
      <w:r>
        <w:rPr>
          <w:rFonts w:hint="default" w:ascii="Times New Roman" w:hAnsi="Times New Roman" w:eastAsia="仿宋_GB2312" w:cs="Times New Roman"/>
          <w:color w:val="auto"/>
        </w:rPr>
        <w:t>项目合同体系</w:t>
      </w:r>
      <w:r>
        <w:rPr>
          <w:color w:val="auto"/>
        </w:rPr>
        <w:tab/>
      </w:r>
      <w:r>
        <w:rPr>
          <w:color w:val="auto"/>
        </w:rPr>
        <w:fldChar w:fldCharType="begin"/>
      </w:r>
      <w:r>
        <w:rPr>
          <w:color w:val="auto"/>
        </w:rPr>
        <w:instrText xml:space="preserve"> PAGEREF _Toc15541 \h </w:instrText>
      </w:r>
      <w:r>
        <w:rPr>
          <w:color w:val="auto"/>
        </w:rPr>
        <w:fldChar w:fldCharType="separate"/>
      </w:r>
      <w:r>
        <w:rPr>
          <w:color w:val="auto"/>
        </w:rPr>
        <w:t>27</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_Toc23136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4.1 </w:t>
      </w:r>
      <w:r>
        <w:rPr>
          <w:rFonts w:hint="default" w:ascii="Times New Roman" w:hAnsi="Times New Roman" w:eastAsia="仿宋_GB2312" w:cs="Times New Roman"/>
          <w:color w:val="auto"/>
        </w:rPr>
        <w:t>项目参与主体</w:t>
      </w:r>
      <w:r>
        <w:rPr>
          <w:color w:val="auto"/>
        </w:rPr>
        <w:tab/>
      </w:r>
      <w:r>
        <w:rPr>
          <w:color w:val="auto"/>
        </w:rPr>
        <w:fldChar w:fldCharType="begin"/>
      </w:r>
      <w:r>
        <w:rPr>
          <w:color w:val="auto"/>
        </w:rPr>
        <w:instrText xml:space="preserve"> PAGEREF _Toc23136 \h </w:instrText>
      </w:r>
      <w:r>
        <w:rPr>
          <w:color w:val="auto"/>
        </w:rPr>
        <w:fldChar w:fldCharType="separate"/>
      </w:r>
      <w:r>
        <w:rPr>
          <w:color w:val="auto"/>
        </w:rPr>
        <w:t>27</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_Toc1966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4.2 </w:t>
      </w:r>
      <w:r>
        <w:rPr>
          <w:rFonts w:hint="default" w:ascii="Times New Roman" w:hAnsi="Times New Roman" w:eastAsia="仿宋_GB2312" w:cs="Times New Roman"/>
          <w:color w:val="auto"/>
        </w:rPr>
        <w:t>项目合同体系组成</w:t>
      </w:r>
      <w:r>
        <w:rPr>
          <w:color w:val="auto"/>
        </w:rPr>
        <w:tab/>
      </w:r>
      <w:r>
        <w:rPr>
          <w:color w:val="auto"/>
        </w:rPr>
        <w:fldChar w:fldCharType="begin"/>
      </w:r>
      <w:r>
        <w:rPr>
          <w:color w:val="auto"/>
        </w:rPr>
        <w:instrText xml:space="preserve"> PAGEREF _Toc1966 \h </w:instrText>
      </w:r>
      <w:r>
        <w:rPr>
          <w:color w:val="auto"/>
        </w:rPr>
        <w:fldChar w:fldCharType="separate"/>
      </w:r>
      <w:r>
        <w:rPr>
          <w:color w:val="auto"/>
        </w:rPr>
        <w:t>27</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_Toc12806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第5章 </w:t>
      </w:r>
      <w:r>
        <w:rPr>
          <w:rFonts w:hint="default" w:ascii="Times New Roman" w:hAnsi="Times New Roman" w:eastAsia="仿宋_GB2312" w:cs="Times New Roman"/>
          <w:color w:val="auto"/>
        </w:rPr>
        <w:t>项目主要边界条件</w:t>
      </w:r>
      <w:r>
        <w:rPr>
          <w:color w:val="auto"/>
        </w:rPr>
        <w:tab/>
      </w:r>
      <w:r>
        <w:rPr>
          <w:color w:val="auto"/>
        </w:rPr>
        <w:fldChar w:fldCharType="begin"/>
      </w:r>
      <w:r>
        <w:rPr>
          <w:color w:val="auto"/>
        </w:rPr>
        <w:instrText xml:space="preserve"> PAGEREF _Toc12806 \h </w:instrText>
      </w:r>
      <w:r>
        <w:rPr>
          <w:color w:val="auto"/>
        </w:rPr>
        <w:fldChar w:fldCharType="separate"/>
      </w:r>
      <w:r>
        <w:rPr>
          <w:color w:val="auto"/>
        </w:rPr>
        <w:t>28</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_Toc3240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5.1 </w:t>
      </w:r>
      <w:r>
        <w:rPr>
          <w:rFonts w:hint="default" w:ascii="Times New Roman" w:hAnsi="Times New Roman" w:eastAsia="仿宋_GB2312" w:cs="Times New Roman"/>
          <w:color w:val="auto"/>
        </w:rPr>
        <w:t>权利义务边界</w:t>
      </w:r>
      <w:r>
        <w:rPr>
          <w:color w:val="auto"/>
        </w:rPr>
        <w:tab/>
      </w:r>
      <w:r>
        <w:rPr>
          <w:color w:val="auto"/>
        </w:rPr>
        <w:fldChar w:fldCharType="begin"/>
      </w:r>
      <w:r>
        <w:rPr>
          <w:color w:val="auto"/>
        </w:rPr>
        <w:instrText xml:space="preserve"> PAGEREF _Toc3240 \h </w:instrText>
      </w:r>
      <w:r>
        <w:rPr>
          <w:color w:val="auto"/>
        </w:rPr>
        <w:fldChar w:fldCharType="separate"/>
      </w:r>
      <w:r>
        <w:rPr>
          <w:color w:val="auto"/>
        </w:rPr>
        <w:t>28</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_Toc24175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5.2 </w:t>
      </w:r>
      <w:r>
        <w:rPr>
          <w:rFonts w:hint="default" w:ascii="Times New Roman" w:hAnsi="Times New Roman" w:eastAsia="仿宋_GB2312" w:cs="Times New Roman"/>
          <w:color w:val="auto"/>
        </w:rPr>
        <w:t>交易条件边界</w:t>
      </w:r>
      <w:r>
        <w:rPr>
          <w:color w:val="auto"/>
        </w:rPr>
        <w:tab/>
      </w:r>
      <w:r>
        <w:rPr>
          <w:color w:val="auto"/>
        </w:rPr>
        <w:fldChar w:fldCharType="begin"/>
      </w:r>
      <w:r>
        <w:rPr>
          <w:color w:val="auto"/>
        </w:rPr>
        <w:instrText xml:space="preserve"> PAGEREF _Toc24175 \h </w:instrText>
      </w:r>
      <w:r>
        <w:rPr>
          <w:color w:val="auto"/>
        </w:rPr>
        <w:fldChar w:fldCharType="separate"/>
      </w:r>
      <w:r>
        <w:rPr>
          <w:color w:val="auto"/>
        </w:rPr>
        <w:t>30</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_Toc14341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5.3 </w:t>
      </w:r>
      <w:r>
        <w:rPr>
          <w:rFonts w:hint="default" w:ascii="Times New Roman" w:hAnsi="Times New Roman" w:eastAsia="仿宋_GB2312" w:cs="Times New Roman"/>
          <w:color w:val="auto"/>
        </w:rPr>
        <w:t>履约保障边界</w:t>
      </w:r>
      <w:r>
        <w:rPr>
          <w:color w:val="auto"/>
        </w:rPr>
        <w:tab/>
      </w:r>
      <w:r>
        <w:rPr>
          <w:color w:val="auto"/>
        </w:rPr>
        <w:fldChar w:fldCharType="begin"/>
      </w:r>
      <w:r>
        <w:rPr>
          <w:color w:val="auto"/>
        </w:rPr>
        <w:instrText xml:space="preserve"> PAGEREF _Toc14341 \h </w:instrText>
      </w:r>
      <w:r>
        <w:rPr>
          <w:color w:val="auto"/>
        </w:rPr>
        <w:fldChar w:fldCharType="separate"/>
      </w:r>
      <w:r>
        <w:rPr>
          <w:color w:val="auto"/>
        </w:rPr>
        <w:t>32</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_Toc8882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5.4 </w:t>
      </w:r>
      <w:r>
        <w:rPr>
          <w:rFonts w:hint="default" w:ascii="Times New Roman" w:hAnsi="Times New Roman" w:eastAsia="仿宋_GB2312" w:cs="Times New Roman"/>
          <w:color w:val="auto"/>
        </w:rPr>
        <w:t>调整衔接边界</w:t>
      </w:r>
      <w:r>
        <w:rPr>
          <w:color w:val="auto"/>
        </w:rPr>
        <w:tab/>
      </w:r>
      <w:r>
        <w:rPr>
          <w:color w:val="auto"/>
        </w:rPr>
        <w:fldChar w:fldCharType="begin"/>
      </w:r>
      <w:r>
        <w:rPr>
          <w:color w:val="auto"/>
        </w:rPr>
        <w:instrText xml:space="preserve"> PAGEREF _Toc8882 \h </w:instrText>
      </w:r>
      <w:r>
        <w:rPr>
          <w:color w:val="auto"/>
        </w:rPr>
        <w:fldChar w:fldCharType="separate"/>
      </w:r>
      <w:r>
        <w:rPr>
          <w:color w:val="auto"/>
        </w:rPr>
        <w:t>33</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_Toc4047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第6章 </w:t>
      </w:r>
      <w:r>
        <w:rPr>
          <w:rFonts w:hint="default" w:ascii="Times New Roman" w:hAnsi="Times New Roman" w:eastAsia="仿宋_GB2312" w:cs="Times New Roman"/>
          <w:color w:val="auto"/>
        </w:rPr>
        <w:t>监管架构</w:t>
      </w:r>
      <w:r>
        <w:rPr>
          <w:color w:val="auto"/>
        </w:rPr>
        <w:tab/>
      </w:r>
      <w:r>
        <w:rPr>
          <w:color w:val="auto"/>
        </w:rPr>
        <w:fldChar w:fldCharType="begin"/>
      </w:r>
      <w:r>
        <w:rPr>
          <w:color w:val="auto"/>
        </w:rPr>
        <w:instrText xml:space="preserve"> PAGEREF _Toc4047 \h </w:instrText>
      </w:r>
      <w:r>
        <w:rPr>
          <w:color w:val="auto"/>
        </w:rPr>
        <w:fldChar w:fldCharType="separate"/>
      </w:r>
      <w:r>
        <w:rPr>
          <w:color w:val="auto"/>
        </w:rPr>
        <w:t>40</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_Toc18105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6.1 </w:t>
      </w:r>
      <w:r>
        <w:rPr>
          <w:rFonts w:hint="default" w:ascii="Times New Roman" w:hAnsi="Times New Roman" w:eastAsia="仿宋_GB2312" w:cs="Times New Roman"/>
          <w:color w:val="auto"/>
        </w:rPr>
        <w:t>授权关系</w:t>
      </w:r>
      <w:r>
        <w:rPr>
          <w:color w:val="auto"/>
        </w:rPr>
        <w:tab/>
      </w:r>
      <w:r>
        <w:rPr>
          <w:color w:val="auto"/>
        </w:rPr>
        <w:fldChar w:fldCharType="begin"/>
      </w:r>
      <w:r>
        <w:rPr>
          <w:color w:val="auto"/>
        </w:rPr>
        <w:instrText xml:space="preserve"> PAGEREF _Toc18105 \h </w:instrText>
      </w:r>
      <w:r>
        <w:rPr>
          <w:color w:val="auto"/>
        </w:rPr>
        <w:fldChar w:fldCharType="separate"/>
      </w:r>
      <w:r>
        <w:rPr>
          <w:color w:val="auto"/>
        </w:rPr>
        <w:t>40</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_Toc22061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6.2 </w:t>
      </w:r>
      <w:r>
        <w:rPr>
          <w:rFonts w:hint="default" w:ascii="Times New Roman" w:hAnsi="Times New Roman" w:eastAsia="仿宋_GB2312" w:cs="Times New Roman"/>
          <w:color w:val="auto"/>
        </w:rPr>
        <w:t>监管方式</w:t>
      </w:r>
      <w:r>
        <w:rPr>
          <w:color w:val="auto"/>
        </w:rPr>
        <w:tab/>
      </w:r>
      <w:r>
        <w:rPr>
          <w:color w:val="auto"/>
        </w:rPr>
        <w:fldChar w:fldCharType="begin"/>
      </w:r>
      <w:r>
        <w:rPr>
          <w:color w:val="auto"/>
        </w:rPr>
        <w:instrText xml:space="preserve"> PAGEREF _Toc22061 \h </w:instrText>
      </w:r>
      <w:r>
        <w:rPr>
          <w:color w:val="auto"/>
        </w:rPr>
        <w:fldChar w:fldCharType="separate"/>
      </w:r>
      <w:r>
        <w:rPr>
          <w:color w:val="auto"/>
        </w:rPr>
        <w:t>40</w:t>
      </w:r>
      <w:r>
        <w:rPr>
          <w:color w:val="auto"/>
        </w:rPr>
        <w:fldChar w:fldCharType="end"/>
      </w:r>
      <w:r>
        <w:rPr>
          <w:rFonts w:hint="default" w:ascii="Times New Roman" w:hAnsi="Times New Roman" w:eastAsia="仿宋_GB2312" w:cs="Times New Roman"/>
          <w:color w:val="auto"/>
        </w:rPr>
        <w:fldChar w:fldCharType="end"/>
      </w:r>
    </w:p>
    <w:p>
      <w:pPr>
        <w:pStyle w:val="37"/>
        <w:tabs>
          <w:tab w:val="right" w:leader="dot" w:pos="7995"/>
          <w:tab w:val="clear" w:pos="798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_Toc15977 </w:instrText>
      </w:r>
      <w:r>
        <w:rPr>
          <w:rFonts w:hint="default" w:ascii="Times New Roman" w:hAnsi="Times New Roman" w:eastAsia="仿宋_GB2312" w:cs="Times New Roman"/>
          <w:color w:val="auto"/>
        </w:rPr>
        <w:fldChar w:fldCharType="separate"/>
      </w:r>
      <w:r>
        <w:rPr>
          <w:rFonts w:hint="eastAsia" w:ascii="Times New Roman" w:hAnsi="Times New Roman" w:eastAsia="仿宋_GB2312" w:cs="Times New Roman"/>
          <w:color w:val="auto"/>
        </w:rPr>
        <w:t xml:space="preserve">第7章 </w:t>
      </w:r>
      <w:r>
        <w:rPr>
          <w:rFonts w:hint="default" w:ascii="Times New Roman" w:hAnsi="Times New Roman" w:eastAsia="仿宋_GB2312" w:cs="Times New Roman"/>
          <w:color w:val="auto"/>
        </w:rPr>
        <w:t>风险分配基本框架</w:t>
      </w:r>
      <w:r>
        <w:rPr>
          <w:color w:val="auto"/>
        </w:rPr>
        <w:tab/>
      </w:r>
      <w:r>
        <w:rPr>
          <w:color w:val="auto"/>
        </w:rPr>
        <w:fldChar w:fldCharType="begin"/>
      </w:r>
      <w:r>
        <w:rPr>
          <w:color w:val="auto"/>
        </w:rPr>
        <w:instrText xml:space="preserve"> PAGEREF _Toc15977 \h </w:instrText>
      </w:r>
      <w:r>
        <w:rPr>
          <w:color w:val="auto"/>
        </w:rPr>
        <w:fldChar w:fldCharType="separate"/>
      </w:r>
      <w:r>
        <w:rPr>
          <w:color w:val="auto"/>
        </w:rPr>
        <w:t>42</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_Toc26720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7.1 </w:t>
      </w:r>
      <w:r>
        <w:rPr>
          <w:rFonts w:hint="default" w:ascii="Times New Roman" w:hAnsi="Times New Roman" w:eastAsia="仿宋_GB2312" w:cs="Times New Roman"/>
          <w:color w:val="auto"/>
        </w:rPr>
        <w:t>风险识别</w:t>
      </w:r>
      <w:r>
        <w:rPr>
          <w:color w:val="auto"/>
        </w:rPr>
        <w:tab/>
      </w:r>
      <w:r>
        <w:rPr>
          <w:color w:val="auto"/>
        </w:rPr>
        <w:fldChar w:fldCharType="begin"/>
      </w:r>
      <w:r>
        <w:rPr>
          <w:color w:val="auto"/>
        </w:rPr>
        <w:instrText xml:space="preserve"> PAGEREF _Toc26720 \h </w:instrText>
      </w:r>
      <w:r>
        <w:rPr>
          <w:color w:val="auto"/>
        </w:rPr>
        <w:fldChar w:fldCharType="separate"/>
      </w:r>
      <w:r>
        <w:rPr>
          <w:color w:val="auto"/>
        </w:rPr>
        <w:t>42</w:t>
      </w:r>
      <w:r>
        <w:rPr>
          <w:color w:val="auto"/>
        </w:rPr>
        <w:fldChar w:fldCharType="end"/>
      </w:r>
      <w:r>
        <w:rPr>
          <w:rFonts w:hint="default" w:ascii="Times New Roman" w:hAnsi="Times New Roman" w:eastAsia="仿宋_GB2312" w:cs="Times New Roman"/>
          <w:color w:val="auto"/>
        </w:rPr>
        <w:fldChar w:fldCharType="end"/>
      </w:r>
    </w:p>
    <w:p>
      <w:pPr>
        <w:pStyle w:val="48"/>
        <w:tabs>
          <w:tab w:val="right" w:leader="dot" w:pos="7995"/>
        </w:tabs>
        <w:rPr>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\l _Toc3880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Cs w:val="36"/>
        </w:rPr>
        <w:t xml:space="preserve">7.2 </w:t>
      </w:r>
      <w:r>
        <w:rPr>
          <w:rFonts w:hint="default" w:ascii="Times New Roman" w:hAnsi="Times New Roman" w:eastAsia="仿宋_GB2312" w:cs="Times New Roman"/>
          <w:color w:val="auto"/>
        </w:rPr>
        <w:t>风险分配</w:t>
      </w:r>
      <w:r>
        <w:rPr>
          <w:color w:val="auto"/>
        </w:rPr>
        <w:tab/>
      </w:r>
      <w:r>
        <w:rPr>
          <w:color w:val="auto"/>
        </w:rPr>
        <w:fldChar w:fldCharType="begin"/>
      </w:r>
      <w:r>
        <w:rPr>
          <w:color w:val="auto"/>
        </w:rPr>
        <w:instrText xml:space="preserve"> PAGEREF _Toc3880 \h </w:instrText>
      </w:r>
      <w:r>
        <w:rPr>
          <w:color w:val="auto"/>
        </w:rPr>
        <w:fldChar w:fldCharType="separate"/>
      </w:r>
      <w:r>
        <w:rPr>
          <w:color w:val="auto"/>
        </w:rPr>
        <w:t>43</w:t>
      </w:r>
      <w:r>
        <w:rPr>
          <w:color w:val="auto"/>
        </w:rPr>
        <w:fldChar w:fldCharType="end"/>
      </w:r>
      <w:r>
        <w:rPr>
          <w:rFonts w:hint="default" w:ascii="Times New Roman" w:hAnsi="Times New Roman" w:eastAsia="仿宋_GB2312" w:cs="Times New Roman"/>
          <w:color w:val="auto"/>
        </w:rPr>
        <w:fldChar w:fldCharType="end"/>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end"/>
      </w:r>
    </w:p>
    <w:p>
      <w:pPr>
        <w:pStyle w:val="23"/>
        <w:spacing w:after="0"/>
        <w:rPr>
          <w:rFonts w:hint="default" w:ascii="Times New Roman" w:hAnsi="Times New Roman" w:eastAsia="仿宋_GB2312" w:cs="Times New Roman"/>
          <w:color w:val="auto"/>
        </w:rPr>
        <w:sectPr>
          <w:headerReference r:id="rId8" w:type="default"/>
          <w:footerReference r:id="rId9" w:type="default"/>
          <w:pgSz w:w="11906" w:h="16838"/>
          <w:pgMar w:top="1701" w:right="1814" w:bottom="1417" w:left="1814" w:header="907" w:footer="992" w:gutter="283"/>
          <w:pgNumType w:fmt="decimal" w:start="2"/>
          <w:cols w:space="720" w:num="1"/>
          <w:docGrid w:type="lines" w:linePitch="381" w:charSpace="0"/>
        </w:sectPr>
      </w:pPr>
    </w:p>
    <w:p>
      <w:pPr>
        <w:pStyle w:val="2"/>
        <w:keepNext/>
        <w:keepLines/>
        <w:pageBreakBefore/>
        <w:widowControl w:val="0"/>
        <w:kinsoku/>
        <w:wordWrap/>
        <w:overflowPunct/>
        <w:topLinePunct w:val="0"/>
        <w:autoSpaceDE/>
        <w:autoSpaceDN/>
        <w:bidi w:val="0"/>
        <w:adjustRightInd/>
        <w:snapToGrid/>
        <w:spacing w:before="157" w:beforeLines="50" w:after="157" w:afterLines="50"/>
        <w:ind w:left="142"/>
        <w:jc w:val="center"/>
        <w:textAlignment w:val="auto"/>
        <w:rPr>
          <w:rFonts w:hint="default" w:ascii="Times New Roman" w:hAnsi="Times New Roman" w:eastAsia="仿宋_GB2312" w:cs="Times New Roman"/>
          <w:color w:val="auto"/>
        </w:rPr>
      </w:pPr>
      <w:bookmarkStart w:id="0" w:name="_Toc27656"/>
      <w:r>
        <w:rPr>
          <w:rFonts w:hint="default" w:ascii="Times New Roman" w:hAnsi="Times New Roman" w:eastAsia="仿宋_GB2312" w:cs="Times New Roman"/>
          <w:color w:val="auto"/>
        </w:rPr>
        <w:t>总论</w:t>
      </w:r>
      <w:bookmarkEnd w:id="0"/>
    </w:p>
    <w:p>
      <w:pPr>
        <w:pStyle w:val="3"/>
        <w:numPr>
          <w:ilvl w:val="1"/>
          <w:numId w:val="0"/>
        </w:numPr>
        <w:spacing w:before="0" w:beforeLines="0"/>
        <w:rPr>
          <w:rFonts w:hint="default" w:ascii="Times New Roman" w:hAnsi="Times New Roman" w:eastAsia="仿宋_GB2312" w:cs="Times New Roman"/>
          <w:color w:val="auto"/>
        </w:rPr>
      </w:pPr>
      <w:bookmarkStart w:id="1" w:name="_Toc45178260"/>
      <w:bookmarkStart w:id="2" w:name="_Toc46152018"/>
      <w:bookmarkStart w:id="3" w:name="_Toc28268"/>
      <w:r>
        <w:rPr>
          <w:rFonts w:hint="default" w:ascii="Times New Roman" w:hAnsi="Times New Roman" w:eastAsia="仿宋_GB2312" w:cs="Times New Roman"/>
          <w:color w:val="auto"/>
          <w:lang w:val="en-US" w:eastAsia="zh-CN"/>
        </w:rPr>
        <w:t xml:space="preserve">1.1  </w:t>
      </w:r>
      <w:r>
        <w:rPr>
          <w:rFonts w:hint="default" w:ascii="Times New Roman" w:hAnsi="Times New Roman" w:eastAsia="仿宋_GB2312" w:cs="Times New Roman"/>
          <w:color w:val="auto"/>
        </w:rPr>
        <w:t>项目</w:t>
      </w:r>
      <w:bookmarkEnd w:id="1"/>
      <w:bookmarkEnd w:id="2"/>
      <w:r>
        <w:rPr>
          <w:rFonts w:hint="default" w:ascii="Times New Roman" w:hAnsi="Times New Roman" w:eastAsia="仿宋_GB2312" w:cs="Times New Roman"/>
          <w:color w:val="auto"/>
        </w:rPr>
        <w:t>基本情况</w:t>
      </w:r>
      <w:bookmarkEnd w:id="3"/>
    </w:p>
    <w:p>
      <w:pPr>
        <w:outlineLvl w:val="2"/>
        <w:rPr>
          <w:rFonts w:hint="default" w:ascii="Times New Roman" w:hAnsi="Times New Roman" w:eastAsia="仿宋_GB2312" w:cs="Times New Roman"/>
          <w:b/>
          <w:bCs/>
          <w:color w:val="auto"/>
          <w:sz w:val="32"/>
          <w:szCs w:val="32"/>
        </w:rPr>
      </w:pPr>
      <w:bookmarkStart w:id="4" w:name="_Toc46152019"/>
      <w:bookmarkStart w:id="5" w:name="_Toc13936"/>
      <w:r>
        <w:rPr>
          <w:rFonts w:hint="default" w:ascii="Times New Roman" w:hAnsi="Times New Roman" w:eastAsia="仿宋_GB2312" w:cs="Times New Roman"/>
          <w:b/>
          <w:bCs/>
          <w:color w:val="auto"/>
          <w:sz w:val="32"/>
          <w:szCs w:val="32"/>
          <w:lang w:val="en-US" w:eastAsia="zh-CN"/>
        </w:rPr>
        <w:t xml:space="preserve">1.1.1 </w:t>
      </w:r>
      <w:r>
        <w:rPr>
          <w:rFonts w:hint="default" w:ascii="Times New Roman" w:hAnsi="Times New Roman" w:eastAsia="仿宋_GB2312" w:cs="Times New Roman"/>
          <w:b/>
          <w:bCs/>
          <w:color w:val="auto"/>
          <w:sz w:val="32"/>
          <w:szCs w:val="32"/>
        </w:rPr>
        <w:t>项目名称</w:t>
      </w:r>
      <w:bookmarkEnd w:id="4"/>
      <w:bookmarkEnd w:id="5"/>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株洲市城市路灯综合服务</w:t>
      </w:r>
      <w:r>
        <w:rPr>
          <w:rFonts w:hint="default" w:ascii="Times New Roman" w:hAnsi="Times New Roman" w:eastAsia="仿宋_GB2312" w:cs="Times New Roman"/>
          <w:color w:val="auto"/>
          <w:lang w:eastAsia="zh-CN"/>
        </w:rPr>
        <w:t>经营权项目（以下简称“项目”或“本项目”</w:t>
      </w:r>
      <w:r>
        <w:rPr>
          <w:rFonts w:hint="default" w:ascii="Times New Roman" w:hAnsi="Times New Roman" w:eastAsia="仿宋_GB2312" w:cs="Times New Roman"/>
          <w:color w:val="auto"/>
        </w:rPr>
        <w:t>）。</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1.1.2 项目地点</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项目位于株洲市天元区、芦淞区、荷塘区、石峰区。</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1.1.3 项目规模及基本情况</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项目对株洲市</w:t>
      </w:r>
      <w:r>
        <w:rPr>
          <w:rFonts w:hint="eastAsia" w:cs="Times New Roman"/>
          <w:color w:val="auto"/>
          <w:lang w:val="en-US" w:eastAsia="zh-CN"/>
        </w:rPr>
        <w:t>泰山路、黄山路、滨江路等119条道路上达到改造条件的路灯及附属设施</w:t>
      </w:r>
      <w:r>
        <w:rPr>
          <w:rFonts w:hint="default" w:ascii="Times New Roman" w:hAnsi="Times New Roman" w:eastAsia="仿宋_GB2312" w:cs="Times New Roman"/>
          <w:color w:val="auto"/>
          <w:lang w:val="en-US" w:eastAsia="zh-CN"/>
        </w:rPr>
        <w:t>进行改造，</w:t>
      </w:r>
      <w:r>
        <w:rPr>
          <w:rFonts w:hint="eastAsia" w:cs="Times New Roman"/>
          <w:color w:val="auto"/>
          <w:lang w:val="en-US" w:eastAsia="zh-CN"/>
        </w:rPr>
        <w:t>道路清单详见附件1。对具备条件的5173基路灯</w:t>
      </w:r>
      <w:r>
        <w:rPr>
          <w:rFonts w:hint="default" w:ascii="Times New Roman" w:hAnsi="Times New Roman" w:eastAsia="仿宋_GB2312" w:cs="Times New Roman"/>
          <w:color w:val="auto"/>
          <w:lang w:val="en-US" w:eastAsia="zh-CN"/>
        </w:rPr>
        <w:t>安装光伏发电组件。对</w:t>
      </w:r>
      <w:r>
        <w:rPr>
          <w:rFonts w:hint="eastAsia" w:cs="Times New Roman"/>
          <w:color w:val="auto"/>
          <w:lang w:val="en-US" w:eastAsia="zh-CN"/>
        </w:rPr>
        <w:t>150761米</w:t>
      </w:r>
      <w:r>
        <w:rPr>
          <w:rFonts w:hint="default" w:ascii="Times New Roman" w:hAnsi="Times New Roman" w:eastAsia="仿宋_GB2312" w:cs="Times New Roman"/>
          <w:color w:val="auto"/>
          <w:lang w:val="en-US" w:eastAsia="zh-CN"/>
        </w:rPr>
        <w:t>路灯管路进行扩容、新增光缆铺设等改扩建工程，为后续路灯挂载5G基站等智能设备提供接口，为后续智慧城市推动打造基础。新增1000个路灯广告位，在人员密集处</w:t>
      </w:r>
      <w:r>
        <w:rPr>
          <w:rFonts w:hint="eastAsia" w:cs="Times New Roman"/>
          <w:color w:val="auto"/>
          <w:lang w:val="en-US" w:eastAsia="zh-CN"/>
        </w:rPr>
        <w:t>767</w:t>
      </w:r>
      <w:r>
        <w:rPr>
          <w:rFonts w:hint="default" w:ascii="Times New Roman" w:hAnsi="Times New Roman" w:eastAsia="仿宋_GB2312" w:cs="Times New Roman"/>
          <w:color w:val="auto"/>
          <w:lang w:val="en-US" w:eastAsia="zh-CN"/>
        </w:rPr>
        <w:t>基路灯安装电动单车充电装置，</w:t>
      </w:r>
      <w:r>
        <w:rPr>
          <w:rFonts w:hint="eastAsia" w:cs="Times New Roman"/>
          <w:color w:val="auto"/>
          <w:lang w:val="en-US" w:eastAsia="zh-CN"/>
        </w:rPr>
        <w:t>道路箱变附近</w:t>
      </w:r>
      <w:r>
        <w:rPr>
          <w:rFonts w:hint="default" w:ascii="Times New Roman" w:hAnsi="Times New Roman" w:eastAsia="仿宋_GB2312" w:cs="Times New Roman"/>
          <w:color w:val="auto"/>
          <w:lang w:val="en-US" w:eastAsia="zh-CN"/>
        </w:rPr>
        <w:t>安装新能源汽车充电装置</w:t>
      </w:r>
      <w:r>
        <w:rPr>
          <w:rFonts w:hint="eastAsia" w:cs="Times New Roman"/>
          <w:color w:val="auto"/>
          <w:lang w:val="en-US" w:eastAsia="zh-CN"/>
        </w:rPr>
        <w:t>119套（含500kwh储能集装箱1个，60kw充电桩3个，30kw充电桩3个）用于路侧停车位充电</w:t>
      </w:r>
      <w:r>
        <w:rPr>
          <w:rFonts w:hint="default" w:ascii="Times New Roman" w:hAnsi="Times New Roman" w:eastAsia="仿宋_GB2312" w:cs="Times New Roman"/>
          <w:color w:val="auto"/>
          <w:lang w:val="en-US" w:eastAsia="zh-CN"/>
        </w:rPr>
        <w:t>。</w:t>
      </w:r>
    </w:p>
    <w:p>
      <w:pPr>
        <w:outlineLvl w:val="2"/>
        <w:rPr>
          <w:rFonts w:hint="default" w:ascii="Times New Roman" w:hAnsi="Times New Roman" w:eastAsia="仿宋_GB2312" w:cs="Times New Roman"/>
          <w:b/>
          <w:bCs/>
          <w:color w:val="auto"/>
          <w:sz w:val="32"/>
          <w:szCs w:val="32"/>
          <w:lang w:val="en-US" w:eastAsia="zh-CN"/>
        </w:rPr>
      </w:pPr>
      <w:bookmarkStart w:id="6" w:name="_Toc59116447"/>
      <w:bookmarkStart w:id="7" w:name="_Toc18980"/>
      <w:bookmarkStart w:id="8" w:name="_Toc6494"/>
      <w:bookmarkStart w:id="9" w:name="_Toc26623"/>
      <w:r>
        <w:rPr>
          <w:rFonts w:hint="default" w:ascii="Times New Roman" w:hAnsi="Times New Roman" w:eastAsia="仿宋_GB2312" w:cs="Times New Roman"/>
          <w:b/>
          <w:bCs/>
          <w:color w:val="auto"/>
          <w:sz w:val="32"/>
          <w:szCs w:val="32"/>
          <w:lang w:val="en-US" w:eastAsia="zh-CN"/>
        </w:rPr>
        <w:t>1.1.4  项目单位</w:t>
      </w:r>
    </w:p>
    <w:p>
      <w:p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rPr>
        <w:t>1、实施机构</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fldChar w:fldCharType="begin"/>
      </w:r>
      <w:r>
        <w:rPr>
          <w:rFonts w:hint="default" w:ascii="Times New Roman" w:hAnsi="Times New Roman" w:eastAsia="仿宋_GB2312" w:cs="Times New Roman"/>
          <w:color w:val="auto"/>
          <w:lang w:val="en-US" w:eastAsia="zh-CN"/>
        </w:rPr>
        <w:instrText xml:space="preserve"> HYPERLINK "http://www.baidu.com/link?url=Gy86eJ2kMYYuHN681ak2m33NUQID2biKw7vCftAxBf2EDG6KSTxImN8dDsPSvDx2S8NvRa5ybMSOoKVGX1rfIHwDcyaFlH-tqR4Rn-ncjl1oYmE6cgrEFI-YxYjTPeNzPC-e-rXickWokE9f0U2VeW3-OTdAbeGLLdKA7FRnhk7" \t "https://www.baidu.com/_blank" </w:instrText>
      </w:r>
      <w:r>
        <w:rPr>
          <w:rFonts w:hint="default" w:ascii="Times New Roman" w:hAnsi="Times New Roman" w:eastAsia="仿宋_GB2312" w:cs="Times New Roman"/>
          <w:color w:val="auto"/>
          <w:lang w:val="en-US" w:eastAsia="zh-CN"/>
        </w:rPr>
        <w:fldChar w:fldCharType="separate"/>
      </w:r>
      <w:r>
        <w:rPr>
          <w:rFonts w:hint="default" w:ascii="Times New Roman" w:hAnsi="Times New Roman" w:eastAsia="仿宋_GB2312" w:cs="Times New Roman"/>
          <w:color w:val="auto"/>
          <w:lang w:val="en-US" w:eastAsia="zh-CN"/>
        </w:rPr>
        <w:t>株洲市人民政府</w:t>
      </w:r>
      <w:r>
        <w:rPr>
          <w:rFonts w:hint="default" w:ascii="Times New Roman" w:hAnsi="Times New Roman" w:eastAsia="仿宋_GB2312" w:cs="Times New Roman"/>
          <w:color w:val="auto"/>
          <w:lang w:val="en-US" w:eastAsia="zh-CN"/>
        </w:rPr>
        <w:fldChar w:fldCharType="end"/>
      </w:r>
      <w:r>
        <w:rPr>
          <w:rFonts w:hint="default" w:ascii="Times New Roman" w:hAnsi="Times New Roman" w:eastAsia="仿宋_GB2312" w:cs="Times New Roman"/>
          <w:color w:val="auto"/>
        </w:rPr>
        <w:t>授权</w:t>
      </w:r>
      <w:r>
        <w:rPr>
          <w:rFonts w:hint="default" w:ascii="Times New Roman" w:hAnsi="Times New Roman" w:eastAsia="仿宋_GB2312" w:cs="Times New Roman"/>
          <w:color w:val="auto"/>
          <w:lang w:val="en-US" w:eastAsia="zh-CN"/>
        </w:rPr>
        <w:t>株洲市城市管理局</w:t>
      </w:r>
      <w:r>
        <w:rPr>
          <w:rFonts w:hint="default" w:ascii="Times New Roman" w:hAnsi="Times New Roman" w:eastAsia="仿宋_GB2312" w:cs="Times New Roman"/>
          <w:color w:val="auto"/>
        </w:rPr>
        <w:t>作为本项目的实施机构，负责组织本项目的前期准备、实施方案的编制、经营权的拍卖、通过公开竞价交易依法依规确定经营权受让单位、代表政府签订《经营权出让协议》（以下简称《协议》）、合同期满移交接收等工作</w:t>
      </w:r>
      <w:r>
        <w:rPr>
          <w:rFonts w:hint="default" w:ascii="Times New Roman" w:hAnsi="Times New Roman" w:eastAsia="仿宋_GB2312" w:cs="Times New Roman"/>
          <w:color w:val="auto"/>
          <w:lang w:val="en-US" w:eastAsia="zh-CN"/>
        </w:rPr>
        <w:t>内容</w:t>
      </w:r>
      <w:r>
        <w:rPr>
          <w:rFonts w:hint="default" w:ascii="Times New Roman" w:hAnsi="Times New Roman" w:eastAsia="仿宋_GB2312" w:cs="Times New Roman"/>
          <w:color w:val="auto"/>
        </w:rPr>
        <w:t>。</w:t>
      </w:r>
    </w:p>
    <w:p>
      <w:p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rPr>
        <w:t>2、项目法人</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经公开竞争方式获得经营权的受让单位，按照现行的企业投资管理的有关规定履行核准或备案手续，履行项目投资主体责任，同时受让单位可就本项目成立特殊目的公司（项目公司）。</w:t>
      </w:r>
    </w:p>
    <w:bookmarkEnd w:id="6"/>
    <w:bookmarkEnd w:id="7"/>
    <w:bookmarkEnd w:id="8"/>
    <w:bookmarkEnd w:id="9"/>
    <w:p>
      <w:pPr>
        <w:pStyle w:val="3"/>
        <w:numPr>
          <w:ilvl w:val="1"/>
          <w:numId w:val="0"/>
        </w:numPr>
        <w:spacing w:before="0" w:beforeLines="0"/>
        <w:rPr>
          <w:rFonts w:hint="default" w:ascii="Times New Roman" w:hAnsi="Times New Roman" w:eastAsia="仿宋_GB2312" w:cs="Times New Roman"/>
          <w:color w:val="auto"/>
          <w:lang w:val="en-US" w:eastAsia="zh-CN"/>
        </w:rPr>
      </w:pPr>
      <w:bookmarkStart w:id="10" w:name="_Toc30118"/>
      <w:r>
        <w:rPr>
          <w:rFonts w:hint="default" w:ascii="Times New Roman" w:hAnsi="Times New Roman" w:eastAsia="仿宋_GB2312" w:cs="Times New Roman"/>
          <w:color w:val="auto"/>
          <w:lang w:val="en-US" w:eastAsia="zh-CN"/>
        </w:rPr>
        <w:t>1.2  编制依据</w:t>
      </w:r>
      <w:bookmarkEnd w:id="10"/>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rPr>
        <w:t>1、《国务院关于进一步盘活存量资产扩大有效投资的意见》（国办发〔2022〕19号）</w:t>
      </w:r>
      <w:r>
        <w:rPr>
          <w:rFonts w:hint="default" w:ascii="Times New Roman" w:hAnsi="Times New Roman" w:eastAsia="仿宋_GB2312" w:cs="Times New Roman"/>
          <w:color w:val="auto"/>
          <w:szCs w:val="28"/>
          <w:lang w:eastAsia="zh-CN"/>
        </w:rPr>
        <w:t>。</w:t>
      </w:r>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rPr>
        <w:t>2、《关于盘活行政事业单位国有资产的指导意见》（财资〔2022〕124号）</w:t>
      </w:r>
      <w:r>
        <w:rPr>
          <w:rFonts w:hint="default" w:ascii="Times New Roman" w:hAnsi="Times New Roman" w:eastAsia="仿宋_GB2312" w:cs="Times New Roman"/>
          <w:color w:val="auto"/>
          <w:szCs w:val="28"/>
          <w:lang w:eastAsia="zh-CN"/>
        </w:rPr>
        <w:t>。</w:t>
      </w:r>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rPr>
        <w:t>3、</w:t>
      </w:r>
      <w:r>
        <w:rPr>
          <w:rFonts w:hint="default" w:ascii="Times New Roman" w:hAnsi="Times New Roman" w:eastAsia="仿宋_GB2312" w:cs="Times New Roman"/>
          <w:color w:val="auto"/>
          <w:szCs w:val="28"/>
          <w:lang w:eastAsia="zh-CN"/>
        </w:rPr>
        <w:t>《关于做好盘活存量资产扩大有效投资有关工作的通知》（发改办投资〔2022〕561号）。</w:t>
      </w:r>
    </w:p>
    <w:p>
      <w:pPr>
        <w:outlineLvl w:val="9"/>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4、《建设项目经济评价方法与参数（第三版）》。</w:t>
      </w:r>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rPr>
        <w:t>、《湖南省人民政府办公厅关于印发</w:t>
      </w:r>
      <w:r>
        <w:rPr>
          <w:rFonts w:hint="default" w:ascii="Times New Roman" w:hAnsi="Times New Roman" w:eastAsia="仿宋_GB2312" w:cs="Times New Roman"/>
          <w:color w:val="auto"/>
          <w:szCs w:val="28"/>
          <w:lang w:eastAsia="zh-CN"/>
        </w:rPr>
        <w:t>〈</w:t>
      </w:r>
      <w:r>
        <w:rPr>
          <w:rFonts w:hint="default" w:ascii="Times New Roman" w:hAnsi="Times New Roman" w:eastAsia="仿宋_GB2312" w:cs="Times New Roman"/>
          <w:color w:val="auto"/>
          <w:szCs w:val="28"/>
        </w:rPr>
        <w:t>清查处置全省闲置国有资产资源专项行动方案</w:t>
      </w:r>
      <w:r>
        <w:rPr>
          <w:rFonts w:hint="default" w:ascii="Times New Roman" w:hAnsi="Times New Roman" w:eastAsia="仿宋_GB2312" w:cs="Times New Roman"/>
          <w:color w:val="auto"/>
          <w:szCs w:val="28"/>
          <w:lang w:eastAsia="zh-CN"/>
        </w:rPr>
        <w:t>〉</w:t>
      </w:r>
      <w:r>
        <w:rPr>
          <w:rFonts w:hint="default" w:ascii="Times New Roman" w:hAnsi="Times New Roman" w:eastAsia="仿宋_GB2312" w:cs="Times New Roman"/>
          <w:color w:val="auto"/>
          <w:szCs w:val="28"/>
        </w:rPr>
        <w:t>的通知》</w:t>
      </w:r>
      <w:r>
        <w:rPr>
          <w:rFonts w:hint="default" w:ascii="Times New Roman" w:hAnsi="Times New Roman" w:eastAsia="仿宋_GB2312" w:cs="Times New Roman"/>
          <w:color w:val="auto"/>
          <w:szCs w:val="28"/>
          <w:lang w:eastAsia="zh-CN"/>
        </w:rPr>
        <w:t>（湘政办函</w:t>
      </w:r>
      <w:r>
        <w:rPr>
          <w:rFonts w:hint="default" w:ascii="Times New Roman" w:hAnsi="Times New Roman" w:eastAsia="仿宋_GB2312" w:cs="Times New Roman"/>
          <w:color w:val="auto"/>
          <w:szCs w:val="28"/>
          <w:lang w:val="en-US" w:eastAsia="zh-CN"/>
        </w:rPr>
        <w:t>〔2022〕</w:t>
      </w:r>
      <w:r>
        <w:rPr>
          <w:rFonts w:hint="default" w:ascii="Times New Roman" w:hAnsi="Times New Roman" w:eastAsia="仿宋_GB2312" w:cs="Times New Roman"/>
          <w:color w:val="auto"/>
          <w:szCs w:val="28"/>
          <w:lang w:eastAsia="zh-CN"/>
        </w:rPr>
        <w:t>24号）。</w:t>
      </w:r>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rPr>
        <w:t>、《株洲市人民政府办公室关于印发</w:t>
      </w:r>
      <w:r>
        <w:rPr>
          <w:rFonts w:hint="default" w:ascii="Times New Roman" w:hAnsi="Times New Roman" w:eastAsia="仿宋_GB2312" w:cs="Times New Roman"/>
          <w:color w:val="auto"/>
          <w:szCs w:val="28"/>
          <w:lang w:eastAsia="zh-CN"/>
        </w:rPr>
        <w:t>〈</w:t>
      </w:r>
      <w:r>
        <w:rPr>
          <w:rFonts w:hint="default" w:ascii="Times New Roman" w:hAnsi="Times New Roman" w:eastAsia="仿宋_GB2312" w:cs="Times New Roman"/>
          <w:color w:val="auto"/>
          <w:szCs w:val="28"/>
        </w:rPr>
        <w:t>株洲市公共资源有偿使用管理工作方案</w:t>
      </w:r>
      <w:r>
        <w:rPr>
          <w:rFonts w:hint="default" w:ascii="Times New Roman" w:hAnsi="Times New Roman" w:eastAsia="仿宋_GB2312" w:cs="Times New Roman"/>
          <w:color w:val="auto"/>
          <w:szCs w:val="28"/>
          <w:lang w:eastAsia="zh-CN"/>
        </w:rPr>
        <w:t>（</w:t>
      </w:r>
      <w:r>
        <w:rPr>
          <w:rFonts w:hint="default" w:ascii="Times New Roman" w:hAnsi="Times New Roman" w:eastAsia="仿宋_GB2312" w:cs="Times New Roman"/>
          <w:color w:val="auto"/>
          <w:szCs w:val="28"/>
        </w:rPr>
        <w:t>试行</w:t>
      </w:r>
      <w:r>
        <w:rPr>
          <w:rFonts w:hint="default" w:ascii="Times New Roman" w:hAnsi="Times New Roman" w:eastAsia="仿宋_GB2312" w:cs="Times New Roman"/>
          <w:color w:val="auto"/>
          <w:szCs w:val="28"/>
          <w:lang w:eastAsia="zh-CN"/>
        </w:rPr>
        <w:t>）〉</w:t>
      </w:r>
      <w:r>
        <w:rPr>
          <w:rFonts w:hint="default" w:ascii="Times New Roman" w:hAnsi="Times New Roman" w:eastAsia="仿宋_GB2312" w:cs="Times New Roman"/>
          <w:color w:val="auto"/>
          <w:szCs w:val="28"/>
        </w:rPr>
        <w:t>的通知》</w:t>
      </w:r>
      <w:r>
        <w:rPr>
          <w:rFonts w:hint="default" w:ascii="Times New Roman" w:hAnsi="Times New Roman" w:eastAsia="仿宋_GB2312" w:cs="Times New Roman"/>
          <w:color w:val="auto"/>
          <w:szCs w:val="28"/>
          <w:lang w:eastAsia="zh-CN"/>
        </w:rPr>
        <w:t>（株政办发〔2022〕29号）。</w:t>
      </w:r>
    </w:p>
    <w:p>
      <w:pPr>
        <w:outlineLvl w:val="9"/>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rPr>
        <w:t>、</w:t>
      </w:r>
      <w:r>
        <w:rPr>
          <w:rFonts w:hint="default" w:ascii="Times New Roman" w:hAnsi="Times New Roman" w:eastAsia="仿宋_GB2312" w:cs="Times New Roman"/>
          <w:color w:val="auto"/>
        </w:rPr>
        <w:t>项目实施单位提供的有关基础资料、数据。</w:t>
      </w:r>
    </w:p>
    <w:p>
      <w:pPr>
        <w:pStyle w:val="3"/>
        <w:numPr>
          <w:ilvl w:val="1"/>
          <w:numId w:val="0"/>
        </w:numPr>
        <w:spacing w:before="0" w:beforeLines="0"/>
        <w:rPr>
          <w:rFonts w:hint="default" w:ascii="Times New Roman" w:hAnsi="Times New Roman" w:eastAsia="仿宋_GB2312" w:cs="Times New Roman"/>
          <w:color w:val="auto"/>
          <w:lang w:val="en-US" w:eastAsia="zh-CN"/>
        </w:rPr>
      </w:pPr>
      <w:bookmarkStart w:id="11" w:name="_Toc31030"/>
      <w:r>
        <w:rPr>
          <w:rFonts w:hint="default" w:ascii="Times New Roman" w:hAnsi="Times New Roman" w:eastAsia="仿宋_GB2312" w:cs="Times New Roman"/>
          <w:color w:val="auto"/>
          <w:lang w:val="en-US" w:eastAsia="zh-CN"/>
        </w:rPr>
        <w:t>1.3  项目实施背景</w:t>
      </w:r>
      <w:bookmarkEnd w:id="11"/>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1.3.1 项目区域背景</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通过经营权出让，不仅可以盘活</w:t>
      </w:r>
      <w:r>
        <w:rPr>
          <w:rFonts w:hint="eastAsia" w:cs="Times New Roman"/>
          <w:color w:val="auto"/>
          <w:lang w:val="en-US" w:eastAsia="zh-CN"/>
        </w:rPr>
        <w:t>株洲市政府</w:t>
      </w:r>
      <w:r>
        <w:rPr>
          <w:rFonts w:hint="default" w:ascii="Times New Roman" w:hAnsi="Times New Roman" w:eastAsia="仿宋_GB2312" w:cs="Times New Roman"/>
          <w:color w:val="auto"/>
        </w:rPr>
        <w:t>的</w:t>
      </w:r>
      <w:r>
        <w:rPr>
          <w:rFonts w:hint="default" w:ascii="Times New Roman" w:hAnsi="Times New Roman" w:eastAsia="仿宋_GB2312" w:cs="Times New Roman"/>
          <w:color w:val="auto"/>
          <w:lang w:val="en-US" w:eastAsia="zh-CN"/>
        </w:rPr>
        <w:t>存量</w:t>
      </w:r>
      <w:r>
        <w:rPr>
          <w:rFonts w:hint="default" w:ascii="Times New Roman" w:hAnsi="Times New Roman" w:eastAsia="仿宋_GB2312" w:cs="Times New Roman"/>
          <w:color w:val="auto"/>
        </w:rPr>
        <w:t>资产，实现资产保值增值，还能通过市场化运作，引入更多社会资本和先进管理模式，进一步提升</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的运行效率和服务水平。此外，此举还能为株洲市的城市建设和经济社会发展注入新的活力，推动</w:t>
      </w:r>
      <w:r>
        <w:rPr>
          <w:rFonts w:hint="eastAsia" w:cs="Times New Roman"/>
          <w:color w:val="auto"/>
          <w:lang w:val="en-US" w:eastAsia="zh-CN"/>
        </w:rPr>
        <w:t>智慧</w:t>
      </w:r>
      <w:r>
        <w:rPr>
          <w:rFonts w:hint="default" w:ascii="Times New Roman" w:hAnsi="Times New Roman" w:eastAsia="仿宋_GB2312" w:cs="Times New Roman"/>
          <w:color w:val="auto"/>
          <w:lang w:val="en-US" w:eastAsia="zh-CN"/>
        </w:rPr>
        <w:t>城市</w:t>
      </w:r>
      <w:r>
        <w:rPr>
          <w:rFonts w:hint="default" w:ascii="Times New Roman" w:hAnsi="Times New Roman" w:eastAsia="仿宋_GB2312" w:cs="Times New Roman"/>
          <w:color w:val="auto"/>
        </w:rPr>
        <w:t>事业与经济社会发展的深度融合。</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rPr>
        <w:t>在此背景下，</w:t>
      </w:r>
      <w:r>
        <w:rPr>
          <w:rFonts w:hint="default" w:ascii="Times New Roman" w:hAnsi="Times New Roman" w:eastAsia="仿宋_GB2312" w:cs="Times New Roman"/>
          <w:color w:val="auto"/>
          <w:lang w:val="en-US" w:eastAsia="zh-CN"/>
        </w:rPr>
        <w:t>经株洲市国有资产资源清理盘活工作专班、株洲市城市管理局经过深入调研和充分论证，并经市政府常务会审议通过</w:t>
      </w:r>
      <w:r>
        <w:rPr>
          <w:rFonts w:hint="default" w:ascii="Times New Roman" w:hAnsi="Times New Roman" w:eastAsia="仿宋_GB2312" w:cs="Times New Roman"/>
          <w:color w:val="auto"/>
        </w:rPr>
        <w:t>，决定对</w:t>
      </w:r>
      <w:r>
        <w:rPr>
          <w:rFonts w:hint="default" w:ascii="Times New Roman" w:hAnsi="Times New Roman" w:eastAsia="仿宋_GB2312" w:cs="Times New Roman"/>
          <w:color w:val="auto"/>
          <w:lang w:val="en-US" w:eastAsia="zh-CN"/>
        </w:rPr>
        <w:t>株洲市路灯综合服务的存量</w:t>
      </w:r>
      <w:r>
        <w:rPr>
          <w:rFonts w:hint="default" w:ascii="Times New Roman" w:hAnsi="Times New Roman" w:eastAsia="仿宋_GB2312" w:cs="Times New Roman"/>
          <w:color w:val="auto"/>
        </w:rPr>
        <w:t>资产进行</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rPr>
        <w:t>0年经营权的作价评估，并采用市场化方式挂牌处置。此举旨在通过公开、公平、公正的竞争机制，选出</w:t>
      </w:r>
      <w:r>
        <w:rPr>
          <w:rFonts w:hint="default" w:ascii="Times New Roman" w:hAnsi="Times New Roman" w:eastAsia="仿宋_GB2312" w:cs="Times New Roman"/>
          <w:color w:val="auto"/>
          <w:lang w:val="en-US" w:eastAsia="zh-CN"/>
        </w:rPr>
        <w:t>具备</w:t>
      </w:r>
      <w:r>
        <w:rPr>
          <w:rFonts w:hint="default" w:ascii="Times New Roman" w:hAnsi="Times New Roman" w:eastAsia="仿宋_GB2312" w:cs="Times New Roman"/>
          <w:color w:val="auto"/>
        </w:rPr>
        <w:t>实力和经验的运营商，确保资产的长期稳定运行和高效利用。同时，这也是株洲市</w:t>
      </w:r>
      <w:r>
        <w:rPr>
          <w:rFonts w:hint="default" w:ascii="Times New Roman" w:hAnsi="Times New Roman" w:eastAsia="仿宋_GB2312" w:cs="Times New Roman"/>
          <w:color w:val="auto"/>
          <w:lang w:val="en-US" w:eastAsia="zh-CN"/>
        </w:rPr>
        <w:t>城管局</w:t>
      </w:r>
      <w:r>
        <w:rPr>
          <w:rFonts w:hint="default" w:ascii="Times New Roman" w:hAnsi="Times New Roman" w:eastAsia="仿宋_GB2312" w:cs="Times New Roman"/>
          <w:color w:val="auto"/>
        </w:rPr>
        <w:t>贯彻落实国家关于深化</w:t>
      </w:r>
      <w:r>
        <w:rPr>
          <w:rFonts w:hint="default" w:ascii="Times New Roman" w:hAnsi="Times New Roman" w:eastAsia="仿宋_GB2312" w:cs="Times New Roman"/>
          <w:color w:val="auto"/>
          <w:lang w:val="en-US" w:eastAsia="zh-CN"/>
        </w:rPr>
        <w:t>智慧</w:t>
      </w:r>
      <w:r>
        <w:rPr>
          <w:rFonts w:hint="default" w:ascii="Times New Roman" w:hAnsi="Times New Roman" w:eastAsia="仿宋_GB2312" w:cs="Times New Roman"/>
          <w:color w:val="auto"/>
        </w:rPr>
        <w:t>改革、推动</w:t>
      </w:r>
      <w:r>
        <w:rPr>
          <w:rFonts w:hint="default" w:ascii="Times New Roman" w:hAnsi="Times New Roman" w:eastAsia="仿宋_GB2312" w:cs="Times New Roman"/>
          <w:color w:val="auto"/>
          <w:lang w:val="en-US" w:eastAsia="zh-CN"/>
        </w:rPr>
        <w:t>智慧城市</w:t>
      </w:r>
      <w:r>
        <w:rPr>
          <w:rFonts w:hint="default" w:ascii="Times New Roman" w:hAnsi="Times New Roman" w:eastAsia="仿宋_GB2312" w:cs="Times New Roman"/>
          <w:color w:val="auto"/>
        </w:rPr>
        <w:t>事业高质量发展的具体举措之一。</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1.3.2 规划政策符合性</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1、国家级层面</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（1）2013年7月，国务院发布《国务院关于促进光伏产业健康发展的若干意见》（国发〔2013〕24号），意见中提到“鼓励在城市路灯照明、城市景观以及通讯基站、交通信号灯等领域推广分布式光伏电源。”。</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（2）202</w:t>
      </w:r>
      <w:r>
        <w:rPr>
          <w:rFonts w:hint="eastAsia" w:cs="Times New Roman"/>
          <w:color w:val="auto"/>
          <w:szCs w:val="28"/>
          <w:lang w:val="en-US" w:eastAsia="zh-CN"/>
        </w:rPr>
        <w:t>4</w:t>
      </w:r>
      <w:r>
        <w:rPr>
          <w:rFonts w:hint="default" w:ascii="Times New Roman" w:hAnsi="Times New Roman" w:eastAsia="仿宋_GB2312" w:cs="Times New Roman"/>
          <w:color w:val="auto"/>
          <w:szCs w:val="28"/>
          <w:lang w:val="en-US" w:eastAsia="zh-CN"/>
        </w:rPr>
        <w:t>年</w:t>
      </w:r>
      <w:r>
        <w:rPr>
          <w:rFonts w:hint="eastAsia" w:cs="Times New Roman"/>
          <w:color w:val="auto"/>
          <w:szCs w:val="28"/>
          <w:lang w:val="en-US" w:eastAsia="zh-CN"/>
        </w:rPr>
        <w:t>4</w:t>
      </w:r>
      <w:r>
        <w:rPr>
          <w:rFonts w:hint="default" w:ascii="Times New Roman" w:hAnsi="Times New Roman" w:eastAsia="仿宋_GB2312" w:cs="Times New Roman"/>
          <w:color w:val="auto"/>
          <w:szCs w:val="28"/>
          <w:lang w:val="en-US" w:eastAsia="zh-CN"/>
        </w:rPr>
        <w:t>月，国家能源局印发了《国家能源局关于促进新型储能并网和调度运用的通知》</w:t>
      </w:r>
      <w:r>
        <w:rPr>
          <w:rFonts w:hint="eastAsia" w:cs="Times New Roman"/>
          <w:color w:val="auto"/>
          <w:szCs w:val="28"/>
          <w:lang w:val="en-US" w:eastAsia="zh-CN"/>
        </w:rPr>
        <w:t>（国能发科技规〔2024〕26号）</w:t>
      </w:r>
      <w:r>
        <w:rPr>
          <w:rFonts w:hint="default" w:ascii="Times New Roman" w:hAnsi="Times New Roman" w:eastAsia="仿宋_GB2312" w:cs="Times New Roman"/>
          <w:color w:val="auto"/>
          <w:szCs w:val="28"/>
          <w:lang w:val="en-US" w:eastAsia="zh-CN"/>
        </w:rPr>
        <w:t>，</w:t>
      </w:r>
      <w:r>
        <w:rPr>
          <w:rFonts w:hint="eastAsia" w:cs="Times New Roman"/>
          <w:color w:val="auto"/>
          <w:szCs w:val="28"/>
          <w:lang w:val="en-US" w:eastAsia="zh-CN"/>
        </w:rPr>
        <w:t>通知</w:t>
      </w:r>
      <w:r>
        <w:rPr>
          <w:rFonts w:hint="default" w:ascii="Times New Roman" w:hAnsi="Times New Roman" w:eastAsia="仿宋_GB2312" w:cs="Times New Roman"/>
          <w:color w:val="auto"/>
          <w:szCs w:val="28"/>
          <w:lang w:val="en-US" w:eastAsia="zh-CN"/>
        </w:rPr>
        <w:t>中提到“优化新型储能调度方式。电力调度机构应根据系统需求，制定新型储能调度运行规程，科学确定新型储能调度运行方式，公平调用新型储能调节资源。积极支持新能源+储能、聚合储能、光储充一体化等联合调用模式发展，优先调用新型储能试点示范项目，充分发挥各类储能价值。。”</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2021年11月，工业和信息化部印发《“十四五”信息通信行业发展规划》（工信部规〔2021〕164号），规划中提到“推进通信设施与市政、交通、电力、公安、应急等设施资源共享，努力实现管控、杆塔、站址、机房等双向开放，推动建设智慧多功能杆，为感知终端移动基站及网络传输设施预留可扩展的挂载空间和管线接口。”</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2、省级层面</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（1）202</w:t>
      </w:r>
      <w:r>
        <w:rPr>
          <w:rFonts w:hint="eastAsia" w:cs="Times New Roman"/>
          <w:color w:val="auto"/>
          <w:szCs w:val="28"/>
          <w:lang w:val="en-US" w:eastAsia="zh-CN"/>
        </w:rPr>
        <w:t>4</w:t>
      </w:r>
      <w:r>
        <w:rPr>
          <w:rFonts w:hint="default" w:ascii="Times New Roman" w:hAnsi="Times New Roman" w:eastAsia="仿宋_GB2312" w:cs="Times New Roman"/>
          <w:color w:val="auto"/>
          <w:szCs w:val="28"/>
          <w:lang w:val="en-US" w:eastAsia="zh-CN"/>
        </w:rPr>
        <w:t>年</w:t>
      </w:r>
      <w:r>
        <w:rPr>
          <w:rFonts w:hint="eastAsia" w:cs="Times New Roman"/>
          <w:color w:val="auto"/>
          <w:szCs w:val="28"/>
          <w:lang w:val="en-US" w:eastAsia="zh-CN"/>
        </w:rPr>
        <w:t>6</w:t>
      </w:r>
      <w:r>
        <w:rPr>
          <w:rFonts w:hint="default" w:ascii="Times New Roman" w:hAnsi="Times New Roman" w:eastAsia="仿宋_GB2312" w:cs="Times New Roman"/>
          <w:color w:val="auto"/>
          <w:szCs w:val="28"/>
          <w:lang w:val="en-US" w:eastAsia="zh-CN"/>
        </w:rPr>
        <w:t>月，湖南省工业和信息化厅发布《关于深入推进全省工业领域清洁生产工作的实施意见》（湘工信节能〔2024〕194号）文，</w:t>
      </w:r>
      <w:r>
        <w:rPr>
          <w:rFonts w:hint="eastAsia" w:cs="Times New Roman"/>
          <w:color w:val="auto"/>
          <w:szCs w:val="28"/>
          <w:lang w:val="en-US" w:eastAsia="zh-CN"/>
        </w:rPr>
        <w:t>意见</w:t>
      </w:r>
      <w:r>
        <w:rPr>
          <w:rFonts w:hint="default" w:ascii="Times New Roman" w:hAnsi="Times New Roman" w:eastAsia="仿宋_GB2312" w:cs="Times New Roman"/>
          <w:color w:val="auto"/>
          <w:szCs w:val="28"/>
          <w:lang w:val="en-US" w:eastAsia="zh-CN"/>
        </w:rPr>
        <w:t>中提到“鼓励企业开展智能微电网建设，发展风电、太阳能推进煤炭消费替代，积极发展“新能源+储能”和分布式新能源合理配置储能系统，拓展风光储氢等新能源应用场景，推动多能互补高效利用。”</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2024年4月，湖南省人民政府印发《湖南省推动大规模设备更新和消费品以旧换新实施方案》（湘政发〔2024〕5号）文，方案中提到“加快市政基础设施更新改造。以供水、供气、排水与污水处理、环卫、照明、城市生命线工程、安防等为重点，结合城市更新，分类推进市政基础设施更新改造，保障城市基础设施安全、绿色、智慧运行，提升城市建设管理水平。推进城市道路照明设施设备智能化升级改造。”</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2021年12月，国家发展改革委、中央网信办等联合印发《贯彻落实碳达峰碳中和目标要求推动数据中心和5G等新型基础设施绿色高质量发展实施方案》（发改高技〔2021〕1742号），方案中提到“支持基础电信运营企业开展5G网络共建共享和异网漫游，强化资源复用。加快推动老旧高能耗设备退网和升级改造，推动智慧多功能灯杆建设。”</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3、市级层面</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2022年12月，株洲市行政审批局发布《株洲市“十四五”新型智慧城市发展规划》，规划中提到“加快公共安全、交通、城管、民生、生态环保、农业、水利、能源等领域公共基础设施的数字化改造、智能化升级。提升各类市政、园区、社区、医院、学校和商业楼宇等城市设施互联感知能力。加快智慧交通、智慧能源等行业融合基础设施建设，推进智慧路灯、充电桩等市政融合基础设施建设，提升城市基础设施运行效率、管理效率和服务能力。”</w:t>
      </w:r>
    </w:p>
    <w:p>
      <w:pPr>
        <w:rPr>
          <w:rFonts w:hint="default" w:ascii="Times New Roman" w:hAnsi="Times New Roman" w:eastAsia="仿宋_GB2312" w:cs="Times New Roman"/>
          <w:color w:val="auto"/>
          <w:szCs w:val="28"/>
          <w:lang w:eastAsia="zh-CN"/>
        </w:rPr>
      </w:pPr>
      <w:r>
        <w:rPr>
          <w:rFonts w:hint="default" w:ascii="Times New Roman" w:hAnsi="Times New Roman" w:eastAsia="仿宋_GB2312" w:cs="Times New Roman"/>
          <w:color w:val="auto"/>
          <w:szCs w:val="28"/>
          <w:lang w:val="en-US" w:eastAsia="zh-CN"/>
        </w:rPr>
        <w:t>（2）2021年10月，中共株洲市委网信办、株洲市发展和改革委员会印发《株洲市“十四五”信息化发展规划（2021—2025年）》，规划中提到“集约利用现有各类杆塔资源，以社区网点覆盖为基础，以宏基站覆盖和“微基站+智慧杆塔”相结合的方式快速部署5G网络，力争到2025年全市实现5G网络全覆盖，建成全省信息基础设施建设的示范性地区。在工业互联网、超高清视频、民生服务、自动驾驶等领域开展5G多元化应用场景及示范应用，形成可复制、可推广的新应用、新模式、新业态，服务支撑株洲经济高质量发展</w:t>
      </w:r>
      <w:r>
        <w:rPr>
          <w:rFonts w:hint="default" w:ascii="Times New Roman" w:hAnsi="Times New Roman" w:eastAsia="仿宋_GB2312" w:cs="Times New Roman"/>
          <w:color w:val="auto"/>
          <w:szCs w:val="28"/>
        </w:rPr>
        <w:t>。</w:t>
      </w:r>
      <w:r>
        <w:rPr>
          <w:rFonts w:hint="default" w:ascii="Times New Roman" w:hAnsi="Times New Roman" w:eastAsia="仿宋_GB2312" w:cs="Times New Roman"/>
          <w:color w:val="auto"/>
          <w:szCs w:val="28"/>
          <w:lang w:eastAsia="zh-CN"/>
        </w:rPr>
        <w:t>”</w:t>
      </w:r>
    </w:p>
    <w:p>
      <w:pPr>
        <w:pStyle w:val="3"/>
        <w:numPr>
          <w:ilvl w:val="1"/>
          <w:numId w:val="0"/>
        </w:numPr>
        <w:spacing w:before="0" w:beforeLines="0"/>
        <w:rPr>
          <w:rFonts w:hint="default" w:ascii="Times New Roman" w:hAnsi="Times New Roman" w:eastAsia="仿宋_GB2312" w:cs="Times New Roman"/>
          <w:color w:val="auto"/>
          <w:lang w:val="en-US" w:eastAsia="zh-CN"/>
        </w:rPr>
      </w:pPr>
      <w:bookmarkStart w:id="12" w:name="_Toc5502"/>
      <w:r>
        <w:rPr>
          <w:rFonts w:hint="default" w:ascii="Times New Roman" w:hAnsi="Times New Roman" w:eastAsia="仿宋_GB2312" w:cs="Times New Roman"/>
          <w:color w:val="auto"/>
          <w:lang w:val="en-US" w:eastAsia="zh-CN"/>
        </w:rPr>
        <w:t>1.4  项目实施必要性</w:t>
      </w:r>
      <w:bookmarkEnd w:id="12"/>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1.4.</w:t>
      </w:r>
      <w:r>
        <w:rPr>
          <w:rFonts w:hint="eastAsia"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 xml:space="preserve"> 深化改革发展，推动路灯综合服务事业</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经营权出让项目的实施，不仅是一项具体的资产运营策略，更是推动</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事业改革发展的重要里程碑。</w:t>
      </w:r>
      <w:r>
        <w:rPr>
          <w:rFonts w:hint="default" w:ascii="Times New Roman" w:hAnsi="Times New Roman" w:eastAsia="仿宋_GB2312" w:cs="Times New Roman"/>
          <w:color w:val="auto"/>
          <w:szCs w:val="28"/>
        </w:rPr>
        <w:t>通过引入市场机制和社会资本，可以推动</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的多元化经营和市场化运作，为</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的改革发展注入新的活力。</w:t>
      </w:r>
      <w:r>
        <w:rPr>
          <w:rFonts w:hint="default" w:ascii="Times New Roman" w:hAnsi="Times New Roman" w:eastAsia="仿宋_GB2312" w:cs="Times New Roman"/>
          <w:color w:val="auto"/>
        </w:rPr>
        <w:t>同时，</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经营权出让项目的实施，还有助于形成</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经营管理的长效机制。通过市场化运作，</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的管理将更加规范、透明，能够更好地适应市场需求和变化。这将为</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的可持续发展提供有力的制度保障，确保</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能够长期、稳定地为城市的安全和发展做出贡献。</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1.4.</w:t>
      </w:r>
      <w:r>
        <w:rPr>
          <w:rFonts w:hint="eastAsia" w:cs="Times New Roman"/>
          <w:b/>
          <w:bCs/>
          <w:color w:val="auto"/>
          <w:sz w:val="32"/>
          <w:szCs w:val="32"/>
          <w:lang w:val="en-US" w:eastAsia="zh-CN"/>
        </w:rPr>
        <w:t>2</w:t>
      </w:r>
      <w:r>
        <w:rPr>
          <w:rFonts w:hint="default" w:ascii="Times New Roman" w:hAnsi="Times New Roman" w:eastAsia="仿宋_GB2312" w:cs="Times New Roman"/>
          <w:b/>
          <w:bCs/>
          <w:color w:val="auto"/>
          <w:sz w:val="32"/>
          <w:szCs w:val="32"/>
          <w:lang w:val="en-US" w:eastAsia="zh-CN"/>
        </w:rPr>
        <w:t xml:space="preserve"> 增加财政收入，缓解财政压力</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经营权出让项目的实施，在城市发展中扮演了举足轻重的角色。这一项目通过公开透明的竞争机制，确保了</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经营权能够以公平、合理的价格流转，从而实现了资产价值的最大化。</w:t>
      </w:r>
      <w:r>
        <w:rPr>
          <w:rFonts w:hint="default" w:ascii="Times New Roman" w:hAnsi="Times New Roman" w:eastAsia="仿宋_GB2312" w:cs="Times New Roman"/>
          <w:color w:val="auto"/>
          <w:lang w:val="en-US" w:eastAsia="zh-CN"/>
        </w:rPr>
        <w:t>通过盘活闲置资产</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获得相应收益，有利于化解隐性债务</w:t>
      </w:r>
      <w:r>
        <w:rPr>
          <w:rFonts w:hint="default" w:ascii="Times New Roman" w:hAnsi="Times New Roman" w:eastAsia="仿宋_GB2312" w:cs="Times New Roman"/>
          <w:color w:val="auto"/>
        </w:rPr>
        <w:t>，使得政府有更多的资金投入到城市基础设施建设和公共服务中，进一步提升城市的整体发展水平。</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同时，引入市场机制，不仅让</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经营权实现了价值的最大化，更通过市场竞争和优质企业的运营，实现了</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经营权的保值增值。这意味着，随着时间的推移，</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经营权将会持续为株洲市带来稳定的财政收入，为城市的可持续发展提供了坚实的经济支撑。通过</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经营权出让项目，株洲市成功地将</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转化为经济效益，为城市的繁荣和发展注入了新的动力。</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1.4.</w:t>
      </w:r>
      <w:r>
        <w:rPr>
          <w:rFonts w:hint="eastAsia" w:cs="Times New Roman"/>
          <w:b/>
          <w:bCs/>
          <w:color w:val="auto"/>
          <w:sz w:val="32"/>
          <w:szCs w:val="32"/>
          <w:lang w:val="en-US" w:eastAsia="zh-CN"/>
        </w:rPr>
        <w:t xml:space="preserve">3 </w:t>
      </w:r>
      <w:r>
        <w:rPr>
          <w:rFonts w:hint="default" w:ascii="Times New Roman" w:hAnsi="Times New Roman" w:eastAsia="仿宋_GB2312" w:cs="Times New Roman"/>
          <w:b/>
          <w:bCs/>
          <w:color w:val="auto"/>
          <w:sz w:val="32"/>
          <w:szCs w:val="32"/>
          <w:lang w:val="en-US" w:eastAsia="zh-CN"/>
        </w:rPr>
        <w:t>引入市场机制，激发市场活力</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在经营权出让项目中，引入市场机制是一项具有关键性和深远影响的举措。通过公开挂牌、透明竞标的方式，成功吸引了众多实力强劲、专业突出、竞争力强的企业参与竞标，从而有效激发了市场活力。在激烈的竞争中，各企业纷纷亮出自身的独特优势和创新方案，确保了</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经营权能够流转到最符合市场需求和资产特性的经营者手中。这一做法不仅充分展示了</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经营权的市场价值，还通过竞争推动了价格的上升，实现了资产价值的最大化。同时，公平竞争的环境有助于选拔出最适合的经营主体，这些企业凭借先进的管理理念、丰富的行业经验和高效的运营能力，将为</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带来卓越的运营效果和社会效益。最终，市场化运作推动了</w:t>
      </w:r>
      <w:r>
        <w:rPr>
          <w:rFonts w:hint="default" w:ascii="Times New Roman" w:hAnsi="Times New Roman" w:eastAsia="仿宋_GB2312" w:cs="Times New Roman"/>
          <w:color w:val="auto"/>
          <w:szCs w:val="28"/>
          <w:lang w:val="en-US" w:eastAsia="zh-CN"/>
        </w:rPr>
        <w:t>路灯综合服务</w:t>
      </w:r>
      <w:r>
        <w:rPr>
          <w:rFonts w:hint="default" w:ascii="Times New Roman" w:hAnsi="Times New Roman" w:eastAsia="仿宋_GB2312" w:cs="Times New Roman"/>
          <w:color w:val="auto"/>
          <w:szCs w:val="28"/>
        </w:rPr>
        <w:t>经营权市场的健康发展，使之逐步成熟、规范，为社会提供了更多优质、高效的服务，为城市的可持续发展注入了新的活力。</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1.4.</w:t>
      </w:r>
      <w:r>
        <w:rPr>
          <w:rFonts w:hint="eastAsia" w:cs="Times New Roman"/>
          <w:b/>
          <w:bCs/>
          <w:color w:val="auto"/>
          <w:sz w:val="32"/>
          <w:szCs w:val="32"/>
          <w:lang w:val="en-US" w:eastAsia="zh-CN"/>
        </w:rPr>
        <w:t>4</w:t>
      </w:r>
      <w:r>
        <w:rPr>
          <w:rFonts w:hint="default" w:ascii="Times New Roman" w:hAnsi="Times New Roman" w:eastAsia="仿宋_GB2312" w:cs="Times New Roman"/>
          <w:b/>
          <w:bCs/>
          <w:color w:val="auto"/>
          <w:sz w:val="32"/>
          <w:szCs w:val="32"/>
          <w:lang w:val="en-US" w:eastAsia="zh-CN"/>
        </w:rPr>
        <w:t xml:space="preserve"> 有利于</w:t>
      </w:r>
      <w:r>
        <w:rPr>
          <w:rFonts w:hint="eastAsia" w:cs="Times New Roman"/>
          <w:b/>
          <w:bCs/>
          <w:color w:val="auto"/>
          <w:sz w:val="32"/>
          <w:szCs w:val="32"/>
          <w:lang w:val="en-US" w:eastAsia="zh-CN"/>
        </w:rPr>
        <w:t>提升能源利用，推动株洲市电力负荷平滑</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lang w:val="en-US" w:eastAsia="zh-CN"/>
        </w:rPr>
        <w:t>储能项目对于提高能源利用效率具有显著的作用。传统的电力系统在长距离输电过程中存在较大的能量损耗，而储能系统可以将电能在短距离内存储和释放。通过在电力系统中应用储能技术，可以减少输电损耗，提高能源利用效率。此外，储能技术还可以应对电网负荷峰值时段的需求，通过在低负荷时段储存能量，再在高负荷时段释放能量，达到平滑电力负荷的效果</w:t>
      </w:r>
      <w:r>
        <w:rPr>
          <w:rFonts w:hint="default" w:ascii="Times New Roman" w:hAnsi="Times New Roman" w:eastAsia="仿宋_GB2312" w:cs="Times New Roman"/>
          <w:color w:val="auto"/>
          <w:szCs w:val="28"/>
        </w:rPr>
        <w:t>。</w:t>
      </w:r>
    </w:p>
    <w:p>
      <w:pPr>
        <w:rPr>
          <w:rFonts w:hint="default" w:ascii="Times New Roman" w:hAnsi="Times New Roman" w:eastAsia="仿宋_GB2312" w:cs="Times New Roman"/>
          <w:color w:val="auto"/>
        </w:rPr>
      </w:pPr>
    </w:p>
    <w:p>
      <w:pPr>
        <w:pStyle w:val="2"/>
        <w:keepNext/>
        <w:keepLines/>
        <w:pageBreakBefore/>
        <w:widowControl w:val="0"/>
        <w:kinsoku/>
        <w:wordWrap/>
        <w:overflowPunct/>
        <w:topLinePunct w:val="0"/>
        <w:autoSpaceDE/>
        <w:autoSpaceDN/>
        <w:bidi w:val="0"/>
        <w:adjustRightInd/>
        <w:snapToGrid/>
        <w:spacing w:before="157" w:beforeLines="50" w:after="157" w:afterLines="50"/>
        <w:ind w:left="142"/>
        <w:textAlignment w:val="auto"/>
        <w:rPr>
          <w:rFonts w:hint="default" w:ascii="Times New Roman" w:hAnsi="Times New Roman" w:eastAsia="仿宋_GB2312" w:cs="Times New Roman"/>
          <w:color w:val="auto"/>
        </w:rPr>
      </w:pPr>
      <w:bookmarkStart w:id="13" w:name="_Toc13228"/>
      <w:r>
        <w:rPr>
          <w:rFonts w:hint="default" w:ascii="Times New Roman" w:hAnsi="Times New Roman" w:eastAsia="仿宋_GB2312" w:cs="Times New Roman"/>
          <w:color w:val="auto"/>
        </w:rPr>
        <w:t>项目运作方式</w:t>
      </w:r>
      <w:bookmarkEnd w:id="13"/>
    </w:p>
    <w:p>
      <w:pPr>
        <w:pStyle w:val="3"/>
        <w:keepNext/>
        <w:keepLines/>
        <w:pageBreakBefore w:val="0"/>
        <w:widowControl w:val="0"/>
        <w:kinsoku/>
        <w:wordWrap/>
        <w:overflowPunct/>
        <w:topLinePunct w:val="0"/>
        <w:autoSpaceDE/>
        <w:autoSpaceDN/>
        <w:bidi w:val="0"/>
        <w:adjustRightInd w:val="0"/>
        <w:snapToGrid w:val="0"/>
        <w:spacing w:before="0" w:beforeLines="0"/>
        <w:ind w:lef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 xml:space="preserve"> </w:t>
      </w:r>
      <w:bookmarkStart w:id="14" w:name="_Toc2117"/>
      <w:r>
        <w:rPr>
          <w:rFonts w:hint="default" w:ascii="Times New Roman" w:hAnsi="Times New Roman" w:eastAsia="仿宋_GB2312" w:cs="Times New Roman"/>
          <w:color w:val="auto"/>
        </w:rPr>
        <w:t>经营权出让</w:t>
      </w:r>
      <w:bookmarkEnd w:id="1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根据《市政公共资源有偿使用收入管理办法》的通知（财税〔2016〕116号）和《株洲市人民政府办公室关于印发〈株洲市公共资源有偿使用管理工作方案（试行）〉的通知》（株政办发〔2022〕29号），株洲市城市管理局通过公开竞价交易，选择经营权受让单位，并与经营权受让单位签订经营权出让协议，经营权受让单位在约定期限内负责经营本项目所涉及的株洲市城市路灯综合服务经营，相应经营权受让单位有权对株洲市城市路灯附属设施</w:t>
      </w:r>
      <w:r>
        <w:rPr>
          <w:rFonts w:hint="eastAsia" w:cs="Times New Roman"/>
          <w:b w:val="0"/>
          <w:bCs w:val="0"/>
          <w:color w:val="auto"/>
          <w:sz w:val="28"/>
          <w:szCs w:val="28"/>
          <w:lang w:val="en-US" w:eastAsia="zh-CN"/>
        </w:rPr>
        <w:t>（光伏、储能、充电桩、管路）</w:t>
      </w:r>
      <w:r>
        <w:rPr>
          <w:rFonts w:hint="default" w:ascii="Times New Roman" w:hAnsi="Times New Roman" w:eastAsia="仿宋_GB2312" w:cs="Times New Roman"/>
          <w:b w:val="0"/>
          <w:bCs w:val="0"/>
          <w:color w:val="auto"/>
          <w:sz w:val="28"/>
          <w:szCs w:val="28"/>
          <w:lang w:val="en-US" w:eastAsia="zh-CN"/>
        </w:rPr>
        <w:t>进行投资、建设、运营和维护，并通过提供相应经营服务、出租来回收投资并获得相应的投资收益，协议期满后相关权益自动终止。</w:t>
      </w:r>
    </w:p>
    <w:p>
      <w:pPr>
        <w:pStyle w:val="3"/>
        <w:spacing w:before="0" w:beforeLines="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 xml:space="preserve"> </w:t>
      </w:r>
      <w:bookmarkStart w:id="15" w:name="_Toc9343"/>
      <w:r>
        <w:rPr>
          <w:rFonts w:hint="default" w:ascii="Times New Roman" w:hAnsi="Times New Roman" w:eastAsia="仿宋_GB2312" w:cs="Times New Roman"/>
          <w:color w:val="auto"/>
        </w:rPr>
        <w:t>项目具体运作</w:t>
      </w:r>
      <w:r>
        <w:rPr>
          <w:rFonts w:hint="default" w:ascii="Times New Roman" w:hAnsi="Times New Roman" w:eastAsia="仿宋_GB2312" w:cs="Times New Roman"/>
          <w:color w:val="auto"/>
          <w:lang w:val="en-US" w:eastAsia="zh-CN"/>
        </w:rPr>
        <w:t>流程</w:t>
      </w:r>
      <w:bookmarkEnd w:id="1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根据《市政公共资源有偿使用收入管理办法》（财税〔2016〕116号）、《湖南省国有资源有偿使用收入管理办法》（湖南省人民政府令第254号），以及政府的有关要求，国有资源有偿使用权、经营权有偿出让流程如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1</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主管部门向政府书面申请启动项目，政府以批复或会议纪要等形式明确采用有偿使用权或经营权的出让模式，并明确主管部门项目实施机构及具体授权范围等相关事宜。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2</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主管部门编制国有资源有偿使用权或经营权的《实施方案》，聘请第三方机构进行资产价值评估并编制《价值评估报告》。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3</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政府审核并批复《出让实施方案》。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4</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财政局审核有偿使用权或经营权的《价值评估报告》，并出具审核意见。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5</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主管部门根据经审定的有偿使用权的《实施方案》和《价值评估报告》，依法依规通过拍卖（招标）方式选择合格受让方</w:t>
      </w:r>
      <w:r>
        <w:rPr>
          <w:rFonts w:hint="eastAsia" w:cs="Times New Roman"/>
          <w:b w:val="0"/>
          <w:bCs w:val="0"/>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6</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主管部门与受让方签订《有偿使用权出让协议》或《经营权出让协议》，受让方按约定支付有偿使用费或经营权取得费。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7</w:t>
      </w:r>
      <w:r>
        <w:rPr>
          <w:rFonts w:hint="eastAsia"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主管部门及相关部门根据适用法律法规和出让协议对受让方进行监管，确保项目实施符合标准及受让方按协议履行权责。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eastAsia" w:cs="Times New Roman"/>
          <w:b w:val="0"/>
          <w:bCs w:val="0"/>
          <w:color w:val="auto"/>
          <w:sz w:val="28"/>
          <w:szCs w:val="28"/>
          <w:lang w:val="en-US" w:eastAsia="zh-CN"/>
        </w:rPr>
        <w:t>8、</w:t>
      </w:r>
      <w:r>
        <w:rPr>
          <w:rFonts w:hint="default" w:ascii="Times New Roman" w:hAnsi="Times New Roman" w:eastAsia="仿宋_GB2312" w:cs="Times New Roman"/>
          <w:b w:val="0"/>
          <w:bCs w:val="0"/>
          <w:color w:val="auto"/>
          <w:sz w:val="28"/>
          <w:szCs w:val="28"/>
          <w:lang w:val="en-US" w:eastAsia="zh-CN"/>
        </w:rPr>
        <w:t>经营期满后，项目所有资产应无偿地移交给主管部门或其指定机构。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项目具体运作流程图详见图表2-1所示。</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图表2-1 具体运作流程图</w:t>
      </w:r>
      <w:r>
        <w:rPr>
          <w:rFonts w:hint="default" w:ascii="Times New Roman" w:hAnsi="Times New Roman" w:eastAsia="仿宋_GB2312" w:cs="Times New Roman"/>
          <w:color w:val="auto"/>
        </w:rPr>
        <mc:AlternateContent>
          <mc:Choice Requires="wpg">
            <w:drawing>
              <wp:inline distT="0" distB="0" distL="0" distR="0">
                <wp:extent cx="4716145" cy="2760345"/>
                <wp:effectExtent l="4445" t="4445" r="19050" b="8890"/>
                <wp:docPr id="3" name="组合 8"/>
                <wp:cNvGraphicFramePr/>
                <a:graphic xmlns:a="http://schemas.openxmlformats.org/drawingml/2006/main">
                  <a:graphicData uri="http://schemas.microsoft.com/office/word/2010/wordprocessingGroup">
                    <wpg:wgp>
                      <wpg:cNvGrpSpPr/>
                      <wpg:grpSpPr>
                        <a:xfrm>
                          <a:off x="0" y="0"/>
                          <a:ext cx="4716145" cy="2760345"/>
                          <a:chOff x="2195" y="311401"/>
                          <a:chExt cx="8334" cy="5118"/>
                        </a:xfrm>
                      </wpg:grpSpPr>
                      <wps:wsp>
                        <wps:cNvPr id="164023018" name="AutoShape 3"/>
                        <wps:cNvSpPr>
                          <a:spLocks noChangeArrowheads="1"/>
                        </wps:cNvSpPr>
                        <wps:spPr bwMode="auto">
                          <a:xfrm>
                            <a:off x="4937" y="311401"/>
                            <a:ext cx="2317" cy="545"/>
                          </a:xfrm>
                          <a:prstGeom prst="roundRect">
                            <a:avLst>
                              <a:gd name="adj" fmla="val 16667"/>
                            </a:avLst>
                          </a:prstGeom>
                          <a:noFill/>
                          <a:ln w="9525">
                            <a:solidFill>
                              <a:srgbClr val="000000"/>
                            </a:solidFill>
                            <a:miter lim="800000"/>
                          </a:ln>
                        </wps:spPr>
                        <wps:txbx>
                          <w:txbxContent>
                            <w:p>
                              <w:pPr>
                                <w:spacing w:line="240" w:lineRule="atLeast"/>
                                <w:ind w:firstLine="0" w:firstLineChars="0"/>
                                <w:jc w:val="center"/>
                                <w:rPr>
                                  <w:rFonts w:ascii="仿宋_GB2312" w:hAnsi="等线"/>
                                  <w:color w:val="000000"/>
                                  <w:sz w:val="21"/>
                                  <w:szCs w:val="22"/>
                                </w:rPr>
                              </w:pPr>
                              <w:r>
                                <w:rPr>
                                  <w:rFonts w:hint="eastAsia" w:ascii="仿宋_GB2312" w:hAnsi="等线"/>
                                  <w:color w:val="000000"/>
                                  <w:sz w:val="21"/>
                                  <w:szCs w:val="22"/>
                                </w:rPr>
                                <w:t>株洲市人民政府</w:t>
                              </w:r>
                            </w:p>
                          </w:txbxContent>
                        </wps:txbx>
                        <wps:bodyPr rot="0" vert="horz" wrap="square" lIns="91440" tIns="45720" rIns="91440" bIns="45720" anchor="ctr" anchorCtr="0" upright="1">
                          <a:noAutofit/>
                        </wps:bodyPr>
                      </wps:wsp>
                      <wps:wsp>
                        <wps:cNvPr id="1344570513" name="AutoShape 4"/>
                        <wps:cNvSpPr>
                          <a:spLocks noChangeArrowheads="1"/>
                        </wps:cNvSpPr>
                        <wps:spPr bwMode="auto">
                          <a:xfrm>
                            <a:off x="4857" y="312536"/>
                            <a:ext cx="2530" cy="545"/>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hint="eastAsia" w:ascii="仿宋_GB2312" w:hAnsi="等线" w:eastAsia="仿宋_GB2312"/>
                                  <w:color w:val="FF0000"/>
                                  <w:sz w:val="21"/>
                                  <w:szCs w:val="22"/>
                                  <w:lang w:eastAsia="zh-CN"/>
                                </w:rPr>
                              </w:pPr>
                              <w:r>
                                <w:rPr>
                                  <w:rFonts w:hint="eastAsia" w:ascii="仿宋_GB2312" w:hAnsi="等线"/>
                                  <w:color w:val="000000" w:themeColor="text1"/>
                                  <w:sz w:val="21"/>
                                  <w:szCs w:val="22"/>
                                  <w:lang w:eastAsia="zh-CN"/>
                                  <w14:textFill>
                                    <w14:solidFill>
                                      <w14:schemeClr w14:val="tx1"/>
                                    </w14:solidFill>
                                  </w14:textFill>
                                </w:rPr>
                                <w:t>株洲市</w:t>
                              </w:r>
                              <w:r>
                                <w:rPr>
                                  <w:rFonts w:hint="eastAsia" w:ascii="仿宋_GB2312" w:hAnsi="等线"/>
                                  <w:color w:val="000000" w:themeColor="text1"/>
                                  <w:sz w:val="21"/>
                                  <w:szCs w:val="22"/>
                                  <w:lang w:val="en-US" w:eastAsia="zh-CN"/>
                                  <w14:textFill>
                                    <w14:solidFill>
                                      <w14:schemeClr w14:val="tx1"/>
                                    </w14:solidFill>
                                  </w14:textFill>
                                </w:rPr>
                                <w:t>城市管理局</w:t>
                              </w:r>
                            </w:p>
                          </w:txbxContent>
                        </wps:txbx>
                        <wps:bodyPr rot="0" vert="horz" wrap="square" lIns="91440" tIns="45720" rIns="91440" bIns="45720" anchor="ctr" anchorCtr="0" upright="1">
                          <a:noAutofit/>
                        </wps:bodyPr>
                      </wps:wsp>
                      <wps:wsp>
                        <wps:cNvPr id="1702461982" name="直接箭头连接符 3"/>
                        <wps:cNvCnPr>
                          <a:cxnSpLocks noChangeShapeType="1"/>
                          <a:endCxn id="1344570513" idx="0"/>
                        </wps:cNvCnPr>
                        <wps:spPr bwMode="auto">
                          <a:xfrm>
                            <a:off x="6122" y="311946"/>
                            <a:ext cx="0" cy="590"/>
                          </a:xfrm>
                          <a:prstGeom prst="straightConnector1">
                            <a:avLst/>
                          </a:prstGeom>
                          <a:noFill/>
                          <a:ln w="6350">
                            <a:solidFill>
                              <a:srgbClr val="000000"/>
                            </a:solidFill>
                            <a:miter lim="800000"/>
                            <a:tailEnd type="triangle" w="med" len="med"/>
                          </a:ln>
                        </wps:spPr>
                        <wps:bodyPr/>
                      </wps:wsp>
                      <wps:wsp>
                        <wps:cNvPr id="1195520786" name="Text Box 6"/>
                        <wps:cNvSpPr txBox="1">
                          <a:spLocks noChangeArrowheads="1"/>
                        </wps:cNvSpPr>
                        <wps:spPr bwMode="auto">
                          <a:xfrm>
                            <a:off x="6142" y="311968"/>
                            <a:ext cx="1983" cy="568"/>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实施机构授权</w:t>
                              </w:r>
                            </w:p>
                          </w:txbxContent>
                        </wps:txbx>
                        <wps:bodyPr rot="0" vert="horz" wrap="square" lIns="91440" tIns="45720" rIns="91440" bIns="45720" anchor="t" anchorCtr="0" upright="1">
                          <a:noAutofit/>
                        </wps:bodyPr>
                      </wps:wsp>
                      <wps:wsp>
                        <wps:cNvPr id="1752043531" name="AutoShape 7"/>
                        <wps:cNvSpPr>
                          <a:spLocks noChangeArrowheads="1"/>
                        </wps:cNvSpPr>
                        <wps:spPr bwMode="auto">
                          <a:xfrm>
                            <a:off x="5362" y="313679"/>
                            <a:ext cx="2317" cy="658"/>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经营权受让单位</w:t>
                              </w:r>
                            </w:p>
                          </w:txbxContent>
                        </wps:txbx>
                        <wps:bodyPr rot="0" vert="horz" wrap="square" lIns="91440" tIns="45720" rIns="91440" bIns="45720" anchor="ctr" anchorCtr="0" upright="1">
                          <a:noAutofit/>
                        </wps:bodyPr>
                      </wps:wsp>
                      <wps:wsp>
                        <wps:cNvPr id="1113664932" name="Text Box 8"/>
                        <wps:cNvSpPr txBox="1">
                          <a:spLocks noChangeArrowheads="1"/>
                        </wps:cNvSpPr>
                        <wps:spPr bwMode="auto">
                          <a:xfrm>
                            <a:off x="6142" y="313158"/>
                            <a:ext cx="2367" cy="497"/>
                          </a:xfrm>
                          <a:prstGeom prst="rect">
                            <a:avLst/>
                          </a:prstGeom>
                          <a:noFill/>
                          <a:ln>
                            <a:noFill/>
                          </a:ln>
                        </wps:spPr>
                        <wps:txbx>
                          <w:txbxContent>
                            <w:p>
                              <w:pPr>
                                <w:pStyle w:val="674"/>
                                <w:spacing w:line="240" w:lineRule="auto"/>
                                <w:rPr>
                                  <w:sz w:val="18"/>
                                  <w:szCs w:val="18"/>
                                </w:rPr>
                              </w:pPr>
                              <w:r>
                                <w:rPr>
                                  <w:rFonts w:hint="eastAsia"/>
                                  <w:sz w:val="18"/>
                                  <w:szCs w:val="18"/>
                                </w:rPr>
                                <w:t>签署经营权出让协议</w:t>
                              </w:r>
                            </w:p>
                            <w:p>
                              <w:pPr>
                                <w:spacing w:line="240" w:lineRule="auto"/>
                                <w:ind w:firstLine="0" w:firstLineChars="0"/>
                                <w:jc w:val="center"/>
                                <w:rPr>
                                  <w:rFonts w:ascii="仿宋_GB2312" w:hAnsi="等线"/>
                                  <w:sz w:val="18"/>
                                  <w:szCs w:val="18"/>
                                </w:rPr>
                              </w:pPr>
                            </w:p>
                          </w:txbxContent>
                        </wps:txbx>
                        <wps:bodyPr rot="0" vert="horz" wrap="square" lIns="91440" tIns="45720" rIns="91440" bIns="45720" anchor="t" anchorCtr="0" upright="1">
                          <a:noAutofit/>
                        </wps:bodyPr>
                      </wps:wsp>
                      <wps:wsp>
                        <wps:cNvPr id="1630835908" name="直接连接符 4"/>
                        <wps:cNvCnPr>
                          <a:cxnSpLocks noChangeShapeType="1"/>
                        </wps:cNvCnPr>
                        <wps:spPr bwMode="auto">
                          <a:xfrm flipV="1">
                            <a:off x="6520" y="314337"/>
                            <a:ext cx="1" cy="426"/>
                          </a:xfrm>
                          <a:prstGeom prst="line">
                            <a:avLst/>
                          </a:prstGeom>
                          <a:noFill/>
                          <a:ln w="6350">
                            <a:solidFill>
                              <a:srgbClr val="000000"/>
                            </a:solidFill>
                            <a:miter lim="800000"/>
                            <a:headEnd type="triangle" w="med" len="med"/>
                          </a:ln>
                        </wps:spPr>
                        <wps:bodyPr/>
                      </wps:wsp>
                      <wps:wsp>
                        <wps:cNvPr id="1345701932" name="AutoShape 10"/>
                        <wps:cNvSpPr>
                          <a:spLocks noChangeArrowheads="1"/>
                        </wps:cNvSpPr>
                        <wps:spPr bwMode="auto">
                          <a:xfrm>
                            <a:off x="4337" y="314763"/>
                            <a:ext cx="4366" cy="545"/>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株洲市</w:t>
                              </w:r>
                              <w:r>
                                <w:rPr>
                                  <w:rFonts w:hint="eastAsia" w:ascii="仿宋_GB2312" w:hAnsi="等线"/>
                                  <w:color w:val="000000"/>
                                  <w:sz w:val="21"/>
                                  <w:szCs w:val="22"/>
                                  <w:lang w:val="en-US" w:eastAsia="zh-CN"/>
                                </w:rPr>
                                <w:t>城市路灯综合服务经营</w:t>
                              </w:r>
                              <w:r>
                                <w:rPr>
                                  <w:rFonts w:hint="eastAsia" w:ascii="仿宋_GB2312" w:hAnsi="等线"/>
                                  <w:color w:val="000000"/>
                                  <w:sz w:val="21"/>
                                  <w:szCs w:val="22"/>
                                </w:rPr>
                                <w:t>项目</w:t>
                              </w:r>
                            </w:p>
                          </w:txbxContent>
                        </wps:txbx>
                        <wps:bodyPr rot="0" vert="horz" wrap="square" lIns="91440" tIns="45720" rIns="91440" bIns="45720" anchor="ctr" anchorCtr="0" upright="1">
                          <a:noAutofit/>
                        </wps:bodyPr>
                      </wps:wsp>
                      <wps:wsp>
                        <wps:cNvPr id="971551125" name="直接连接符 4"/>
                        <wps:cNvCnPr>
                          <a:cxnSpLocks noChangeShapeType="1"/>
                        </wps:cNvCnPr>
                        <wps:spPr bwMode="auto">
                          <a:xfrm flipH="1">
                            <a:off x="3424" y="315050"/>
                            <a:ext cx="874" cy="0"/>
                          </a:xfrm>
                          <a:prstGeom prst="line">
                            <a:avLst/>
                          </a:prstGeom>
                          <a:noFill/>
                          <a:ln w="6350">
                            <a:solidFill>
                              <a:srgbClr val="000000"/>
                            </a:solidFill>
                            <a:miter lim="800000"/>
                            <a:headEnd type="triangle" w="med" len="med"/>
                          </a:ln>
                        </wps:spPr>
                        <wps:bodyPr/>
                      </wps:wsp>
                      <wps:wsp>
                        <wps:cNvPr id="2043027507" name="Text Box 12"/>
                        <wps:cNvSpPr txBox="1">
                          <a:spLocks noChangeArrowheads="1"/>
                        </wps:cNvSpPr>
                        <wps:spPr bwMode="auto">
                          <a:xfrm>
                            <a:off x="3412" y="314498"/>
                            <a:ext cx="807" cy="483"/>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监管</w:t>
                              </w:r>
                            </w:p>
                          </w:txbxContent>
                        </wps:txbx>
                        <wps:bodyPr rot="0" vert="horz" wrap="square" lIns="91440" tIns="45720" rIns="91440" bIns="45720" anchor="t" anchorCtr="0" upright="1">
                          <a:noAutofit/>
                        </wps:bodyPr>
                      </wps:wsp>
                      <wps:wsp>
                        <wps:cNvPr id="1041748532" name="AutoShape 13"/>
                        <wps:cNvSpPr>
                          <a:spLocks noChangeArrowheads="1"/>
                        </wps:cNvSpPr>
                        <wps:spPr bwMode="auto">
                          <a:xfrm>
                            <a:off x="8981" y="313666"/>
                            <a:ext cx="1548" cy="684"/>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金融机构</w:t>
                              </w:r>
                            </w:p>
                          </w:txbxContent>
                        </wps:txbx>
                        <wps:bodyPr rot="0" vert="horz" wrap="square" lIns="91440" tIns="45720" rIns="91440" bIns="45720" anchor="ctr" anchorCtr="0" upright="1">
                          <a:noAutofit/>
                        </wps:bodyPr>
                      </wps:wsp>
                      <wps:wsp>
                        <wps:cNvPr id="2041004570" name="直接连接符 4"/>
                        <wps:cNvCnPr>
                          <a:cxnSpLocks noChangeShapeType="1"/>
                        </wps:cNvCnPr>
                        <wps:spPr bwMode="auto">
                          <a:xfrm flipH="1">
                            <a:off x="7679" y="314008"/>
                            <a:ext cx="1302" cy="0"/>
                          </a:xfrm>
                          <a:prstGeom prst="line">
                            <a:avLst/>
                          </a:prstGeom>
                          <a:noFill/>
                          <a:ln w="6350">
                            <a:solidFill>
                              <a:srgbClr val="000000"/>
                            </a:solidFill>
                            <a:miter lim="800000"/>
                            <a:headEnd type="triangle" w="med" len="med"/>
                          </a:ln>
                        </wps:spPr>
                        <wps:bodyPr/>
                      </wps:wsp>
                      <wps:wsp>
                        <wps:cNvPr id="1914413234" name="Text Box 15"/>
                        <wps:cNvSpPr txBox="1">
                          <a:spLocks noChangeArrowheads="1"/>
                        </wps:cNvSpPr>
                        <wps:spPr bwMode="auto">
                          <a:xfrm>
                            <a:off x="7729" y="313508"/>
                            <a:ext cx="1119" cy="482"/>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还本付息</w:t>
                              </w:r>
                            </w:p>
                          </w:txbxContent>
                        </wps:txbx>
                        <wps:bodyPr rot="0" vert="horz" wrap="square" lIns="91440" tIns="45720" rIns="91440" bIns="45720" anchor="t" anchorCtr="0" upright="1">
                          <a:noAutofit/>
                        </wps:bodyPr>
                      </wps:wsp>
                      <wps:wsp>
                        <wps:cNvPr id="522812516" name="Text Box 16"/>
                        <wps:cNvSpPr txBox="1">
                          <a:spLocks noChangeArrowheads="1"/>
                        </wps:cNvSpPr>
                        <wps:spPr bwMode="auto">
                          <a:xfrm>
                            <a:off x="7692" y="314122"/>
                            <a:ext cx="1232" cy="482"/>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贷款资金</w:t>
                              </w:r>
                            </w:p>
                          </w:txbxContent>
                        </wps:txbx>
                        <wps:bodyPr rot="0" vert="horz" wrap="square" lIns="91440" tIns="45720" rIns="91440" bIns="45720" anchor="t" anchorCtr="0" upright="1">
                          <a:noAutofit/>
                        </wps:bodyPr>
                      </wps:wsp>
                      <wps:wsp>
                        <wps:cNvPr id="1848909492" name="AutoShape 17"/>
                        <wps:cNvSpPr>
                          <a:spLocks noChangeArrowheads="1"/>
                        </wps:cNvSpPr>
                        <wps:spPr bwMode="auto">
                          <a:xfrm>
                            <a:off x="5840" y="315974"/>
                            <a:ext cx="1313" cy="545"/>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使用者</w:t>
                              </w:r>
                            </w:p>
                          </w:txbxContent>
                        </wps:txbx>
                        <wps:bodyPr rot="0" vert="horz" wrap="square" lIns="91440" tIns="45720" rIns="91440" bIns="45720" anchor="ctr" anchorCtr="0" upright="1">
                          <a:noAutofit/>
                        </wps:bodyPr>
                      </wps:wsp>
                      <wps:wsp>
                        <wps:cNvPr id="1874902814" name="直接连接符 4"/>
                        <wps:cNvCnPr>
                          <a:cxnSpLocks noChangeShapeType="1"/>
                        </wps:cNvCnPr>
                        <wps:spPr bwMode="auto">
                          <a:xfrm flipH="1" flipV="1">
                            <a:off x="6742" y="315340"/>
                            <a:ext cx="17" cy="613"/>
                          </a:xfrm>
                          <a:prstGeom prst="line">
                            <a:avLst/>
                          </a:prstGeom>
                          <a:noFill/>
                          <a:ln w="6350">
                            <a:solidFill>
                              <a:srgbClr val="000000"/>
                            </a:solidFill>
                            <a:miter lim="800000"/>
                            <a:headEnd type="triangle" w="med" len="med"/>
                          </a:ln>
                        </wps:spPr>
                        <wps:bodyPr/>
                      </wps:wsp>
                      <wps:wsp>
                        <wps:cNvPr id="1973218125" name="直接连接符 4"/>
                        <wps:cNvCnPr>
                          <a:cxnSpLocks noChangeShapeType="1"/>
                        </wps:cNvCnPr>
                        <wps:spPr bwMode="auto">
                          <a:xfrm>
                            <a:off x="6268" y="315308"/>
                            <a:ext cx="8" cy="656"/>
                          </a:xfrm>
                          <a:prstGeom prst="line">
                            <a:avLst/>
                          </a:prstGeom>
                          <a:noFill/>
                          <a:ln w="6350">
                            <a:solidFill>
                              <a:srgbClr val="000000"/>
                            </a:solidFill>
                            <a:miter lim="800000"/>
                            <a:headEnd type="triangle" w="med" len="med"/>
                          </a:ln>
                        </wps:spPr>
                        <wps:bodyPr/>
                      </wps:wsp>
                      <wps:wsp>
                        <wps:cNvPr id="488144562" name="Text Box 20"/>
                        <wps:cNvSpPr txBox="1">
                          <a:spLocks noChangeArrowheads="1"/>
                        </wps:cNvSpPr>
                        <wps:spPr bwMode="auto">
                          <a:xfrm>
                            <a:off x="5481" y="315419"/>
                            <a:ext cx="807" cy="485"/>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付费</w:t>
                              </w:r>
                            </w:p>
                          </w:txbxContent>
                        </wps:txbx>
                        <wps:bodyPr rot="0" vert="horz" wrap="square" lIns="91440" tIns="45720" rIns="91440" bIns="45720" anchor="t" anchorCtr="0" upright="1">
                          <a:noAutofit/>
                        </wps:bodyPr>
                      </wps:wsp>
                      <wps:wsp>
                        <wps:cNvPr id="843571934" name="Text Box 21"/>
                        <wps:cNvSpPr txBox="1">
                          <a:spLocks noChangeArrowheads="1"/>
                        </wps:cNvSpPr>
                        <wps:spPr bwMode="auto">
                          <a:xfrm>
                            <a:off x="6730" y="315391"/>
                            <a:ext cx="807" cy="482"/>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服务</w:t>
                              </w:r>
                            </w:p>
                          </w:txbxContent>
                        </wps:txbx>
                        <wps:bodyPr rot="0" vert="horz" wrap="square" lIns="91440" tIns="45720" rIns="91440" bIns="45720" anchor="t" anchorCtr="0" upright="1">
                          <a:noAutofit/>
                        </wps:bodyPr>
                      </wps:wsp>
                      <wps:wsp>
                        <wps:cNvPr id="2006202291" name="直接连接符 4"/>
                        <wps:cNvCnPr>
                          <a:cxnSpLocks noChangeShapeType="1"/>
                        </wps:cNvCnPr>
                        <wps:spPr bwMode="auto">
                          <a:xfrm>
                            <a:off x="4428" y="314008"/>
                            <a:ext cx="934" cy="0"/>
                          </a:xfrm>
                          <a:prstGeom prst="line">
                            <a:avLst/>
                          </a:prstGeom>
                          <a:noFill/>
                          <a:ln w="6350">
                            <a:solidFill>
                              <a:srgbClr val="000000"/>
                            </a:solidFill>
                            <a:miter lim="800000"/>
                            <a:headEnd type="triangle" w="med" len="med"/>
                          </a:ln>
                        </wps:spPr>
                        <wps:bodyPr/>
                      </wps:wsp>
                      <wps:wsp>
                        <wps:cNvPr id="1925648317" name="AutoShape 23"/>
                        <wps:cNvSpPr>
                          <a:spLocks noChangeArrowheads="1"/>
                        </wps:cNvSpPr>
                        <wps:spPr bwMode="auto">
                          <a:xfrm>
                            <a:off x="2479" y="313735"/>
                            <a:ext cx="1949" cy="545"/>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财政局</w:t>
                              </w:r>
                            </w:p>
                          </w:txbxContent>
                        </wps:txbx>
                        <wps:bodyPr rot="0" vert="horz" wrap="square" lIns="91440" tIns="45720" rIns="91440" bIns="45720" anchor="ctr" anchorCtr="0" upright="1">
                          <a:noAutofit/>
                        </wps:bodyPr>
                      </wps:wsp>
                      <wps:wsp>
                        <wps:cNvPr id="2146055241" name="Text Box 24"/>
                        <wps:cNvSpPr txBox="1">
                          <a:spLocks noChangeArrowheads="1"/>
                        </wps:cNvSpPr>
                        <wps:spPr bwMode="auto">
                          <a:xfrm>
                            <a:off x="5423" y="314286"/>
                            <a:ext cx="1268" cy="624"/>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建设运营</w:t>
                              </w:r>
                            </w:p>
                          </w:txbxContent>
                        </wps:txbx>
                        <wps:bodyPr rot="0" vert="horz" wrap="square" lIns="91440" tIns="45720" rIns="91440" bIns="45720" anchor="t" anchorCtr="0" upright="1">
                          <a:noAutofit/>
                        </wps:bodyPr>
                      </wps:wsp>
                      <wps:wsp>
                        <wps:cNvPr id="2107705937" name="Text Box 25"/>
                        <wps:cNvSpPr txBox="1">
                          <a:spLocks noChangeArrowheads="1"/>
                        </wps:cNvSpPr>
                        <wps:spPr bwMode="auto">
                          <a:xfrm>
                            <a:off x="4535" y="313570"/>
                            <a:ext cx="807" cy="431"/>
                          </a:xfrm>
                          <a:prstGeom prst="rect">
                            <a:avLst/>
                          </a:prstGeom>
                          <a:noFill/>
                          <a:ln>
                            <a:noFill/>
                          </a:ln>
                        </wps:spPr>
                        <wps:txbx>
                          <w:txbxContent>
                            <w:p>
                              <w:pPr>
                                <w:spacing w:line="240" w:lineRule="auto"/>
                                <w:ind w:firstLine="0" w:firstLineChars="0"/>
                                <w:jc w:val="center"/>
                                <w:rPr>
                                  <w:rFonts w:ascii="仿宋_GB2312" w:hAnsi="等线"/>
                                  <w:sz w:val="18"/>
                                  <w:szCs w:val="18"/>
                                </w:rPr>
                              </w:pPr>
                              <w:r>
                                <w:rPr>
                                  <w:rFonts w:hint="eastAsia" w:ascii="仿宋_GB2312" w:hAnsi="等线"/>
                                  <w:sz w:val="18"/>
                                  <w:szCs w:val="18"/>
                                </w:rPr>
                                <w:t>支付</w:t>
                              </w:r>
                            </w:p>
                          </w:txbxContent>
                        </wps:txbx>
                        <wps:bodyPr rot="0" vert="horz" wrap="square" lIns="91440" tIns="45720" rIns="91440" bIns="45720" anchor="t" anchorCtr="0" upright="1">
                          <a:noAutofit/>
                        </wps:bodyPr>
                      </wps:wsp>
                      <wps:wsp>
                        <wps:cNvPr id="1438846349" name="AutoShape 26"/>
                        <wps:cNvSpPr>
                          <a:spLocks noChangeArrowheads="1"/>
                        </wps:cNvSpPr>
                        <wps:spPr bwMode="auto">
                          <a:xfrm>
                            <a:off x="2195" y="314727"/>
                            <a:ext cx="1224" cy="545"/>
                          </a:xfrm>
                          <a:prstGeom prst="roundRect">
                            <a:avLst>
                              <a:gd name="adj" fmla="val 16667"/>
                            </a:avLst>
                          </a:prstGeom>
                          <a:noFill/>
                          <a:ln w="9525">
                            <a:solidFill>
                              <a:srgbClr val="000000"/>
                            </a:solidFill>
                            <a:miter lim="800000"/>
                          </a:ln>
                        </wps:spPr>
                        <wps:txb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相关部门</w:t>
                              </w:r>
                            </w:p>
                          </w:txbxContent>
                        </wps:txbx>
                        <wps:bodyPr rot="0" vert="horz" wrap="square" lIns="91440" tIns="45720" rIns="91440" bIns="45720" anchor="ctr" anchorCtr="0" upright="1">
                          <a:noAutofit/>
                        </wps:bodyPr>
                      </wps:wsp>
                      <wps:wsp>
                        <wps:cNvPr id="1055025293" name="直接箭头连接符 138"/>
                        <wps:cNvCnPr>
                          <a:cxnSpLocks noChangeShapeType="1"/>
                        </wps:cNvCnPr>
                        <wps:spPr bwMode="auto">
                          <a:xfrm>
                            <a:off x="6142" y="313068"/>
                            <a:ext cx="0" cy="598"/>
                          </a:xfrm>
                          <a:prstGeom prst="straightConnector1">
                            <a:avLst/>
                          </a:prstGeom>
                          <a:noFill/>
                          <a:ln w="12700">
                            <a:solidFill>
                              <a:srgbClr val="000000"/>
                            </a:solidFill>
                            <a:round/>
                            <a:headEnd type="arrow" w="med" len="med"/>
                            <a:tailEnd type="arrow" w="med" len="med"/>
                          </a:ln>
                        </wps:spPr>
                        <wps:bodyPr/>
                      </wps:wsp>
                      <wps:wsp>
                        <wps:cNvPr id="1632533050" name="直接连接符 4"/>
                        <wps:cNvCnPr>
                          <a:cxnSpLocks noChangeShapeType="1"/>
                        </wps:cNvCnPr>
                        <wps:spPr bwMode="auto">
                          <a:xfrm flipV="1">
                            <a:off x="7658" y="314176"/>
                            <a:ext cx="1312" cy="7"/>
                          </a:xfrm>
                          <a:prstGeom prst="line">
                            <a:avLst/>
                          </a:prstGeom>
                          <a:noFill/>
                          <a:ln w="6350">
                            <a:solidFill>
                              <a:srgbClr val="000000"/>
                            </a:solidFill>
                            <a:miter lim="800000"/>
                            <a:headEnd type="triangle" w="med" len="med"/>
                          </a:ln>
                        </wps:spPr>
                        <wps:bodyPr/>
                      </wps:wsp>
                    </wpg:wgp>
                  </a:graphicData>
                </a:graphic>
              </wp:inline>
            </w:drawing>
          </mc:Choice>
          <mc:Fallback>
            <w:pict>
              <v:group id="组合 8" o:spid="_x0000_s1026" o:spt="203" style="height:217.35pt;width:371.35pt;" coordorigin="2195,311401" coordsize="8334,5118" o:gfxdata="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">
                <o:lock v:ext="edit" aspectratio="f"/>
                <v:roundrect id="AutoShape 3" o:spid="_x0000_s1026" o:spt="2" style="position:absolute;left:4937;top:311401;height:545;width:2317;v-text-anchor:middle;" filled="f" stroked="t" coordsize="21600,21600" arcsize="0.166666666666667" o:gfxdata="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8HUvQAA&#10;AOI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spacing w:line="240" w:lineRule="atLeast"/>
                          <w:ind w:firstLine="0" w:firstLineChars="0"/>
                          <w:jc w:val="center"/>
                          <w:rPr>
                            <w:rFonts w:ascii="仿宋_GB2312" w:hAnsi="等线"/>
                            <w:color w:val="000000"/>
                            <w:sz w:val="21"/>
                            <w:szCs w:val="22"/>
                          </w:rPr>
                        </w:pPr>
                        <w:r>
                          <w:rPr>
                            <w:rFonts w:hint="eastAsia" w:ascii="仿宋_GB2312" w:hAnsi="等线"/>
                            <w:color w:val="000000"/>
                            <w:sz w:val="21"/>
                            <w:szCs w:val="22"/>
                          </w:rPr>
                          <w:t>株洲市人民政府</w:t>
                        </w:r>
                      </w:p>
                    </w:txbxContent>
                  </v:textbox>
                </v:roundrect>
                <v:roundrect id="AutoShape 4" o:spid="_x0000_s1026" o:spt="2" style="position:absolute;left:4857;top:312536;height:545;width:2530;v-text-anchor:middle;" filled="f" stroked="t" coordsize="21600,21600" arcsize="0.166666666666667" o:gfxdata="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Urwm/&#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hint="eastAsia" w:ascii="仿宋_GB2312" w:hAnsi="等线" w:eastAsia="仿宋_GB2312"/>
                            <w:color w:val="FF0000"/>
                            <w:sz w:val="21"/>
                            <w:szCs w:val="22"/>
                            <w:lang w:eastAsia="zh-CN"/>
                          </w:rPr>
                        </w:pPr>
                        <w:r>
                          <w:rPr>
                            <w:rFonts w:hint="eastAsia" w:ascii="仿宋_GB2312" w:hAnsi="等线"/>
                            <w:color w:val="000000" w:themeColor="text1"/>
                            <w:sz w:val="21"/>
                            <w:szCs w:val="22"/>
                            <w:lang w:eastAsia="zh-CN"/>
                            <w14:textFill>
                              <w14:solidFill>
                                <w14:schemeClr w14:val="tx1"/>
                              </w14:solidFill>
                            </w14:textFill>
                          </w:rPr>
                          <w:t>株洲市</w:t>
                        </w:r>
                        <w:r>
                          <w:rPr>
                            <w:rFonts w:hint="eastAsia" w:ascii="仿宋_GB2312" w:hAnsi="等线"/>
                            <w:color w:val="000000" w:themeColor="text1"/>
                            <w:sz w:val="21"/>
                            <w:szCs w:val="22"/>
                            <w:lang w:val="en-US" w:eastAsia="zh-CN"/>
                            <w14:textFill>
                              <w14:solidFill>
                                <w14:schemeClr w14:val="tx1"/>
                              </w14:solidFill>
                            </w14:textFill>
                          </w:rPr>
                          <w:t>城市管理局</w:t>
                        </w:r>
                      </w:p>
                    </w:txbxContent>
                  </v:textbox>
                </v:roundrect>
                <v:shape id="直接箭头连接符 3" o:spid="_x0000_s1026" o:spt="32" type="#_x0000_t32" style="position:absolute;left:6122;top:311946;height:590;width:0;" filled="f" stroked="t" coordsize="21600,21600" o:gfxdata="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wK&#10;3cEAAADjAAAADwAAAAAAAAABACAAAAAiAAAAZHJzL2Rvd25yZXYueG1sUEsBAhQAFAAAAAgAh07i&#10;QDMvBZ47AAAAOQAAABAAAAAAAAAAAQAgAAAAEAEAAGRycy9zaGFwZXhtbC54bWxQSwUGAAAAAAYA&#10;BgBbAQAAugMAAAAA&#10;">
                  <v:fill on="f" focussize="0,0"/>
                  <v:stroke weight="0.5pt" color="#000000" miterlimit="8" joinstyle="miter" endarrow="block"/>
                  <v:imagedata o:title=""/>
                  <o:lock v:ext="edit" aspectratio="f"/>
                </v:shape>
                <v:shape id="Text Box 6" o:spid="_x0000_s1026" o:spt="202" type="#_x0000_t202" style="position:absolute;left:6142;top:311968;height:568;width:1983;" filled="f" stroked="f" coordsize="21600,21600" o:gfxdata="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TZv&#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实施机构授权</w:t>
                        </w:r>
                      </w:p>
                    </w:txbxContent>
                  </v:textbox>
                </v:shape>
                <v:roundrect id="AutoShape 7" o:spid="_x0000_s1026" o:spt="2" style="position:absolute;left:5362;top:313679;height:658;width:2317;v-text-anchor:middle;" filled="f" stroked="t" coordsize="21600,21600" arcsize="0.166666666666667" o:gfxdata="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aoN6/&#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经营权受让单位</w:t>
                        </w:r>
                      </w:p>
                    </w:txbxContent>
                  </v:textbox>
                </v:roundrect>
                <v:shape id="Text Box 8" o:spid="_x0000_s1026" o:spt="202" type="#_x0000_t202" style="position:absolute;left:6142;top:313158;height:497;width:2367;" filled="f" stroked="f" coordsize="21600,21600" o:gfxdata="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W2hK&#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674"/>
                          <w:spacing w:line="240" w:lineRule="auto"/>
                          <w:rPr>
                            <w:sz w:val="18"/>
                            <w:szCs w:val="18"/>
                          </w:rPr>
                        </w:pPr>
                        <w:r>
                          <w:rPr>
                            <w:rFonts w:hint="eastAsia"/>
                            <w:sz w:val="18"/>
                            <w:szCs w:val="18"/>
                          </w:rPr>
                          <w:t>签署经营权出让协议</w:t>
                        </w:r>
                      </w:p>
                      <w:p>
                        <w:pPr>
                          <w:spacing w:line="240" w:lineRule="auto"/>
                          <w:ind w:firstLine="0" w:firstLineChars="0"/>
                          <w:jc w:val="center"/>
                          <w:rPr>
                            <w:rFonts w:ascii="仿宋_GB2312" w:hAnsi="等线"/>
                            <w:sz w:val="18"/>
                            <w:szCs w:val="18"/>
                          </w:rPr>
                        </w:pPr>
                      </w:p>
                    </w:txbxContent>
                  </v:textbox>
                </v:shape>
                <v:line id="直接连接符 4" o:spid="_x0000_s1026" o:spt="20" style="position:absolute;left:6520;top:314337;flip:y;height:426;width:1;" filled="f" stroked="t" coordsize="21600,21600" o:gfxdata="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B0W+sQAAADjAAAADwAAAAAAAAABACAAAAAiAAAAZHJzL2Rvd25yZXYueG1sUEsBAhQAFAAAAAgA&#10;h07iQDMvBZ47AAAAOQAAABAAAAAAAAAAAQAgAAAAEwEAAGRycy9zaGFwZXhtbC54bWxQSwUGAAAA&#10;AAYABgBbAQAAvQMAAAAA&#10;">
                  <v:fill on="f" focussize="0,0"/>
                  <v:stroke weight="0.5pt" color="#000000" miterlimit="8" joinstyle="miter" startarrow="block"/>
                  <v:imagedata o:title=""/>
                  <o:lock v:ext="edit" aspectratio="f"/>
                </v:line>
                <v:roundrect id="AutoShape 10" o:spid="_x0000_s1026" o:spt="2" style="position:absolute;left:4337;top:314763;height:545;width:4366;v-text-anchor:middle;" filled="f" stroked="t" coordsize="21600,21600" arcsize="0.166666666666667" o:gfxdata="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5z6e/&#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株洲市</w:t>
                        </w:r>
                        <w:r>
                          <w:rPr>
                            <w:rFonts w:hint="eastAsia" w:ascii="仿宋_GB2312" w:hAnsi="等线"/>
                            <w:color w:val="000000"/>
                            <w:sz w:val="21"/>
                            <w:szCs w:val="22"/>
                            <w:lang w:val="en-US" w:eastAsia="zh-CN"/>
                          </w:rPr>
                          <w:t>城市路灯综合服务经营</w:t>
                        </w:r>
                        <w:r>
                          <w:rPr>
                            <w:rFonts w:hint="eastAsia" w:ascii="仿宋_GB2312" w:hAnsi="等线"/>
                            <w:color w:val="000000"/>
                            <w:sz w:val="21"/>
                            <w:szCs w:val="22"/>
                          </w:rPr>
                          <w:t>项目</w:t>
                        </w:r>
                      </w:p>
                    </w:txbxContent>
                  </v:textbox>
                </v:roundrect>
                <v:line id="直接连接符 4" o:spid="_x0000_s1026" o:spt="20" style="position:absolute;left:3424;top:315050;flip:x;height:0;width:874;" filled="f" stroked="t" coordsize="21600,21600" o:gfxdata="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B3G7MQAAADiAAAADwAAAAAAAAABACAAAAAiAAAAZHJzL2Rvd25yZXYueG1sUEsBAhQAFAAAAAgA&#10;h07iQDMvBZ47AAAAOQAAABAAAAAAAAAAAQAgAAAAEwEAAGRycy9zaGFwZXhtbC54bWxQSwUGAAAA&#10;AAYABgBbAQAAvQMAAAAA&#10;">
                  <v:fill on="f" focussize="0,0"/>
                  <v:stroke weight="0.5pt" color="#000000" miterlimit="8" joinstyle="miter" startarrow="block"/>
                  <v:imagedata o:title=""/>
                  <o:lock v:ext="edit" aspectratio="f"/>
                </v:line>
                <v:shape id="Text Box 12" o:spid="_x0000_s1026" o:spt="202" type="#_x0000_t202" style="position:absolute;left:3412;top:314498;height:483;width:807;" filled="f" stroked="f" coordsize="21600,21600" o:gfxdata="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dH8H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监管</w:t>
                        </w:r>
                      </w:p>
                    </w:txbxContent>
                  </v:textbox>
                </v:shape>
                <v:roundrect id="AutoShape 13" o:spid="_x0000_s1026" o:spt="2" style="position:absolute;left:8981;top:313666;height:684;width:1548;v-text-anchor:middle;" filled="f" stroked="t" coordsize="21600,21600" arcsize="0.166666666666667" o:gfxdata="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peIu/&#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金融机构</w:t>
                        </w:r>
                      </w:p>
                    </w:txbxContent>
                  </v:textbox>
                </v:roundrect>
                <v:line id="直接连接符 4" o:spid="_x0000_s1026" o:spt="20" style="position:absolute;left:7679;top:314008;flip:x;height:0;width:1302;" filled="f" stroked="t" coordsize="21600,21600" o:gfxdata="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v+&#10;7ofCAAAA4wAAAA8AAAAAAAAAAQAgAAAAIgAAAGRycy9kb3ducmV2LnhtbFBLAQIUABQAAAAIAIdO&#10;4kAzLwWeOwAAADkAAAAQAAAAAAAAAAEAIAAAABEBAABkcnMvc2hhcGV4bWwueG1sUEsFBgAAAAAG&#10;AAYAWwEAALsDAAAAAA==&#10;">
                  <v:fill on="f" focussize="0,0"/>
                  <v:stroke weight="0.5pt" color="#000000" miterlimit="8" joinstyle="miter" startarrow="block"/>
                  <v:imagedata o:title=""/>
                  <o:lock v:ext="edit" aspectratio="f"/>
                </v:line>
                <v:shape id="Text Box 15" o:spid="_x0000_s1026" o:spt="202" type="#_x0000_t202" style="position:absolute;left:7729;top:313508;height:482;width:1119;" filled="f" stroked="f" coordsize="21600,21600" o:gfxdata="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flwk&#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还本付息</w:t>
                        </w:r>
                      </w:p>
                    </w:txbxContent>
                  </v:textbox>
                </v:shape>
                <v:shape id="Text Box 16" o:spid="_x0000_s1026" o:spt="202" type="#_x0000_t202" style="position:absolute;left:7692;top:314122;height:482;width:1232;" filled="f" stroked="f" coordsize="21600,21600" o:gfxdata="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aG&#10;Y0b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贷款资金</w:t>
                        </w:r>
                      </w:p>
                    </w:txbxContent>
                  </v:textbox>
                </v:shape>
                <v:roundrect id="AutoShape 17" o:spid="_x0000_s1026" o:spt="2" style="position:absolute;left:5840;top:315974;height:545;width:1313;v-text-anchor:middle;" filled="f" stroked="t" coordsize="21600,21600" arcsize="0.166666666666667" o:gfxdata="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PHmW/&#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使用者</w:t>
                        </w:r>
                      </w:p>
                    </w:txbxContent>
                  </v:textbox>
                </v:roundrect>
                <v:line id="直接连接符 4" o:spid="_x0000_s1026" o:spt="20" style="position:absolute;left:6742;top:315340;flip:x y;height:613;width:17;" filled="f" stroked="t" coordsize="21600,21600" o:gfxdata="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iPMgwwAAAOMAAAAPAAAAAAAAAAEAIAAAACIAAABkcnMvZG93bnJldi54bWxQSwECFAAUAAAACACH&#10;TuJAMy8FnjsAAAA5AAAAEAAAAAAAAAABACAAAAASAQAAZHJzL3NoYXBleG1sLnhtbFBLBQYAAAAA&#10;BgAGAFsBAAC8AwAAAAA=&#10;">
                  <v:fill on="f" focussize="0,0"/>
                  <v:stroke weight="0.5pt" color="#000000" miterlimit="8" joinstyle="miter" startarrow="block"/>
                  <v:imagedata o:title=""/>
                  <o:lock v:ext="edit" aspectratio="f"/>
                </v:line>
                <v:line id="直接连接符 4" o:spid="_x0000_s1026" o:spt="20" style="position:absolute;left:6268;top:315308;height:656;width:8;" filled="f" stroked="t" coordsize="21600,21600" o:gfxdata="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Fs9&#10;wAAAAOMAAAAPAAAAAAAAAAEAIAAAACIAAABkcnMvZG93bnJldi54bWxQSwECFAAUAAAACACHTuJA&#10;My8FnjsAAAA5AAAAEAAAAAAAAAABACAAAAAPAQAAZHJzL3NoYXBleG1sLnhtbFBLBQYAAAAABgAG&#10;AFsBAAC5AwAAAAA=&#10;">
                  <v:fill on="f" focussize="0,0"/>
                  <v:stroke weight="0.5pt" color="#000000" miterlimit="8" joinstyle="miter" startarrow="block"/>
                  <v:imagedata o:title=""/>
                  <o:lock v:ext="edit" aspectratio="f"/>
                </v:line>
                <v:shape id="Text Box 20" o:spid="_x0000_s1026" o:spt="202" type="#_x0000_t202" style="position:absolute;left:5481;top:315419;height:485;width:807;" filled="f" stroked="f" coordsize="21600,21600" o:gfxdata="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T&#10;9Av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付费</w:t>
                        </w:r>
                      </w:p>
                    </w:txbxContent>
                  </v:textbox>
                </v:shape>
                <v:shape id="Text Box 21" o:spid="_x0000_s1026" o:spt="202" type="#_x0000_t202" style="position:absolute;left:6730;top:315391;height:482;width:807;" filled="f" stroked="f" coordsize="21600,21600" o:gfxdata="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J3x0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服务</w:t>
                        </w:r>
                      </w:p>
                    </w:txbxContent>
                  </v:textbox>
                </v:shape>
                <v:line id="直接连接符 4" o:spid="_x0000_s1026" o:spt="20" style="position:absolute;left:4428;top:314008;height:0;width:934;" filled="f" stroked="t" coordsize="21600,21600" o:gfxdata="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zD0&#10;QcEAAADjAAAADwAAAAAAAAABACAAAAAiAAAAZHJzL2Rvd25yZXYueG1sUEsBAhQAFAAAAAgAh07i&#10;QDMvBZ47AAAAOQAAABAAAAAAAAAAAQAgAAAAEAEAAGRycy9zaGFwZXhtbC54bWxQSwUGAAAAAAYA&#10;BgBbAQAAugMAAAAA&#10;">
                  <v:fill on="f" focussize="0,0"/>
                  <v:stroke weight="0.5pt" color="#000000" miterlimit="8" joinstyle="miter" startarrow="block"/>
                  <v:imagedata o:title=""/>
                  <o:lock v:ext="edit" aspectratio="f"/>
                </v:line>
                <v:roundrect id="AutoShape 23" o:spid="_x0000_s1026" o:spt="2" style="position:absolute;left:2479;top:313735;height:545;width:1949;v-text-anchor:middle;" filled="f" stroked="t" coordsize="21600,21600" arcsize="0.166666666666667" o:gfxdata="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aK2K/&#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财政局</w:t>
                        </w:r>
                      </w:p>
                    </w:txbxContent>
                  </v:textbox>
                </v:roundrect>
                <v:shape id="Text Box 24" o:spid="_x0000_s1026" o:spt="202" type="#_x0000_t202" style="position:absolute;left:5423;top:314286;height:624;width:1268;" filled="f" stroked="f" coordsize="21600,21600" o:gfxdata="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AtSZ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建设运营</w:t>
                        </w:r>
                      </w:p>
                    </w:txbxContent>
                  </v:textbox>
                </v:shape>
                <v:shape id="Text Box 25" o:spid="_x0000_s1026" o:spt="202" type="#_x0000_t202" style="position:absolute;left:4535;top:313570;height:431;width:807;" filled="f" stroked="f" coordsize="21600,21600" o:gfxdata="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oBTGMQAAADjAAAADwAAAAAAAAABACAAAAAiAAAAZHJzL2Rvd25yZXYueG1sUEsBAhQAFAAAAAgA&#10;h07iQDMvBZ47AAAAOQAAABAAAAAAAAAAAQAgAAAAEwEAAGRycy9zaGFwZXhtbC54bWxQSwUGAAAA&#10;AAYABgBbAQAAvQMAAAAA&#10;">
                  <v:fill on="f" focussize="0,0"/>
                  <v:stroke on="f"/>
                  <v:imagedata o:title=""/>
                  <o:lock v:ext="edit" aspectratio="f"/>
                  <v:textbox>
                    <w:txbxContent>
                      <w:p>
                        <w:pPr>
                          <w:spacing w:line="240" w:lineRule="auto"/>
                          <w:ind w:firstLine="0" w:firstLineChars="0"/>
                          <w:jc w:val="center"/>
                          <w:rPr>
                            <w:rFonts w:ascii="仿宋_GB2312" w:hAnsi="等线"/>
                            <w:sz w:val="18"/>
                            <w:szCs w:val="18"/>
                          </w:rPr>
                        </w:pPr>
                        <w:r>
                          <w:rPr>
                            <w:rFonts w:hint="eastAsia" w:ascii="仿宋_GB2312" w:hAnsi="等线"/>
                            <w:sz w:val="18"/>
                            <w:szCs w:val="18"/>
                          </w:rPr>
                          <w:t>支付</w:t>
                        </w:r>
                      </w:p>
                    </w:txbxContent>
                  </v:textbox>
                </v:shape>
                <v:roundrect id="AutoShape 26" o:spid="_x0000_s1026" o:spt="2" style="position:absolute;left:2195;top:314727;height:545;width:1224;v-text-anchor:middle;" filled="f" stroked="t" coordsize="21600,21600" arcsize="0.166666666666667" o:gfxdata="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eqi/&#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line="240" w:lineRule="auto"/>
                          <w:ind w:firstLine="0" w:firstLineChars="0"/>
                          <w:jc w:val="center"/>
                          <w:rPr>
                            <w:rFonts w:ascii="仿宋_GB2312" w:hAnsi="等线"/>
                            <w:color w:val="000000"/>
                            <w:sz w:val="21"/>
                            <w:szCs w:val="22"/>
                          </w:rPr>
                        </w:pPr>
                        <w:r>
                          <w:rPr>
                            <w:rFonts w:hint="eastAsia" w:ascii="仿宋_GB2312" w:hAnsi="等线"/>
                            <w:color w:val="000000"/>
                            <w:sz w:val="21"/>
                            <w:szCs w:val="22"/>
                          </w:rPr>
                          <w:t>相关部门</w:t>
                        </w:r>
                      </w:p>
                    </w:txbxContent>
                  </v:textbox>
                </v:roundrect>
                <v:shape id="直接箭头连接符 138" o:spid="_x0000_s1026" o:spt="32" type="#_x0000_t32" style="position:absolute;left:6142;top:313068;height:598;width:0;" filled="f" stroked="t" coordsize="21600,21600" o:gfxdata="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1n&#10;A4nCAAAA4wAAAA8AAAAAAAAAAQAgAAAAIgAAAGRycy9kb3ducmV2LnhtbFBLAQIUABQAAAAIAIdO&#10;4kAzLwWeOwAAADkAAAAQAAAAAAAAAAEAIAAAABEBAABkcnMvc2hhcGV4bWwueG1sUEsFBgAAAAAG&#10;AAYAWwEAALsDAAAAAA==&#10;">
                  <v:fill on="f" focussize="0,0"/>
                  <v:stroke weight="1pt" color="#000000" joinstyle="round" startarrow="open" endarrow="open"/>
                  <v:imagedata o:title=""/>
                  <o:lock v:ext="edit" aspectratio="f"/>
                </v:shape>
                <v:line id="直接连接符 4" o:spid="_x0000_s1026" o:spt="20" style="position:absolute;left:7658;top:314176;flip:y;height:7;width:1312;" filled="f" stroked="t" coordsize="21600,21600" o:gfxdata="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jvzesQAAADjAAAADwAAAAAAAAABACAAAAAiAAAAZHJzL2Rvd25yZXYueG1sUEsBAhQAFAAAAAgA&#10;h07iQDMvBZ47AAAAOQAAABAAAAAAAAAAAQAgAAAAEwEAAGRycy9zaGFwZXhtbC54bWxQSwUGAAAA&#10;AAYABgBbAQAAvQMAAAAA&#10;">
                  <v:fill on="f" focussize="0,0"/>
                  <v:stroke weight="0.5pt" color="#000000" miterlimit="8" joinstyle="miter" startarrow="block"/>
                  <v:imagedata o:title=""/>
                  <o:lock v:ext="edit" aspectratio="f"/>
                </v:line>
                <w10:wrap type="none"/>
                <w10:anchorlock/>
              </v:group>
            </w:pict>
          </mc:Fallback>
        </mc:AlternateContent>
      </w:r>
    </w:p>
    <w:p>
      <w:pPr>
        <w:pStyle w:val="3"/>
        <w:spacing w:before="0" w:beforeLines="0"/>
        <w:rPr>
          <w:rFonts w:hint="default" w:ascii="Times New Roman" w:hAnsi="Times New Roman" w:eastAsia="仿宋_GB2312" w:cs="Times New Roman"/>
          <w:color w:val="auto"/>
        </w:rPr>
      </w:pPr>
      <w:bookmarkStart w:id="16" w:name="_Toc19309"/>
      <w:r>
        <w:rPr>
          <w:rFonts w:hint="default" w:ascii="Times New Roman" w:hAnsi="Times New Roman" w:eastAsia="仿宋_GB2312" w:cs="Times New Roman"/>
          <w:color w:val="auto"/>
        </w:rPr>
        <w:t>经营权受让单位的选择方式和条件</w:t>
      </w:r>
      <w:bookmarkEnd w:id="16"/>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2.3.1 选择方式</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湖南省国有资源有偿使用收入管理办法》（湖南省人民政府令第254号）第八条：开发利用国有资源应当遵循有偿使用、市场配置的原则。依法出让、出租国有资源经营权、使用权的，应当通过公开方式选择有相应资质的中介机构评估其价值，在依法设立的交易机构通过招标、</w:t>
      </w:r>
      <w:r>
        <w:rPr>
          <w:rFonts w:hint="default" w:ascii="Times New Roman" w:hAnsi="Times New Roman" w:eastAsia="仿宋_GB2312" w:cs="Times New Roman"/>
          <w:color w:val="auto"/>
          <w:lang w:val="en-US" w:eastAsia="zh-CN"/>
        </w:rPr>
        <w:t>拍卖、</w:t>
      </w:r>
      <w:r>
        <w:rPr>
          <w:rFonts w:hint="default" w:ascii="Times New Roman" w:hAnsi="Times New Roman" w:eastAsia="仿宋_GB2312" w:cs="Times New Roman"/>
          <w:color w:val="auto"/>
        </w:rPr>
        <w:t>挂牌方式确定出让、出租对象。</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本项目边界清晰，竞争内容主要为经营权出让费报价，结合湖南省已开展的公共资源项目交易方式，本方案推荐采用</w:t>
      </w:r>
      <w:r>
        <w:rPr>
          <w:rFonts w:hint="default" w:ascii="Times New Roman" w:hAnsi="Times New Roman" w:eastAsia="仿宋_GB2312" w:cs="Times New Roman"/>
          <w:color w:val="auto"/>
          <w:lang w:val="en-US" w:eastAsia="zh-CN"/>
        </w:rPr>
        <w:t>拍卖</w:t>
      </w:r>
      <w:r>
        <w:rPr>
          <w:rFonts w:hint="default" w:ascii="Times New Roman" w:hAnsi="Times New Roman" w:eastAsia="仿宋_GB2312" w:cs="Times New Roman"/>
          <w:color w:val="auto"/>
        </w:rPr>
        <w:t>的方式选择经营权受让单位。</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2.3.2 潜在受让单位应具备的条件</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为保证本项目引进的经营权受让单位具备履行合同义务的能力。参与竞争的</w:t>
      </w:r>
      <w:r>
        <w:rPr>
          <w:rFonts w:hint="default" w:ascii="Times New Roman" w:hAnsi="Times New Roman" w:eastAsia="仿宋_GB2312" w:cs="Times New Roman"/>
          <w:color w:val="auto"/>
          <w:lang w:val="en-US" w:eastAsia="zh-CN"/>
        </w:rPr>
        <w:t>潜在</w:t>
      </w:r>
      <w:r>
        <w:rPr>
          <w:rFonts w:hint="default" w:ascii="Times New Roman" w:hAnsi="Times New Roman" w:eastAsia="仿宋_GB2312" w:cs="Times New Roman"/>
          <w:color w:val="auto"/>
        </w:rPr>
        <w:t>受让单位应当具备下列条件</w:t>
      </w:r>
      <w:r>
        <w:rPr>
          <w:rFonts w:hint="default" w:ascii="Times New Roman" w:hAnsi="Times New Roman" w:eastAsia="仿宋_GB2312" w:cs="Times New Roman"/>
          <w:color w:val="auto"/>
          <w:lang w:eastAsia="zh-CN"/>
        </w:rPr>
        <w:t>。</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1</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在中国境内依法注册的企业法人，具有独立承担民事责任的能力</w:t>
      </w:r>
      <w:r>
        <w:rPr>
          <w:rFonts w:hint="default" w:ascii="Times New Roman" w:hAnsi="Times New Roman" w:eastAsia="仿宋_GB2312" w:cs="Times New Roman"/>
          <w:color w:val="auto"/>
          <w:lang w:eastAsia="zh-CN"/>
        </w:rPr>
        <w:t>。</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2</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具有良好的商业信誉和健全的财务会计制度，未被国家企业信用信息公示系统列入失信被执行人名单；近三年在经营活动中没有重大违法记录</w:t>
      </w:r>
      <w:r>
        <w:rPr>
          <w:rFonts w:hint="default" w:ascii="Times New Roman" w:hAnsi="Times New Roman" w:eastAsia="仿宋_GB2312" w:cs="Times New Roman"/>
          <w:color w:val="auto"/>
          <w:lang w:eastAsia="zh-CN"/>
        </w:rPr>
        <w:t>。</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3</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具有履行合同所必需的资金和专业技术能力</w:t>
      </w:r>
      <w:r>
        <w:rPr>
          <w:rFonts w:hint="default" w:ascii="Times New Roman" w:hAnsi="Times New Roman" w:eastAsia="仿宋_GB2312" w:cs="Times New Roman"/>
          <w:color w:val="auto"/>
          <w:lang w:eastAsia="zh-CN"/>
        </w:rPr>
        <w:t>。</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4</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有依法缴纳税收和社会保障资金的良好记录</w:t>
      </w:r>
      <w:r>
        <w:rPr>
          <w:rFonts w:hint="default" w:ascii="Times New Roman" w:hAnsi="Times New Roman" w:eastAsia="仿宋_GB2312" w:cs="Times New Roman"/>
          <w:color w:val="auto"/>
          <w:lang w:eastAsia="zh-CN"/>
        </w:rPr>
        <w:t>。</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5</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法律、行政法规规定的其他条件。</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2.3.3 出让标的</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本项目以经评估的</w:t>
      </w:r>
      <w:r>
        <w:rPr>
          <w:rFonts w:hint="default" w:ascii="Times New Roman" w:hAnsi="Times New Roman" w:eastAsia="仿宋_GB2312" w:cs="Times New Roman"/>
          <w:color w:val="auto"/>
          <w:lang w:val="en-US" w:eastAsia="zh-CN"/>
        </w:rPr>
        <w:t>路灯综合服务</w:t>
      </w:r>
      <w:r>
        <w:rPr>
          <w:rFonts w:hint="default" w:ascii="Times New Roman" w:hAnsi="Times New Roman" w:eastAsia="仿宋_GB2312" w:cs="Times New Roman"/>
          <w:color w:val="auto"/>
        </w:rPr>
        <w:t>经营权出让费为</w:t>
      </w:r>
      <w:r>
        <w:rPr>
          <w:rFonts w:hint="default" w:ascii="Times New Roman" w:hAnsi="Times New Roman" w:eastAsia="仿宋_GB2312" w:cs="Times New Roman"/>
          <w:color w:val="auto"/>
          <w:lang w:val="en-US" w:eastAsia="zh-CN"/>
        </w:rPr>
        <w:t>受让</w:t>
      </w:r>
      <w:r>
        <w:rPr>
          <w:rFonts w:hint="default" w:ascii="Times New Roman" w:hAnsi="Times New Roman" w:eastAsia="仿宋_GB2312" w:cs="Times New Roman"/>
          <w:color w:val="auto"/>
        </w:rPr>
        <w:t>标的，标的物</w:t>
      </w:r>
      <w:r>
        <w:rPr>
          <w:rFonts w:hint="default" w:ascii="Times New Roman" w:hAnsi="Times New Roman" w:eastAsia="仿宋_GB2312" w:cs="Times New Roman"/>
          <w:color w:val="auto"/>
          <w:lang w:val="en-US" w:eastAsia="zh-CN"/>
        </w:rPr>
        <w:t>出让</w:t>
      </w:r>
      <w:r>
        <w:rPr>
          <w:rFonts w:hint="default" w:ascii="Times New Roman" w:hAnsi="Times New Roman" w:eastAsia="仿宋_GB2312" w:cs="Times New Roman"/>
          <w:color w:val="auto"/>
        </w:rPr>
        <w:t>金额以经财政部门核准的评估金额为准。</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2.3.4 签订合同</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实施机构和中选受让单位应当自成交确认书发出之日起三十日内，按照公告文件和中选受让单位的竞价文件订立书面合同。</w:t>
      </w:r>
    </w:p>
    <w:p>
      <w:pPr>
        <w:pStyle w:val="2"/>
        <w:spacing w:before="0" w:beforeLines="0" w:after="0" w:afterLines="0"/>
        <w:rPr>
          <w:rFonts w:hint="default" w:ascii="Times New Roman" w:hAnsi="Times New Roman" w:eastAsia="仿宋_GB2312" w:cs="Times New Roman"/>
          <w:color w:val="auto"/>
        </w:rPr>
      </w:pPr>
      <w:bookmarkStart w:id="17" w:name="_Toc18110"/>
      <w:r>
        <w:rPr>
          <w:rFonts w:hint="default" w:ascii="Times New Roman" w:hAnsi="Times New Roman" w:eastAsia="仿宋_GB2312" w:cs="Times New Roman"/>
          <w:color w:val="auto"/>
        </w:rPr>
        <w:t>交易结构</w:t>
      </w:r>
      <w:bookmarkEnd w:id="17"/>
    </w:p>
    <w:p>
      <w:pPr>
        <w:pStyle w:val="3"/>
        <w:spacing w:before="0" w:beforeLines="0"/>
        <w:rPr>
          <w:rFonts w:hint="default" w:ascii="Times New Roman" w:hAnsi="Times New Roman" w:eastAsia="仿宋_GB2312" w:cs="Times New Roman"/>
          <w:color w:val="auto"/>
        </w:rPr>
      </w:pPr>
      <w:bookmarkStart w:id="18" w:name="_Toc1554"/>
      <w:r>
        <w:rPr>
          <w:rFonts w:hint="default" w:ascii="Times New Roman" w:hAnsi="Times New Roman" w:eastAsia="仿宋_GB2312" w:cs="Times New Roman"/>
          <w:color w:val="auto"/>
          <w:lang w:val="en-US" w:eastAsia="zh-CN"/>
        </w:rPr>
        <w:t xml:space="preserve"> </w:t>
      </w:r>
      <w:bookmarkStart w:id="19" w:name="_Toc7079"/>
      <w:r>
        <w:rPr>
          <w:rFonts w:hint="default" w:ascii="Times New Roman" w:hAnsi="Times New Roman" w:eastAsia="仿宋_GB2312" w:cs="Times New Roman"/>
          <w:color w:val="auto"/>
        </w:rPr>
        <w:t>项目投资与建设</w:t>
      </w:r>
      <w:bookmarkEnd w:id="18"/>
      <w:bookmarkEnd w:id="19"/>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3.1.1 项目法人</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受让单位有权对约定的</w:t>
      </w:r>
      <w:r>
        <w:rPr>
          <w:rFonts w:hint="default" w:ascii="Times New Roman" w:hAnsi="Times New Roman" w:eastAsia="仿宋_GB2312" w:cs="Times New Roman"/>
          <w:color w:val="auto"/>
          <w:lang w:val="en-US" w:eastAsia="zh-CN"/>
        </w:rPr>
        <w:t>路灯及附属设施</w:t>
      </w:r>
      <w:r>
        <w:rPr>
          <w:rFonts w:hint="default" w:ascii="Times New Roman" w:hAnsi="Times New Roman" w:eastAsia="仿宋_GB2312" w:cs="Times New Roman"/>
          <w:color w:val="auto"/>
        </w:rPr>
        <w:t>进行改造和装修。这一权利允许受让单位根据市场需求和实际情况，对</w:t>
      </w:r>
      <w:r>
        <w:rPr>
          <w:rFonts w:hint="default" w:ascii="Times New Roman" w:hAnsi="Times New Roman" w:eastAsia="仿宋_GB2312" w:cs="Times New Roman"/>
          <w:color w:val="auto"/>
          <w:lang w:val="en-US" w:eastAsia="zh-CN"/>
        </w:rPr>
        <w:t>路灯</w:t>
      </w:r>
      <w:r>
        <w:rPr>
          <w:rFonts w:hint="default" w:ascii="Times New Roman" w:hAnsi="Times New Roman" w:eastAsia="仿宋_GB2312" w:cs="Times New Roman"/>
          <w:color w:val="auto"/>
        </w:rPr>
        <w:t>设施的功能进行调整和优化。受让单位可以添置</w:t>
      </w:r>
      <w:r>
        <w:rPr>
          <w:rFonts w:hint="default" w:ascii="Times New Roman" w:hAnsi="Times New Roman" w:eastAsia="仿宋_GB2312" w:cs="Times New Roman"/>
          <w:color w:val="auto"/>
          <w:lang w:val="en-US" w:eastAsia="zh-CN"/>
        </w:rPr>
        <w:t>光伏、储能</w:t>
      </w:r>
      <w:r>
        <w:rPr>
          <w:rFonts w:hint="default" w:ascii="Times New Roman" w:hAnsi="Times New Roman" w:eastAsia="仿宋_GB2312" w:cs="Times New Roman"/>
          <w:color w:val="auto"/>
        </w:rPr>
        <w:t>、充电桩等相应的服务设施和设备，以提升</w:t>
      </w:r>
      <w:r>
        <w:rPr>
          <w:rFonts w:hint="default" w:ascii="Times New Roman" w:hAnsi="Times New Roman" w:eastAsia="仿宋_GB2312" w:cs="Times New Roman"/>
          <w:color w:val="auto"/>
          <w:lang w:val="en-US" w:eastAsia="zh-CN"/>
        </w:rPr>
        <w:t>路灯</w:t>
      </w:r>
      <w:r>
        <w:rPr>
          <w:rFonts w:hint="default" w:ascii="Times New Roman" w:hAnsi="Times New Roman" w:eastAsia="仿宋_GB2312" w:cs="Times New Roman"/>
          <w:color w:val="auto"/>
        </w:rPr>
        <w:t>设施的服务水平和竞争力，这些设施和设备应满足相关法律法规的要求，确保使用安全。此外，经营权受让单位应按照现行的企业投资管理的有关规定履行核准或备案手续，履行项目投资主体责任，同时受让单位可就本项目成立特殊目的公司（项目公司），并按照法律法规自行负责项目设计、监理、施工承包单位的遴选等工作。</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3.1.2 项目建设验收标准</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须同时满足</w:t>
      </w:r>
      <w:r>
        <w:rPr>
          <w:rFonts w:hint="default" w:ascii="Times New Roman" w:hAnsi="Times New Roman" w:eastAsia="仿宋_GB2312" w:cs="Times New Roman"/>
          <w:color w:val="auto"/>
          <w:lang w:val="en-US" w:eastAsia="zh-CN"/>
        </w:rPr>
        <w:t>《供配电系统设计规范》（GB50052）、《20kV及以下变电所设计规范》（GB50053）、《电动汽车充电基础设施建设技术规程》（DBJ/T15—150）、《建筑物防雷设计规范》（GB50057）</w:t>
      </w:r>
      <w:r>
        <w:rPr>
          <w:rFonts w:hint="eastAsia" w:cs="Times New Roman"/>
          <w:color w:val="auto"/>
          <w:lang w:val="en-US" w:eastAsia="zh-CN"/>
        </w:rPr>
        <w:t>、《湖南省多功能灯杆技术标准》DBJ43/T013-2020</w:t>
      </w:r>
      <w:r>
        <w:rPr>
          <w:rFonts w:hint="default" w:ascii="Times New Roman" w:hAnsi="Times New Roman" w:eastAsia="仿宋_GB2312" w:cs="Times New Roman"/>
          <w:color w:val="auto"/>
        </w:rPr>
        <w:t>等，并做到一次性验收合格。</w:t>
      </w:r>
    </w:p>
    <w:p>
      <w:pPr>
        <w:pStyle w:val="3"/>
        <w:spacing w:before="0" w:beforeLines="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 xml:space="preserve"> </w:t>
      </w:r>
      <w:bookmarkStart w:id="20" w:name="_Toc17097"/>
      <w:r>
        <w:rPr>
          <w:rFonts w:hint="default" w:ascii="Times New Roman" w:hAnsi="Times New Roman" w:eastAsia="仿宋_GB2312" w:cs="Times New Roman"/>
          <w:color w:val="auto"/>
        </w:rPr>
        <w:t>项目运营</w:t>
      </w:r>
      <w:bookmarkEnd w:id="20"/>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3.2.1 运营内容</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经营权受让单位可自行或委托给有资质的企业、社会组织进行运营，</w:t>
      </w:r>
      <w:r>
        <w:rPr>
          <w:rFonts w:hint="default" w:ascii="Times New Roman" w:hAnsi="Times New Roman" w:eastAsia="仿宋_GB2312" w:cs="Times New Roman"/>
          <w:color w:val="auto"/>
          <w:lang w:val="en-US" w:eastAsia="zh-CN"/>
        </w:rPr>
        <w:t>所有经营活动应在保障路灯功能的基础上，合理地运用空间开展并符合安全标准，</w:t>
      </w:r>
      <w:r>
        <w:rPr>
          <w:rFonts w:hint="default" w:ascii="Times New Roman" w:hAnsi="Times New Roman" w:eastAsia="仿宋_GB2312" w:cs="Times New Roman"/>
          <w:color w:val="auto"/>
        </w:rPr>
        <w:t>具体运营内容包括</w:t>
      </w:r>
      <w:r>
        <w:rPr>
          <w:rFonts w:hint="default" w:ascii="Times New Roman" w:hAnsi="Times New Roman" w:eastAsia="仿宋_GB2312" w:cs="Times New Roman"/>
          <w:color w:val="auto"/>
          <w:lang w:eastAsia="zh-CN"/>
        </w:rPr>
        <w:t>：</w:t>
      </w:r>
      <w:r>
        <w:rPr>
          <w:rFonts w:hint="eastAsia" w:cs="Times New Roman"/>
          <w:color w:val="auto"/>
          <w:lang w:val="en-US" w:eastAsia="zh-CN"/>
        </w:rPr>
        <w:t>范围</w:t>
      </w:r>
      <w:r>
        <w:rPr>
          <w:rFonts w:hint="default" w:ascii="Times New Roman" w:hAnsi="Times New Roman" w:eastAsia="仿宋_GB2312" w:cs="Times New Roman"/>
          <w:color w:val="auto"/>
          <w:lang w:eastAsia="zh-CN"/>
        </w:rPr>
        <w:t>内路灯广告、路灯充电</w:t>
      </w:r>
      <w:r>
        <w:rPr>
          <w:rFonts w:hint="eastAsia" w:cs="Times New Roman"/>
          <w:color w:val="auto"/>
          <w:lang w:eastAsia="zh-CN"/>
        </w:rPr>
        <w:t>、</w:t>
      </w:r>
      <w:r>
        <w:rPr>
          <w:rFonts w:hint="eastAsia" w:cs="Times New Roman"/>
          <w:color w:val="auto"/>
          <w:lang w:val="en-US" w:eastAsia="zh-CN"/>
        </w:rPr>
        <w:t>储能</w:t>
      </w:r>
      <w:r>
        <w:rPr>
          <w:rFonts w:hint="default" w:ascii="Times New Roman" w:hAnsi="Times New Roman" w:eastAsia="仿宋_GB2312" w:cs="Times New Roman"/>
          <w:color w:val="auto"/>
          <w:lang w:eastAsia="zh-CN"/>
        </w:rPr>
        <w:t>及基于路灯（</w:t>
      </w:r>
      <w:r>
        <w:rPr>
          <w:rFonts w:hint="default" w:ascii="Times New Roman" w:hAnsi="Times New Roman" w:eastAsia="仿宋_GB2312" w:cs="Times New Roman"/>
          <w:color w:val="auto"/>
          <w:lang w:val="en-US" w:eastAsia="zh-CN"/>
        </w:rPr>
        <w:t>杆</w:t>
      </w:r>
      <w:r>
        <w:rPr>
          <w:rFonts w:hint="default" w:ascii="Times New Roman" w:hAnsi="Times New Roman" w:eastAsia="仿宋_GB2312" w:cs="Times New Roman"/>
          <w:color w:val="auto"/>
          <w:lang w:eastAsia="zh-CN"/>
        </w:rPr>
        <w:t>）构建的“路灯+”综合经营服务。通过对株洲市路灯及设施改造，将路灯打造成路边供杆、能源、网络及数据服务的载体，实路灯(杆)现智慧路灯多功能杆+的资产归属的多场景应用，远景结合低空经济、5G、光充储能、北斗产业发展。</w:t>
      </w:r>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3.2.2 运营期内的环境保护</w:t>
      </w:r>
    </w:p>
    <w:p>
      <w:p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rPr>
        <w:t>1、受让单位不应在项目的运营过程中造成环境污染。</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2、受让单位应当执行适用法律规定、政府及相关部门的规定或要求，公布相应的环保信息。</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3、受让单位在项目的运营期间应根据经营权出让协议技术要求及国家的有关规定，采取一切合理措施来避免或尽量减少对项目周围设施、建筑物和居民区的干扰。</w:t>
      </w:r>
    </w:p>
    <w:p>
      <w:pPr>
        <w:pStyle w:val="3"/>
        <w:spacing w:before="0" w:beforeLines="0"/>
        <w:rPr>
          <w:rFonts w:hint="default" w:ascii="Times New Roman" w:hAnsi="Times New Roman" w:eastAsia="仿宋_GB2312" w:cs="Times New Roman"/>
          <w:color w:val="auto"/>
        </w:rPr>
      </w:pPr>
      <w:bookmarkStart w:id="21" w:name="_Toc32070"/>
      <w:r>
        <w:rPr>
          <w:rFonts w:hint="default" w:ascii="Times New Roman" w:hAnsi="Times New Roman" w:eastAsia="仿宋_GB2312" w:cs="Times New Roman"/>
          <w:color w:val="auto"/>
          <w:lang w:val="en-US" w:eastAsia="zh-CN"/>
        </w:rPr>
        <w:t xml:space="preserve"> </w:t>
      </w:r>
      <w:bookmarkStart w:id="22" w:name="_Toc11392"/>
      <w:r>
        <w:rPr>
          <w:rFonts w:hint="default" w:ascii="Times New Roman" w:hAnsi="Times New Roman" w:eastAsia="仿宋_GB2312" w:cs="Times New Roman"/>
          <w:color w:val="auto"/>
        </w:rPr>
        <w:t>项目投融资与财务方案</w:t>
      </w:r>
      <w:bookmarkEnd w:id="21"/>
      <w:bookmarkEnd w:id="22"/>
    </w:p>
    <w:p>
      <w:pPr>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3.3.1 主要参数</w:t>
      </w:r>
    </w:p>
    <w:p>
      <w:pPr>
        <w:outlineLvl w:val="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1、</w:t>
      </w:r>
      <w:r>
        <w:rPr>
          <w:rFonts w:hint="default" w:ascii="Times New Roman" w:hAnsi="Times New Roman" w:eastAsia="仿宋_GB2312" w:cs="Times New Roman"/>
          <w:color w:val="auto"/>
          <w:lang w:val="en-US" w:eastAsia="zh-CN"/>
        </w:rPr>
        <w:t>分析主要依据包括《建设项目经济评价方法与参数（第三版）》及国家现行有关的财税制度。</w:t>
      </w:r>
    </w:p>
    <w:p>
      <w:pPr>
        <w:outlineLvl w:val="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2、财务评价计算期为30年，其中建设期2年，运营期28年。</w:t>
      </w:r>
    </w:p>
    <w:p>
      <w:pPr>
        <w:outlineLvl w:val="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3、固定资产（建筑和设备）折旧采用平均年限法，折旧年限为</w:t>
      </w:r>
      <w:r>
        <w:rPr>
          <w:rFonts w:hint="eastAsia" w:cs="Times New Roman"/>
          <w:color w:val="auto"/>
          <w:lang w:val="en-US" w:eastAsia="zh-CN"/>
        </w:rPr>
        <w:t>28</w:t>
      </w:r>
      <w:r>
        <w:rPr>
          <w:rFonts w:hint="default" w:ascii="Times New Roman" w:hAnsi="Times New Roman" w:eastAsia="仿宋_GB2312" w:cs="Times New Roman"/>
          <w:color w:val="auto"/>
          <w:lang w:val="en-US" w:eastAsia="zh-CN"/>
        </w:rPr>
        <w:t>年；无形资产摊销年限28年。</w:t>
      </w:r>
    </w:p>
    <w:p>
      <w:pPr>
        <w:outlineLvl w:val="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4、所得税前财务基准收益率为7%，所得税后财务基准收益率为6%。</w:t>
      </w:r>
    </w:p>
    <w:p>
      <w:pPr>
        <w:outlineLvl w:val="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5、银行贷款利率按照4.30%计算，贷款年限15年，其中宽限期2年（建设期）、还款期1</w:t>
      </w:r>
      <w:r>
        <w:rPr>
          <w:rFonts w:hint="eastAsia" w:cs="Times New Roman"/>
          <w:color w:val="auto"/>
          <w:lang w:val="en-US" w:eastAsia="zh-CN"/>
        </w:rPr>
        <w:t>3</w:t>
      </w:r>
      <w:r>
        <w:rPr>
          <w:rFonts w:hint="default" w:ascii="Times New Roman" w:hAnsi="Times New Roman" w:eastAsia="仿宋_GB2312" w:cs="Times New Roman"/>
          <w:color w:val="auto"/>
          <w:lang w:val="en-US" w:eastAsia="zh-CN"/>
        </w:rPr>
        <w:t>年。</w:t>
      </w:r>
    </w:p>
    <w:p>
      <w:p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6、营业收入和总成本估算均为含税价</w:t>
      </w:r>
      <w:r>
        <w:rPr>
          <w:rFonts w:hint="default" w:ascii="Times New Roman" w:hAnsi="Times New Roman" w:eastAsia="仿宋_GB2312" w:cs="Times New Roman"/>
          <w:color w:val="auto"/>
        </w:rPr>
        <w:t>。</w:t>
      </w:r>
    </w:p>
    <w:p>
      <w:pPr>
        <w:outlineLvl w:val="2"/>
        <w:rPr>
          <w:rFonts w:hint="default" w:ascii="Times New Roman" w:hAnsi="Times New Roman" w:eastAsia="仿宋_GB2312" w:cs="Times New Roman"/>
          <w:b/>
          <w:bCs/>
          <w:color w:val="auto"/>
          <w:sz w:val="32"/>
          <w:szCs w:val="32"/>
          <w:lang w:val="en-US" w:eastAsia="zh-CN"/>
        </w:rPr>
      </w:pPr>
      <w:bookmarkStart w:id="23" w:name="_Toc4833"/>
      <w:bookmarkStart w:id="24" w:name="_Toc23989"/>
      <w:r>
        <w:rPr>
          <w:rFonts w:hint="default" w:ascii="Times New Roman" w:hAnsi="Times New Roman" w:eastAsia="仿宋_GB2312" w:cs="Times New Roman"/>
          <w:b/>
          <w:bCs/>
          <w:color w:val="auto"/>
          <w:sz w:val="32"/>
          <w:szCs w:val="32"/>
          <w:lang w:val="en-US" w:eastAsia="zh-CN"/>
        </w:rPr>
        <w:t>3.3.2 建设投资估算</w:t>
      </w:r>
      <w:bookmarkEnd w:id="23"/>
      <w:bookmarkEnd w:id="24"/>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1、投资估算编制依据</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（1）《建设工程工程量清单计价规范》（GB 50500—2013）。</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（2）《湖南省建设工程计价办法》（湘建价〔2020〕56号）。</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（3）《湖南省安装工程消耗量标准》（2020年版）。</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（4）其他有关的规定、定额及文件。</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2、编制方法</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（1）设备购置：设备原价按现行市场价格计算，由各相关专业提供，不足部分根据近期类似工程报价或合同价格进行估价。</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（2）安装工程：根据设备购置费及设备安装类似工程决算，以指标形式计入。</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（3）材料价格均以当地最新建筑材料价格编制，并考虑保管、运输、施工等综合因素计取。</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3、其他费用说明</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（1）建设单位管理费按“财建〔201</w:t>
      </w:r>
      <w:r>
        <w:rPr>
          <w:rFonts w:hint="eastAsia" w:cs="Times New Roman"/>
          <w:color w:val="auto"/>
          <w:lang w:val="en-US" w:eastAsia="zh-CN"/>
        </w:rPr>
        <w:t>6</w:t>
      </w:r>
      <w:r>
        <w:rPr>
          <w:rFonts w:hint="default" w:ascii="Times New Roman" w:hAnsi="Times New Roman" w:eastAsia="仿宋_GB2312" w:cs="Times New Roman"/>
          <w:color w:val="auto"/>
          <w:lang w:val="en-US" w:eastAsia="zh-CN"/>
        </w:rPr>
        <w:t>〕504号文”费率标准计算。</w:t>
      </w:r>
    </w:p>
    <w:p>
      <w:pPr>
        <w:rPr>
          <w:rFonts w:hint="eastAsia" w:cs="Times New Roman"/>
          <w:color w:val="auto"/>
          <w:lang w:val="en-US" w:eastAsia="zh-CN"/>
        </w:rPr>
      </w:pPr>
      <w:r>
        <w:rPr>
          <w:rFonts w:hint="default" w:ascii="Times New Roman" w:hAnsi="Times New Roman" w:eastAsia="仿宋_GB2312" w:cs="Times New Roman"/>
          <w:color w:val="auto"/>
          <w:lang w:val="en-US" w:eastAsia="zh-CN"/>
        </w:rPr>
        <w:t>（2）前期工作费用按“湘建建〔2024〕19号文”</w:t>
      </w:r>
      <w:r>
        <w:rPr>
          <w:rFonts w:hint="eastAsia" w:cs="Times New Roman"/>
          <w:color w:val="auto"/>
          <w:lang w:val="en-US" w:eastAsia="zh-CN"/>
        </w:rPr>
        <w:t>费率标准计算。</w:t>
      </w:r>
    </w:p>
    <w:p>
      <w:pPr>
        <w:rPr>
          <w:rFonts w:hint="default" w:ascii="Times New Roman" w:hAnsi="Times New Roman" w:eastAsia="仿宋_GB2312" w:cs="Times New Roman"/>
          <w:color w:val="auto"/>
          <w:lang w:val="en-US" w:eastAsia="zh-CN"/>
        </w:rPr>
      </w:pPr>
      <w:r>
        <w:rPr>
          <w:rFonts w:hint="eastAsia" w:cs="Times New Roman"/>
          <w:color w:val="auto"/>
          <w:lang w:val="en-US" w:eastAsia="zh-CN"/>
        </w:rPr>
        <w:t>（3）工程勘察费按“建标〔2007〕164号文”费率标准计算</w:t>
      </w:r>
      <w:r>
        <w:rPr>
          <w:rFonts w:hint="default" w:ascii="Times New Roman" w:hAnsi="Times New Roman" w:eastAsia="仿宋_GB2312" w:cs="Times New Roman"/>
          <w:color w:val="auto"/>
          <w:lang w:val="en-US" w:eastAsia="zh-CN"/>
        </w:rPr>
        <w:t>。</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4</w:t>
      </w:r>
      <w:r>
        <w:rPr>
          <w:rFonts w:hint="default" w:ascii="Times New Roman" w:hAnsi="Times New Roman" w:eastAsia="仿宋_GB2312" w:cs="Times New Roman"/>
          <w:color w:val="auto"/>
          <w:lang w:val="en-US" w:eastAsia="zh-CN"/>
        </w:rPr>
        <w:t>）工程设计费按“计价〔2002〕10号文”费率标准计算。</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5</w:t>
      </w:r>
      <w:r>
        <w:rPr>
          <w:rFonts w:hint="default" w:ascii="Times New Roman" w:hAnsi="Times New Roman" w:eastAsia="仿宋_GB2312" w:cs="Times New Roman"/>
          <w:color w:val="auto"/>
          <w:lang w:val="en-US" w:eastAsia="zh-CN"/>
        </w:rPr>
        <w:t>）工程造价咨询费按“湘价服〔2009〕81号文”标准计算。</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6</w:t>
      </w:r>
      <w:r>
        <w:rPr>
          <w:rFonts w:hint="default" w:ascii="Times New Roman" w:hAnsi="Times New Roman" w:eastAsia="仿宋_GB2312" w:cs="Times New Roman"/>
          <w:color w:val="auto"/>
          <w:lang w:val="en-US" w:eastAsia="zh-CN"/>
        </w:rPr>
        <w:t>）招标代理服务费按“计价格〔2002〕1980号文”费率标准计算。</w:t>
      </w:r>
    </w:p>
    <w:p>
      <w:pPr>
        <w:rPr>
          <w:rFonts w:hint="eastAsia" w:cs="Times New Roman"/>
          <w:color w:val="auto"/>
          <w:lang w:val="en-US" w:eastAsia="zh-CN"/>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7</w:t>
      </w:r>
      <w:r>
        <w:rPr>
          <w:rFonts w:hint="default" w:ascii="Times New Roman" w:hAnsi="Times New Roman" w:eastAsia="仿宋_GB2312" w:cs="Times New Roman"/>
          <w:color w:val="auto"/>
          <w:lang w:val="en-US" w:eastAsia="zh-CN"/>
        </w:rPr>
        <w:t>）工程监理费按“</w:t>
      </w:r>
      <w:r>
        <w:rPr>
          <w:rFonts w:hint="default" w:ascii="Times New Roman" w:hAnsi="Times New Roman" w:eastAsia="仿宋_GB2312" w:cs="Times New Roman"/>
          <w:b w:val="0"/>
          <w:bCs w:val="0"/>
          <w:color w:val="auto"/>
          <w:lang w:val="en-US" w:eastAsia="zh-CN"/>
        </w:rPr>
        <w:t>湘价服〔2007〕76号文</w:t>
      </w:r>
      <w:r>
        <w:rPr>
          <w:rFonts w:hint="default" w:ascii="Times New Roman" w:hAnsi="Times New Roman" w:eastAsia="仿宋_GB2312" w:cs="Times New Roman"/>
          <w:color w:val="auto"/>
          <w:lang w:val="en-US" w:eastAsia="zh-CN"/>
        </w:rPr>
        <w:t>”费率标准计算</w:t>
      </w:r>
      <w:r>
        <w:rPr>
          <w:rFonts w:hint="eastAsia" w:cs="Times New Roman"/>
          <w:color w:val="auto"/>
          <w:lang w:val="en-US" w:eastAsia="zh-CN"/>
        </w:rPr>
        <w:t>。</w:t>
      </w:r>
    </w:p>
    <w:p>
      <w:pPr>
        <w:rPr>
          <w:rFonts w:hint="eastAsia" w:cs="Times New Roman"/>
          <w:color w:val="auto"/>
          <w:lang w:val="en-US" w:eastAsia="zh-CN"/>
        </w:rPr>
      </w:pPr>
      <w:r>
        <w:rPr>
          <w:rFonts w:hint="eastAsia" w:cs="Times New Roman"/>
          <w:color w:val="auto"/>
          <w:lang w:val="en-US" w:eastAsia="zh-CN"/>
        </w:rPr>
        <w:t>（8）工程保险费按“建标〔2007〕164号”费率标准计算。</w:t>
      </w:r>
    </w:p>
    <w:p>
      <w:pPr>
        <w:rPr>
          <w:rFonts w:hint="eastAsia" w:cs="Times New Roman"/>
          <w:color w:val="auto"/>
          <w:lang w:val="en-US" w:eastAsia="zh-CN"/>
        </w:rPr>
      </w:pPr>
      <w:r>
        <w:rPr>
          <w:rFonts w:hint="eastAsia" w:cs="Times New Roman"/>
          <w:color w:val="auto"/>
          <w:lang w:val="en-US" w:eastAsia="zh-CN"/>
        </w:rPr>
        <w:t>（9）环境影响评价费按“计价格〔2002〕125号”费率标准计算。</w:t>
      </w:r>
    </w:p>
    <w:p>
      <w:pPr>
        <w:rPr>
          <w:rFonts w:hint="eastAsia" w:cs="Times New Roman"/>
          <w:color w:val="auto"/>
          <w:lang w:val="en-US" w:eastAsia="zh-CN"/>
        </w:rPr>
      </w:pPr>
      <w:r>
        <w:rPr>
          <w:rFonts w:hint="eastAsia" w:cs="Times New Roman"/>
          <w:color w:val="auto"/>
          <w:lang w:val="en-US" w:eastAsia="zh-CN"/>
        </w:rPr>
        <w:t>（10）场地准备及临时设施费按“建标〔2011〕1号文”费率标准计算。</w:t>
      </w:r>
    </w:p>
    <w:p>
      <w:pPr>
        <w:rPr>
          <w:rFonts w:hint="default" w:ascii="Times New Roman" w:hAnsi="Times New Roman" w:eastAsia="仿宋_GB2312" w:cs="Times New Roman"/>
          <w:color w:val="auto"/>
          <w:lang w:val="en-US" w:eastAsia="zh-CN"/>
        </w:rPr>
      </w:pPr>
      <w:r>
        <w:rPr>
          <w:rFonts w:hint="eastAsia" w:cs="Times New Roman"/>
          <w:color w:val="auto"/>
          <w:lang w:val="en-US" w:eastAsia="zh-CN"/>
        </w:rPr>
        <w:t>（11）公共资源交易服务收费按“湘价服〔2014〕33号文”费率标准计算</w:t>
      </w:r>
      <w:r>
        <w:rPr>
          <w:rFonts w:hint="default" w:ascii="Times New Roman" w:hAnsi="Times New Roman" w:eastAsia="仿宋_GB2312" w:cs="Times New Roman"/>
          <w:color w:val="auto"/>
          <w:lang w:val="en-US" w:eastAsia="zh-CN"/>
        </w:rPr>
        <w:t>。</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12</w:t>
      </w:r>
      <w:r>
        <w:rPr>
          <w:rFonts w:hint="default" w:ascii="Times New Roman" w:hAnsi="Times New Roman" w:eastAsia="仿宋_GB2312" w:cs="Times New Roman"/>
          <w:color w:val="auto"/>
          <w:lang w:val="en-US" w:eastAsia="zh-CN"/>
        </w:rPr>
        <w:t>）预备费包括基本预备费和涨价预备费，基本预备费按工程费用、工程建设其他费用之和的5%估算。</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lang w:val="en-US" w:eastAsia="zh-CN"/>
        </w:rPr>
        <w:t>（</w:t>
      </w:r>
      <w:r>
        <w:rPr>
          <w:rFonts w:hint="eastAsia" w:cs="Times New Roman"/>
          <w:color w:val="auto"/>
          <w:lang w:val="en-US" w:eastAsia="zh-CN"/>
        </w:rPr>
        <w:t>13</w:t>
      </w:r>
      <w:r>
        <w:rPr>
          <w:rFonts w:hint="default" w:ascii="Times New Roman" w:hAnsi="Times New Roman" w:eastAsia="仿宋_GB2312" w:cs="Times New Roman"/>
          <w:color w:val="auto"/>
          <w:lang w:val="en-US" w:eastAsia="zh-CN"/>
        </w:rPr>
        <w:t>）建设期银行贷款利率按照4.30%计算</w:t>
      </w:r>
      <w:r>
        <w:rPr>
          <w:rFonts w:hint="default" w:ascii="Times New Roman" w:hAnsi="Times New Roman" w:eastAsia="仿宋_GB2312" w:cs="Times New Roman"/>
          <w:color w:val="auto"/>
        </w:rPr>
        <w:t>。</w:t>
      </w:r>
    </w:p>
    <w:p>
      <w:pPr>
        <w:outlineLvl w:val="9"/>
        <w:rPr>
          <w:rFonts w:hint="default" w:ascii="Times New Roman" w:hAnsi="Times New Roman" w:eastAsia="仿宋_GB2312" w:cs="Times New Roman"/>
          <w:color w:val="auto"/>
          <w:lang w:val="en-US" w:eastAsia="zh-CN"/>
        </w:rPr>
      </w:pPr>
      <w:bookmarkStart w:id="25" w:name="_Toc1218"/>
      <w:bookmarkStart w:id="26" w:name="_Toc45178322"/>
      <w:bookmarkStart w:id="27" w:name="_Toc46152198"/>
      <w:bookmarkStart w:id="28" w:name="_Toc16229"/>
      <w:bookmarkStart w:id="29" w:name="_Toc23445"/>
      <w:r>
        <w:rPr>
          <w:rFonts w:hint="default" w:ascii="Times New Roman" w:hAnsi="Times New Roman" w:eastAsia="仿宋_GB2312" w:cs="Times New Roman"/>
          <w:color w:val="auto"/>
          <w:lang w:val="en-US" w:eastAsia="zh-CN"/>
        </w:rPr>
        <w:t>4、估算结果</w:t>
      </w:r>
      <w:bookmarkEnd w:id="25"/>
      <w:bookmarkEnd w:id="26"/>
      <w:bookmarkEnd w:id="27"/>
      <w:bookmarkEnd w:id="28"/>
      <w:bookmarkEnd w:id="29"/>
    </w:p>
    <w:p>
      <w:pPr>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rPr>
        <w:t>项目估算总投资</w:t>
      </w:r>
      <w:r>
        <w:rPr>
          <w:rFonts w:hint="eastAsia" w:cs="Times New Roman"/>
          <w:color w:val="auto"/>
          <w:lang w:val="en-US" w:eastAsia="zh-CN"/>
        </w:rPr>
        <w:t>20378.95</w:t>
      </w:r>
      <w:r>
        <w:rPr>
          <w:rFonts w:hint="default" w:ascii="Times New Roman" w:hAnsi="Times New Roman" w:eastAsia="仿宋_GB2312" w:cs="Times New Roman"/>
          <w:color w:val="auto"/>
        </w:rPr>
        <w:t>万元，其中工程费用</w:t>
      </w:r>
      <w:r>
        <w:rPr>
          <w:rFonts w:hint="eastAsia" w:cs="Times New Roman"/>
          <w:color w:val="auto"/>
          <w:lang w:val="en-US" w:eastAsia="zh-CN"/>
        </w:rPr>
        <w:t>17469.67</w:t>
      </w:r>
      <w:r>
        <w:rPr>
          <w:rFonts w:hint="default" w:ascii="Times New Roman" w:hAnsi="Times New Roman" w:eastAsia="仿宋_GB2312" w:cs="Times New Roman"/>
          <w:color w:val="auto"/>
        </w:rPr>
        <w:t>万元，占总投资的</w:t>
      </w:r>
      <w:r>
        <w:rPr>
          <w:rFonts w:hint="default" w:ascii="Times New Roman" w:hAnsi="Times New Roman" w:eastAsia="仿宋_GB2312" w:cs="Times New Roman"/>
          <w:color w:val="auto"/>
          <w:lang w:val="en-US" w:eastAsia="zh-CN"/>
        </w:rPr>
        <w:t>85.</w:t>
      </w:r>
      <w:r>
        <w:rPr>
          <w:rFonts w:hint="eastAsia" w:cs="Times New Roman"/>
          <w:color w:val="auto"/>
          <w:lang w:val="en-US" w:eastAsia="zh-CN"/>
        </w:rPr>
        <w:t>72</w:t>
      </w:r>
      <w:r>
        <w:rPr>
          <w:rFonts w:hint="default" w:ascii="Times New Roman" w:hAnsi="Times New Roman" w:eastAsia="仿宋_GB2312" w:cs="Times New Roman"/>
          <w:color w:val="auto"/>
        </w:rPr>
        <w:t>%，工程建设其他费用</w:t>
      </w:r>
      <w:r>
        <w:rPr>
          <w:rFonts w:hint="eastAsia" w:cs="Times New Roman"/>
          <w:color w:val="auto"/>
          <w:lang w:val="en-US" w:eastAsia="zh-CN"/>
        </w:rPr>
        <w:t>1357.33</w:t>
      </w:r>
      <w:r>
        <w:rPr>
          <w:rFonts w:hint="default" w:ascii="Times New Roman" w:hAnsi="Times New Roman" w:eastAsia="仿宋_GB2312" w:cs="Times New Roman"/>
          <w:color w:val="auto"/>
        </w:rPr>
        <w:t>万元，占总投资的</w:t>
      </w:r>
      <w:r>
        <w:rPr>
          <w:rFonts w:hint="eastAsia" w:cs="Times New Roman"/>
          <w:color w:val="auto"/>
          <w:lang w:val="en-US" w:eastAsia="zh-CN"/>
        </w:rPr>
        <w:t>6.66</w:t>
      </w:r>
      <w:r>
        <w:rPr>
          <w:rFonts w:hint="default" w:ascii="Times New Roman" w:hAnsi="Times New Roman" w:eastAsia="仿宋_GB2312" w:cs="Times New Roman"/>
          <w:color w:val="auto"/>
        </w:rPr>
        <w:t>%，预备费</w:t>
      </w:r>
      <w:r>
        <w:rPr>
          <w:rFonts w:hint="eastAsia" w:cs="Times New Roman"/>
          <w:color w:val="auto"/>
          <w:lang w:val="en-US" w:eastAsia="zh-CN"/>
        </w:rPr>
        <w:t>941.35</w:t>
      </w:r>
      <w:r>
        <w:rPr>
          <w:rFonts w:hint="default" w:ascii="Times New Roman" w:hAnsi="Times New Roman" w:eastAsia="仿宋_GB2312" w:cs="Times New Roman"/>
          <w:color w:val="auto"/>
          <w:lang w:val="en-US" w:eastAsia="zh-CN"/>
        </w:rPr>
        <w:t>万</w:t>
      </w:r>
      <w:r>
        <w:rPr>
          <w:rFonts w:hint="default" w:ascii="Times New Roman" w:hAnsi="Times New Roman" w:eastAsia="仿宋_GB2312" w:cs="Times New Roman"/>
          <w:color w:val="auto"/>
        </w:rPr>
        <w:t>元，占总投资的</w:t>
      </w:r>
      <w:r>
        <w:rPr>
          <w:rFonts w:hint="default" w:ascii="Times New Roman" w:hAnsi="Times New Roman" w:eastAsia="仿宋_GB2312" w:cs="Times New Roman"/>
          <w:color w:val="auto"/>
          <w:lang w:val="en-US" w:eastAsia="zh-CN"/>
        </w:rPr>
        <w:t>4.62</w:t>
      </w:r>
      <w:r>
        <w:rPr>
          <w:rFonts w:hint="default" w:ascii="Times New Roman" w:hAnsi="Times New Roman" w:eastAsia="仿宋_GB2312" w:cs="Times New Roman"/>
          <w:color w:val="auto"/>
        </w:rPr>
        <w:t>%，建设期利息</w:t>
      </w:r>
      <w:r>
        <w:rPr>
          <w:rFonts w:hint="eastAsia" w:cs="Times New Roman"/>
          <w:color w:val="auto"/>
          <w:lang w:val="en-US" w:eastAsia="zh-CN"/>
        </w:rPr>
        <w:t>610.6</w:t>
      </w:r>
      <w:r>
        <w:rPr>
          <w:rFonts w:hint="default" w:ascii="Times New Roman" w:hAnsi="Times New Roman" w:eastAsia="仿宋_GB2312" w:cs="Times New Roman"/>
          <w:color w:val="auto"/>
          <w:lang w:val="en-US" w:eastAsia="zh-CN"/>
        </w:rPr>
        <w:t>0</w:t>
      </w:r>
      <w:r>
        <w:rPr>
          <w:rFonts w:hint="default" w:ascii="Times New Roman" w:hAnsi="Times New Roman" w:eastAsia="仿宋_GB2312" w:cs="Times New Roman"/>
          <w:color w:val="auto"/>
        </w:rPr>
        <w:t>万元，占总投资</w:t>
      </w:r>
      <w:r>
        <w:rPr>
          <w:rFonts w:hint="eastAsia" w:cs="Times New Roman"/>
          <w:color w:val="auto"/>
          <w:lang w:val="en-US" w:eastAsia="zh-CN"/>
        </w:rPr>
        <w:t>3.00</w:t>
      </w:r>
      <w:r>
        <w:rPr>
          <w:rFonts w:hint="default" w:ascii="Times New Roman" w:hAnsi="Times New Roman" w:eastAsia="仿宋_GB2312" w:cs="Times New Roman"/>
          <w:color w:val="auto"/>
        </w:rPr>
        <w:t>%</w:t>
      </w:r>
      <w:r>
        <w:rPr>
          <w:rFonts w:hint="eastAsia" w:cs="Times New Roman"/>
          <w:color w:val="auto"/>
          <w:lang w:eastAsia="zh-CN"/>
        </w:rPr>
        <w:t>。</w:t>
      </w:r>
    </w:p>
    <w:p>
      <w:pPr>
        <w:ind w:left="0" w:leftChars="0" w:firstLine="0" w:firstLineChars="0"/>
        <w:jc w:val="center"/>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图表3-</w:t>
      </w:r>
      <w:r>
        <w:rPr>
          <w:rFonts w:hint="default" w:ascii="Times New Roman" w:hAnsi="Times New Roman" w:eastAsia="仿宋_GB2312" w:cs="Times New Roman"/>
          <w:b/>
          <w:bCs/>
          <w:color w:val="auto"/>
          <w:szCs w:val="28"/>
          <w:lang w:val="en-US" w:eastAsia="zh-CN"/>
        </w:rPr>
        <w:fldChar w:fldCharType="begin"/>
      </w:r>
      <w:r>
        <w:rPr>
          <w:rFonts w:hint="default" w:ascii="Times New Roman" w:hAnsi="Times New Roman" w:eastAsia="仿宋_GB2312" w:cs="Times New Roman"/>
          <w:b/>
          <w:bCs/>
          <w:color w:val="auto"/>
          <w:szCs w:val="28"/>
          <w:lang w:val="en-US" w:eastAsia="zh-CN"/>
        </w:rPr>
        <w:instrText xml:space="preserve"> SEQ 图表 \* ARABIC \s 1 </w:instrText>
      </w:r>
      <w:r>
        <w:rPr>
          <w:rFonts w:hint="default" w:ascii="Times New Roman" w:hAnsi="Times New Roman" w:eastAsia="仿宋_GB2312" w:cs="Times New Roman"/>
          <w:b/>
          <w:bCs/>
          <w:color w:val="auto"/>
          <w:szCs w:val="28"/>
          <w:lang w:val="en-US" w:eastAsia="zh-CN"/>
        </w:rPr>
        <w:fldChar w:fldCharType="separate"/>
      </w:r>
      <w:r>
        <w:rPr>
          <w:rFonts w:hint="default" w:ascii="Times New Roman" w:hAnsi="Times New Roman" w:eastAsia="仿宋_GB2312" w:cs="Times New Roman"/>
          <w:b/>
          <w:bCs/>
          <w:color w:val="auto"/>
          <w:szCs w:val="28"/>
          <w:lang w:val="en-US" w:eastAsia="zh-CN"/>
        </w:rPr>
        <w:t>1</w:t>
      </w:r>
      <w:r>
        <w:rPr>
          <w:rFonts w:hint="default" w:ascii="Times New Roman" w:hAnsi="Times New Roman" w:eastAsia="仿宋_GB2312" w:cs="Times New Roman"/>
          <w:b/>
          <w:bCs/>
          <w:color w:val="auto"/>
          <w:szCs w:val="28"/>
          <w:lang w:val="en-US" w:eastAsia="zh-CN"/>
        </w:rPr>
        <w:fldChar w:fldCharType="end"/>
      </w:r>
      <w:r>
        <w:rPr>
          <w:rFonts w:hint="default" w:ascii="Times New Roman" w:hAnsi="Times New Roman" w:eastAsia="仿宋_GB2312" w:cs="Times New Roman"/>
          <w:b/>
          <w:bCs/>
          <w:color w:val="auto"/>
          <w:szCs w:val="28"/>
          <w:lang w:val="en-US" w:eastAsia="zh-CN"/>
        </w:rPr>
        <w:t xml:space="preserve">  项目总投资构成表</w:t>
      </w:r>
    </w:p>
    <w:tbl>
      <w:tblPr>
        <w:tblStyle w:val="59"/>
        <w:tblW w:w="5000" w:type="pct"/>
        <w:tblInd w:w="0" w:type="dxa"/>
        <w:tblLayout w:type="autofit"/>
        <w:tblCellMar>
          <w:top w:w="0" w:type="dxa"/>
          <w:left w:w="108" w:type="dxa"/>
          <w:bottom w:w="0" w:type="dxa"/>
          <w:right w:w="108" w:type="dxa"/>
        </w:tblCellMar>
      </w:tblPr>
      <w:tblGrid>
        <w:gridCol w:w="893"/>
        <w:gridCol w:w="2580"/>
        <w:gridCol w:w="2580"/>
        <w:gridCol w:w="2441"/>
      </w:tblGrid>
      <w:tr>
        <w:tblPrEx>
          <w:tblCellMar>
            <w:top w:w="0" w:type="dxa"/>
            <w:left w:w="108" w:type="dxa"/>
            <w:bottom w:w="0" w:type="dxa"/>
            <w:right w:w="108" w:type="dxa"/>
          </w:tblCellMar>
        </w:tblPrEx>
        <w:trPr>
          <w:trHeight w:val="397" w:hRule="atLeast"/>
          <w:tblHeader/>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0"/>
                <w:sz w:val="18"/>
                <w:szCs w:val="18"/>
              </w:rPr>
            </w:pPr>
            <w:bookmarkStart w:id="30" w:name="_Toc3412"/>
            <w:bookmarkStart w:id="31" w:name="_Toc10389"/>
            <w:bookmarkStart w:id="32" w:name="_Toc20920"/>
            <w:r>
              <w:rPr>
                <w:rFonts w:hint="default" w:ascii="Times New Roman" w:hAnsi="Times New Roman" w:eastAsia="仿宋_GB2312" w:cs="Times New Roman"/>
                <w:b/>
                <w:bCs/>
                <w:color w:val="auto"/>
                <w:kern w:val="0"/>
                <w:sz w:val="18"/>
                <w:szCs w:val="18"/>
              </w:rPr>
              <w:t>序号</w:t>
            </w:r>
          </w:p>
        </w:tc>
        <w:tc>
          <w:tcPr>
            <w:tcW w:w="151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分项工程</w:t>
            </w:r>
          </w:p>
        </w:tc>
        <w:tc>
          <w:tcPr>
            <w:tcW w:w="151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估算投资（万元）</w:t>
            </w:r>
          </w:p>
        </w:tc>
        <w:tc>
          <w:tcPr>
            <w:tcW w:w="143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占总投资比例</w:t>
            </w:r>
          </w:p>
        </w:tc>
      </w:tr>
      <w:tr>
        <w:tblPrEx>
          <w:tblCellMar>
            <w:top w:w="0" w:type="dxa"/>
            <w:left w:w="108" w:type="dxa"/>
            <w:bottom w:w="0" w:type="dxa"/>
            <w:right w:w="108" w:type="dxa"/>
          </w:tblCellMar>
        </w:tblPrEx>
        <w:trPr>
          <w:trHeight w:val="397" w:hRule="atLeast"/>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1</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工程费用</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 xml:space="preserve">17469.67 </w:t>
            </w:r>
          </w:p>
        </w:tc>
        <w:tc>
          <w:tcPr>
            <w:tcW w:w="244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85.72%</w:t>
            </w:r>
          </w:p>
        </w:tc>
      </w:tr>
      <w:tr>
        <w:tblPrEx>
          <w:tblCellMar>
            <w:top w:w="0" w:type="dxa"/>
            <w:left w:w="108" w:type="dxa"/>
            <w:bottom w:w="0" w:type="dxa"/>
            <w:right w:w="108" w:type="dxa"/>
          </w:tblCellMar>
        </w:tblPrEx>
        <w:trPr>
          <w:trHeight w:val="397" w:hRule="atLeast"/>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2</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工程建设其他费用</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 xml:space="preserve">1357.33 </w:t>
            </w:r>
          </w:p>
        </w:tc>
        <w:tc>
          <w:tcPr>
            <w:tcW w:w="244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6.66%</w:t>
            </w:r>
          </w:p>
        </w:tc>
      </w:tr>
      <w:tr>
        <w:tblPrEx>
          <w:tblCellMar>
            <w:top w:w="0" w:type="dxa"/>
            <w:left w:w="108" w:type="dxa"/>
            <w:bottom w:w="0" w:type="dxa"/>
            <w:right w:w="108" w:type="dxa"/>
          </w:tblCellMar>
        </w:tblPrEx>
        <w:trPr>
          <w:trHeight w:val="397" w:hRule="atLeast"/>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3</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预备费</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 xml:space="preserve">941.35 </w:t>
            </w:r>
          </w:p>
        </w:tc>
        <w:tc>
          <w:tcPr>
            <w:tcW w:w="244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4.62%</w:t>
            </w:r>
          </w:p>
        </w:tc>
      </w:tr>
      <w:tr>
        <w:tblPrEx>
          <w:tblCellMar>
            <w:top w:w="0" w:type="dxa"/>
            <w:left w:w="108" w:type="dxa"/>
            <w:bottom w:w="0" w:type="dxa"/>
            <w:right w:w="108" w:type="dxa"/>
          </w:tblCellMar>
        </w:tblPrEx>
        <w:trPr>
          <w:trHeight w:val="397" w:hRule="atLeast"/>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4</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建设期利息</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 xml:space="preserve">610.60 </w:t>
            </w:r>
          </w:p>
        </w:tc>
        <w:tc>
          <w:tcPr>
            <w:tcW w:w="244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3.00%</w:t>
            </w:r>
          </w:p>
        </w:tc>
      </w:tr>
      <w:tr>
        <w:tblPrEx>
          <w:tblCellMar>
            <w:top w:w="0" w:type="dxa"/>
            <w:left w:w="108" w:type="dxa"/>
            <w:bottom w:w="0" w:type="dxa"/>
            <w:right w:w="108" w:type="dxa"/>
          </w:tblCellMar>
        </w:tblPrEx>
        <w:trPr>
          <w:trHeight w:val="397" w:hRule="atLeast"/>
        </w:trPr>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5</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b w:val="0"/>
                <w:bCs w:val="0"/>
                <w:color w:val="auto"/>
                <w:kern w:val="0"/>
                <w:sz w:val="18"/>
                <w:szCs w:val="18"/>
                <w:lang w:val="en-US" w:eastAsia="zh-CN"/>
              </w:rPr>
            </w:pPr>
            <w:r>
              <w:rPr>
                <w:rFonts w:hint="eastAsia" w:ascii="Times New Roman" w:hAnsi="Times New Roman" w:eastAsia="仿宋_GB2312" w:cs="Times New Roman"/>
                <w:b w:val="0"/>
                <w:bCs w:val="0"/>
                <w:color w:val="auto"/>
                <w:kern w:val="0"/>
                <w:sz w:val="18"/>
                <w:szCs w:val="18"/>
                <w:lang w:val="en-US" w:eastAsia="zh-CN"/>
              </w:rPr>
              <w:t>总投资（</w:t>
            </w:r>
            <w:r>
              <w:rPr>
                <w:rFonts w:hint="default" w:ascii="Times New Roman" w:hAnsi="Times New Roman" w:eastAsia="仿宋_GB2312" w:cs="Times New Roman"/>
                <w:b w:val="0"/>
                <w:bCs w:val="0"/>
                <w:color w:val="auto"/>
                <w:kern w:val="0"/>
                <w:sz w:val="18"/>
                <w:szCs w:val="18"/>
                <w:lang w:val="en-US" w:eastAsia="zh-CN"/>
              </w:rPr>
              <w:t>1+2+3+4</w:t>
            </w:r>
            <w:r>
              <w:rPr>
                <w:rFonts w:hint="eastAsia" w:ascii="Times New Roman" w:hAnsi="Times New Roman" w:eastAsia="仿宋_GB2312" w:cs="Times New Roman"/>
                <w:b w:val="0"/>
                <w:bCs w:val="0"/>
                <w:color w:val="auto"/>
                <w:kern w:val="0"/>
                <w:sz w:val="18"/>
                <w:szCs w:val="18"/>
                <w:lang w:val="en-US" w:eastAsia="zh-CN"/>
              </w:rPr>
              <w:t>）</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 xml:space="preserve">20378.95 </w:t>
            </w:r>
          </w:p>
        </w:tc>
        <w:tc>
          <w:tcPr>
            <w:tcW w:w="244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val="0"/>
                <w:bCs w:val="0"/>
                <w:color w:val="auto"/>
                <w:kern w:val="0"/>
                <w:sz w:val="18"/>
                <w:szCs w:val="18"/>
                <w:lang w:val="en-US" w:eastAsia="zh-CN"/>
              </w:rPr>
            </w:pPr>
            <w:r>
              <w:rPr>
                <w:rFonts w:hint="default" w:ascii="Times New Roman" w:hAnsi="Times New Roman" w:eastAsia="仿宋_GB2312" w:cs="Times New Roman"/>
                <w:b w:val="0"/>
                <w:bCs w:val="0"/>
                <w:color w:val="auto"/>
                <w:kern w:val="0"/>
                <w:sz w:val="18"/>
                <w:szCs w:val="18"/>
                <w:lang w:val="en-US" w:eastAsia="zh-CN"/>
              </w:rPr>
              <w:t>100.00%</w:t>
            </w:r>
          </w:p>
        </w:tc>
      </w:tr>
    </w:tbl>
    <w:p>
      <w:pPr>
        <w:outlineLvl w:val="9"/>
        <w:rPr>
          <w:rFonts w:hint="default" w:ascii="Times New Roman" w:hAnsi="Times New Roman" w:eastAsia="仿宋_GB2312" w:cs="Times New Roman"/>
          <w:color w:val="auto"/>
        </w:rPr>
      </w:pPr>
      <w:r>
        <w:rPr>
          <w:rFonts w:hint="eastAsia" w:ascii="Times New Roman" w:hAnsi="Times New Roman" w:cs="Times New Roman"/>
          <w:color w:val="auto"/>
          <w:lang w:val="en-US" w:eastAsia="zh-CN"/>
        </w:rPr>
        <w:t>5</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rPr>
        <w:t>项目分年投资计划</w:t>
      </w:r>
      <w:bookmarkEnd w:id="30"/>
      <w:bookmarkEnd w:id="31"/>
      <w:bookmarkEnd w:id="32"/>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根据项目施工进度计划，工程的建设期按</w:t>
      </w:r>
      <w:r>
        <w:rPr>
          <w:rFonts w:hint="eastAsia" w:ascii="Times New Roman" w:hAnsi="Times New Roman" w:cs="Times New Roman"/>
          <w:color w:val="auto"/>
          <w:lang w:val="en-US" w:eastAsia="zh-CN"/>
        </w:rPr>
        <w:t>2</w:t>
      </w:r>
      <w:r>
        <w:rPr>
          <w:rFonts w:hint="default" w:ascii="Times New Roman" w:hAnsi="Times New Roman" w:eastAsia="仿宋_GB2312" w:cs="Times New Roman"/>
          <w:color w:val="auto"/>
        </w:rPr>
        <w:t>年考虑，资金按工程进度分</w:t>
      </w:r>
      <w:r>
        <w:rPr>
          <w:rFonts w:hint="eastAsia" w:ascii="Times New Roman" w:hAnsi="Times New Roman" w:cs="Times New Roman"/>
          <w:color w:val="auto"/>
          <w:lang w:val="en-US" w:eastAsia="zh-CN"/>
        </w:rPr>
        <w:t>24</w:t>
      </w:r>
      <w:r>
        <w:rPr>
          <w:rFonts w:hint="default" w:ascii="Times New Roman" w:hAnsi="Times New Roman" w:eastAsia="仿宋_GB2312" w:cs="Times New Roman"/>
          <w:color w:val="auto"/>
        </w:rPr>
        <w:t>个月逐步投入。</w:t>
      </w:r>
    </w:p>
    <w:p>
      <w:pPr>
        <w:outlineLvl w:val="2"/>
        <w:rPr>
          <w:rFonts w:hint="default" w:ascii="Times New Roman" w:hAnsi="Times New Roman" w:eastAsia="仿宋_GB2312" w:cs="Times New Roman"/>
          <w:b/>
          <w:bCs/>
          <w:color w:val="auto"/>
          <w:sz w:val="32"/>
          <w:szCs w:val="32"/>
          <w:lang w:val="en-US" w:eastAsia="zh-CN"/>
        </w:rPr>
      </w:pPr>
      <w:bookmarkStart w:id="33" w:name="_Toc4070"/>
      <w:bookmarkStart w:id="34" w:name="_Toc15849"/>
      <w:r>
        <w:rPr>
          <w:rFonts w:hint="default" w:ascii="Times New Roman" w:hAnsi="Times New Roman" w:eastAsia="仿宋_GB2312" w:cs="Times New Roman"/>
          <w:b/>
          <w:bCs/>
          <w:color w:val="auto"/>
          <w:sz w:val="32"/>
          <w:szCs w:val="32"/>
          <w:lang w:val="en-US" w:eastAsia="zh-CN"/>
        </w:rPr>
        <w:t>3.3.3 盈利能力分析</w:t>
      </w:r>
      <w:bookmarkEnd w:id="33"/>
      <w:bookmarkEnd w:id="34"/>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1、收入估算</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本项目收入来源</w:t>
      </w:r>
      <w:r>
        <w:rPr>
          <w:rFonts w:hint="default" w:ascii="Times New Roman" w:hAnsi="Times New Roman" w:eastAsia="仿宋_GB2312" w:cs="Times New Roman"/>
          <w:color w:val="auto"/>
          <w:lang w:val="en-US" w:eastAsia="zh-CN"/>
        </w:rPr>
        <w:t>为</w:t>
      </w:r>
      <w:r>
        <w:rPr>
          <w:rFonts w:hint="eastAsia" w:cs="Times New Roman"/>
          <w:color w:val="auto"/>
          <w:lang w:val="en-US" w:eastAsia="zh-CN"/>
        </w:rPr>
        <w:t>储能供电</w:t>
      </w:r>
      <w:r>
        <w:rPr>
          <w:rFonts w:hint="default" w:ascii="Times New Roman" w:hAnsi="Times New Roman" w:eastAsia="仿宋_GB2312" w:cs="Times New Roman"/>
          <w:color w:val="auto"/>
          <w:lang w:val="en-US" w:eastAsia="zh-CN"/>
        </w:rPr>
        <w:t>、广告位</w:t>
      </w:r>
      <w:r>
        <w:rPr>
          <w:rFonts w:hint="eastAsia" w:cs="Times New Roman"/>
          <w:color w:val="auto"/>
          <w:lang w:val="en-US" w:eastAsia="zh-CN"/>
        </w:rPr>
        <w:t>出租</w:t>
      </w:r>
      <w:r>
        <w:rPr>
          <w:rFonts w:hint="default" w:ascii="Times New Roman" w:hAnsi="Times New Roman" w:eastAsia="仿宋_GB2312" w:cs="Times New Roman"/>
          <w:color w:val="auto"/>
          <w:lang w:val="en-US" w:eastAsia="zh-CN"/>
        </w:rPr>
        <w:t>、电动</w:t>
      </w:r>
      <w:r>
        <w:rPr>
          <w:rFonts w:hint="eastAsia" w:cs="Times New Roman"/>
          <w:color w:val="auto"/>
          <w:lang w:val="en-US" w:eastAsia="zh-CN"/>
        </w:rPr>
        <w:t>单车</w:t>
      </w:r>
      <w:r>
        <w:rPr>
          <w:rFonts w:hint="default" w:ascii="Times New Roman" w:hAnsi="Times New Roman" w:eastAsia="仿宋_GB2312" w:cs="Times New Roman"/>
          <w:color w:val="auto"/>
          <w:lang w:val="en-US" w:eastAsia="zh-CN"/>
        </w:rPr>
        <w:t>车充电</w:t>
      </w:r>
      <w:r>
        <w:rPr>
          <w:rFonts w:hint="eastAsia" w:cs="Times New Roman"/>
          <w:color w:val="auto"/>
          <w:lang w:val="en-US" w:eastAsia="zh-CN"/>
        </w:rPr>
        <w:t>服务</w:t>
      </w:r>
      <w:r>
        <w:rPr>
          <w:rFonts w:hint="default" w:ascii="Times New Roman" w:hAnsi="Times New Roman" w:eastAsia="仿宋_GB2312" w:cs="Times New Roman"/>
          <w:color w:val="auto"/>
          <w:lang w:val="en-US" w:eastAsia="zh-CN"/>
        </w:rPr>
        <w:t>、</w:t>
      </w:r>
      <w:r>
        <w:rPr>
          <w:rFonts w:hint="eastAsia" w:cs="Times New Roman"/>
          <w:color w:val="auto"/>
          <w:lang w:val="en-US" w:eastAsia="zh-CN"/>
        </w:rPr>
        <w:t>电动汽车充电服务、</w:t>
      </w:r>
      <w:r>
        <w:rPr>
          <w:rFonts w:hint="default" w:ascii="Times New Roman" w:hAnsi="Times New Roman" w:eastAsia="仿宋_GB2312" w:cs="Times New Roman"/>
          <w:color w:val="auto"/>
          <w:lang w:val="en-US" w:eastAsia="zh-CN"/>
        </w:rPr>
        <w:t>智慧路灯设备接口收入</w:t>
      </w:r>
      <w:r>
        <w:rPr>
          <w:rFonts w:hint="default" w:ascii="Times New Roman" w:hAnsi="Times New Roman" w:eastAsia="仿宋_GB2312" w:cs="Times New Roman"/>
          <w:color w:val="auto"/>
        </w:rPr>
        <w:t>。</w:t>
      </w:r>
      <w:r>
        <w:rPr>
          <w:rFonts w:hint="eastAsia" w:cs="Times New Roman"/>
          <w:color w:val="auto"/>
          <w:lang w:val="en-US" w:eastAsia="zh-CN"/>
        </w:rPr>
        <w:t>收入均为不含税收入。</w:t>
      </w:r>
    </w:p>
    <w:p>
      <w:pPr>
        <w:widowControl/>
        <w:spacing w:line="360" w:lineRule="auto"/>
        <w:ind w:firstLine="560" w:firstLineChars="0"/>
        <w:jc w:val="both"/>
        <w:rPr>
          <w:rFonts w:hint="default" w:cs="Times New Roman"/>
          <w:color w:val="auto"/>
          <w:szCs w:val="28"/>
          <w:lang w:val="en-US" w:eastAsia="zh-CN"/>
        </w:rPr>
      </w:pPr>
      <w:r>
        <w:rPr>
          <w:rFonts w:hint="default" w:ascii="Times New Roman" w:hAnsi="Times New Roman" w:eastAsia="仿宋_GB2312" w:cs="Times New Roman"/>
          <w:color w:val="auto"/>
        </w:rPr>
        <w:t>（1）</w:t>
      </w:r>
      <w:r>
        <w:rPr>
          <w:rFonts w:hint="eastAsia" w:cs="Times New Roman"/>
          <w:color w:val="auto"/>
          <w:szCs w:val="28"/>
          <w:lang w:val="en-US" w:eastAsia="zh-CN"/>
        </w:rPr>
        <w:t>广告位出租收入</w:t>
      </w:r>
    </w:p>
    <w:p>
      <w:pPr>
        <w:widowControl/>
        <w:spacing w:line="360" w:lineRule="auto"/>
        <w:ind w:firstLine="560" w:firstLineChars="0"/>
        <w:jc w:val="both"/>
        <w:rPr>
          <w:rFonts w:hint="eastAsia" w:cs="Times New Roman"/>
          <w:color w:val="auto"/>
          <w:szCs w:val="28"/>
          <w:lang w:val="en-US" w:eastAsia="zh-CN"/>
        </w:rPr>
      </w:pPr>
      <w:r>
        <w:rPr>
          <w:rFonts w:hint="eastAsia" w:cs="Times New Roman"/>
          <w:color w:val="auto"/>
          <w:szCs w:val="28"/>
          <w:lang w:val="en-US" w:eastAsia="zh-CN"/>
        </w:rPr>
        <w:t>株洲市2023年度户外广告经营权拍卖路灯285个，成交金额为169.33万元，经营年限为5年，平均每年每个价格为1188.28元（</w:t>
      </w:r>
      <w:r>
        <w:rPr>
          <w:rFonts w:hint="eastAsia" w:cs="Times New Roman"/>
          <w:color w:val="auto"/>
          <w:sz w:val="18"/>
          <w:szCs w:val="18"/>
          <w:lang w:val="en-US" w:eastAsia="zh-CN"/>
        </w:rPr>
        <w:t>http://www.zzzyjy.cn/020/020004/020004002/20231218/523eab9a-2c4a-4ca8-8546-52fa4472175d.html</w:t>
      </w:r>
      <w:r>
        <w:rPr>
          <w:rFonts w:hint="eastAsia" w:cs="Times New Roman"/>
          <w:color w:val="auto"/>
          <w:szCs w:val="28"/>
          <w:lang w:val="en-US" w:eastAsia="zh-CN"/>
        </w:rPr>
        <w:t>），根据次拍卖结果，本项目路灯广告位出租单价按照1200.00元/个/年计算，每5年上涨5%。运营期第1年、第2年、第3年出租率分别为60%、70%、80%，运营期第4年及以后出租率达到80%。计算期内，路灯广告位出租收入3617.24万元。</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（2）</w:t>
      </w:r>
      <w:r>
        <w:rPr>
          <w:rFonts w:hint="eastAsia" w:cs="Times New Roman"/>
          <w:color w:val="auto"/>
          <w:lang w:val="en-US" w:eastAsia="zh-CN"/>
        </w:rPr>
        <w:t>储能</w:t>
      </w:r>
      <w:r>
        <w:rPr>
          <w:rFonts w:hint="default" w:ascii="Times New Roman" w:hAnsi="Times New Roman" w:eastAsia="仿宋_GB2312" w:cs="Times New Roman"/>
          <w:color w:val="auto"/>
          <w:lang w:val="en-US" w:eastAsia="zh-CN"/>
        </w:rPr>
        <w:t>供电收入</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1）电网销售价格标准</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根据《关于进一步完善我省分时电价政策及有关事项的通知》（湘发改价调规〔2021〕848号）</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《国家发展改革委、教育部关于学校水电气价格有关问题的通知》发改价格〔2007〕2463号和《关于省电网第三监管周期输配电价及有关事项的通知》</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湘发改价调规〔202</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rPr>
        <w:t>〕302号</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等相关文件，湖南省202</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rPr>
        <w:t>月电网销售电价详见</w:t>
      </w:r>
      <w:r>
        <w:rPr>
          <w:rFonts w:hint="default" w:ascii="Times New Roman" w:hAnsi="Times New Roman" w:eastAsia="仿宋_GB2312" w:cs="Times New Roman"/>
          <w:color w:val="auto"/>
          <w:lang w:val="en-US" w:eastAsia="zh-CN"/>
        </w:rPr>
        <w:t>图表3-</w:t>
      </w:r>
      <w:r>
        <w:rPr>
          <w:rFonts w:hint="eastAsia" w:cs="Times New Roman"/>
          <w:color w:val="auto"/>
          <w:lang w:val="en-US" w:eastAsia="zh-CN"/>
        </w:rPr>
        <w:t>2</w:t>
      </w:r>
      <w:r>
        <w:rPr>
          <w:rFonts w:hint="default" w:ascii="Times New Roman" w:hAnsi="Times New Roman" w:eastAsia="仿宋_GB2312" w:cs="Times New Roman"/>
          <w:color w:val="auto"/>
        </w:rPr>
        <w:t>所示</w:t>
      </w:r>
      <w:r>
        <w:rPr>
          <w:rFonts w:hint="default" w:ascii="Times New Roman" w:hAnsi="Times New Roman" w:eastAsia="仿宋_GB2312" w:cs="Times New Roman"/>
          <w:color w:val="auto"/>
          <w:lang w:val="en-US" w:eastAsia="zh-CN"/>
        </w:rPr>
        <w:t>。</w:t>
      </w:r>
    </w:p>
    <w:p>
      <w:pPr>
        <w:jc w:val="center"/>
        <w:rPr>
          <w:rFonts w:hint="default" w:ascii="Times New Roman" w:hAnsi="Times New Roman" w:eastAsia="仿宋_GB2312" w:cs="Times New Roman"/>
          <w:b/>
          <w:bCs/>
          <w:color w:val="auto"/>
          <w:lang w:val="en-US" w:eastAsia="zh-CN"/>
        </w:rPr>
      </w:pPr>
      <w:r>
        <w:rPr>
          <w:rFonts w:hint="default" w:ascii="Times New Roman" w:hAnsi="Times New Roman" w:eastAsia="仿宋_GB2312" w:cs="Times New Roman"/>
          <w:b/>
          <w:bCs/>
          <w:color w:val="auto"/>
          <w:lang w:val="en-US" w:eastAsia="zh-CN"/>
        </w:rPr>
        <w:t>图表3-</w:t>
      </w:r>
      <w:r>
        <w:rPr>
          <w:rFonts w:hint="eastAsia" w:cs="Times New Roman"/>
          <w:b/>
          <w:bCs/>
          <w:color w:val="auto"/>
          <w:lang w:val="en-US" w:eastAsia="zh-CN"/>
        </w:rPr>
        <w:t>2</w:t>
      </w:r>
      <w:r>
        <w:rPr>
          <w:rFonts w:hint="default" w:ascii="Times New Roman" w:hAnsi="Times New Roman" w:eastAsia="仿宋_GB2312" w:cs="Times New Roman"/>
          <w:b/>
          <w:bCs/>
          <w:color w:val="auto"/>
          <w:lang w:val="en-US" w:eastAsia="zh-CN"/>
        </w:rPr>
        <w:t xml:space="preserve">  湖南省202</w:t>
      </w:r>
      <w:r>
        <w:rPr>
          <w:rFonts w:hint="eastAsia" w:ascii="Times New Roman" w:hAnsi="Times New Roman" w:cs="Times New Roman"/>
          <w:b/>
          <w:bCs/>
          <w:color w:val="auto"/>
          <w:lang w:val="en-US" w:eastAsia="zh-CN"/>
        </w:rPr>
        <w:t>4</w:t>
      </w:r>
      <w:r>
        <w:rPr>
          <w:rFonts w:hint="default" w:ascii="Times New Roman" w:hAnsi="Times New Roman" w:eastAsia="仿宋_GB2312" w:cs="Times New Roman"/>
          <w:b/>
          <w:bCs/>
          <w:color w:val="auto"/>
          <w:lang w:val="en-US" w:eastAsia="zh-CN"/>
        </w:rPr>
        <w:t>年6月电网销售电价统计表</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drawing>
          <wp:anchor distT="0" distB="0" distL="114300" distR="114300" simplePos="0" relativeHeight="251661312" behindDoc="1" locked="0" layoutInCell="1" allowOverlap="1">
            <wp:simplePos x="0" y="0"/>
            <wp:positionH relativeFrom="column">
              <wp:posOffset>731520</wp:posOffset>
            </wp:positionH>
            <wp:positionV relativeFrom="paragraph">
              <wp:posOffset>1905</wp:posOffset>
            </wp:positionV>
            <wp:extent cx="4003040" cy="3201670"/>
            <wp:effectExtent l="0" t="0" r="5080" b="13970"/>
            <wp:wrapNone/>
            <wp:docPr id="1" name="图片 1" descr="77e3385bc15df8e0d169477e4ded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e3385bc15df8e0d169477e4deddf2"/>
                    <pic:cNvPicPr>
                      <a:picLocks noChangeAspect="1"/>
                    </pic:cNvPicPr>
                  </pic:nvPicPr>
                  <pic:blipFill>
                    <a:blip r:embed="rId12"/>
                    <a:srcRect b="32611"/>
                    <a:stretch>
                      <a:fillRect/>
                    </a:stretch>
                  </pic:blipFill>
                  <pic:spPr>
                    <a:xfrm>
                      <a:off x="0" y="0"/>
                      <a:ext cx="4003040" cy="3201670"/>
                    </a:xfrm>
                    <a:prstGeom prst="rect">
                      <a:avLst/>
                    </a:prstGeom>
                  </pic:spPr>
                </pic:pic>
              </a:graphicData>
            </a:graphic>
          </wp:anchor>
        </w:drawing>
      </w: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ind w:left="0" w:leftChars="0" w:firstLine="560"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2）供电收入</w:t>
      </w:r>
    </w:p>
    <w:p>
      <w:pPr>
        <w:rPr>
          <w:rFonts w:hint="eastAsia" w:cs="Times New Roman"/>
          <w:color w:val="auto"/>
          <w:lang w:val="en-US" w:eastAsia="zh-CN"/>
        </w:rPr>
      </w:pPr>
      <w:r>
        <w:rPr>
          <w:rFonts w:hint="eastAsia" w:cs="Times New Roman"/>
          <w:color w:val="auto"/>
          <w:lang w:val="en-US" w:eastAsia="zh-CN"/>
        </w:rPr>
        <w:t>项目新能源汽车充电首年充电量平均每天为77112kwh，详见图表3-3，远超本项目配置的储能功率59500kwh，能够完全消纳</w:t>
      </w:r>
      <w:r>
        <w:rPr>
          <w:rFonts w:hint="default" w:ascii="Times New Roman" w:hAnsi="Times New Roman" w:eastAsia="仿宋_GB2312" w:cs="Times New Roman"/>
          <w:color w:val="auto"/>
          <w:lang w:val="en-US" w:eastAsia="zh-CN"/>
        </w:rPr>
        <w:t>。</w:t>
      </w:r>
      <w:r>
        <w:rPr>
          <w:rFonts w:hint="eastAsia" w:cs="Times New Roman"/>
          <w:color w:val="auto"/>
          <w:lang w:val="en-US" w:eastAsia="zh-CN"/>
        </w:rPr>
        <w:t>市面储能设备的充储损耗率在5%~20%，本项目基于审慎原则，损耗率取20%，每天供电量为47600kwh。供电综合单价根据湖南省2024年6月电网销售电价计算为0.77元/kwh。</w:t>
      </w:r>
      <w:r>
        <w:rPr>
          <w:rFonts w:hint="default" w:ascii="Times New Roman" w:hAnsi="Times New Roman" w:eastAsia="仿宋_GB2312" w:cs="Times New Roman"/>
          <w:color w:val="auto"/>
          <w:lang w:val="en-US" w:eastAsia="zh-CN"/>
        </w:rPr>
        <w:t>计算期内，</w:t>
      </w:r>
      <w:r>
        <w:rPr>
          <w:rFonts w:hint="eastAsia" w:cs="Times New Roman"/>
          <w:color w:val="auto"/>
          <w:lang w:val="en-US" w:eastAsia="zh-CN"/>
        </w:rPr>
        <w:t>供电</w:t>
      </w:r>
      <w:r>
        <w:rPr>
          <w:rFonts w:hint="default" w:ascii="Times New Roman" w:hAnsi="Times New Roman" w:eastAsia="仿宋_GB2312" w:cs="Times New Roman"/>
          <w:color w:val="auto"/>
          <w:lang w:val="en-US" w:eastAsia="zh-CN"/>
        </w:rPr>
        <w:t>收入共计</w:t>
      </w:r>
      <w:r>
        <w:rPr>
          <w:rFonts w:hint="eastAsia" w:cs="Times New Roman"/>
          <w:color w:val="auto"/>
          <w:lang w:val="en-US" w:eastAsia="zh-CN"/>
        </w:rPr>
        <w:t>33292.48</w:t>
      </w:r>
      <w:r>
        <w:rPr>
          <w:rFonts w:hint="default" w:ascii="Times New Roman" w:hAnsi="Times New Roman" w:eastAsia="仿宋_GB2312" w:cs="Times New Roman"/>
          <w:color w:val="auto"/>
          <w:lang w:val="en-US" w:eastAsia="zh-CN"/>
        </w:rPr>
        <w:t>元</w:t>
      </w:r>
      <w:r>
        <w:rPr>
          <w:rFonts w:hint="eastAsia" w:cs="Times New Roman"/>
          <w:color w:val="auto"/>
          <w:lang w:val="en-US" w:eastAsia="zh-CN"/>
        </w:rPr>
        <w:t>。</w:t>
      </w:r>
    </w:p>
    <w:p>
      <w:pPr>
        <w:ind w:left="0" w:leftChars="0" w:firstLine="0" w:firstLineChars="0"/>
        <w:jc w:val="center"/>
        <w:rPr>
          <w:rFonts w:hint="eastAsia" w:cs="Times New Roman"/>
          <w:b/>
          <w:bCs/>
          <w:color w:val="auto"/>
          <w:lang w:val="en-US" w:eastAsia="zh-CN"/>
        </w:rPr>
      </w:pPr>
      <w:r>
        <w:rPr>
          <w:rFonts w:hint="eastAsia" w:cs="Times New Roman"/>
          <w:b/>
          <w:bCs/>
          <w:color w:val="auto"/>
          <w:lang w:val="en-US" w:eastAsia="zh-CN"/>
        </w:rPr>
        <w:t>图表3-3  新能源汽车充电首年消耗电量</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950"/>
        <w:gridCol w:w="1416"/>
        <w:gridCol w:w="1416"/>
        <w:gridCol w:w="1298"/>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序号</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名称</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时长（h）</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使用率</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数量(个）</w:t>
            </w:r>
          </w:p>
        </w:tc>
        <w:tc>
          <w:tcPr>
            <w:tcW w:w="15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消耗量（kwh）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60kw充电桩</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357</w:t>
            </w:r>
          </w:p>
        </w:tc>
        <w:tc>
          <w:tcPr>
            <w:tcW w:w="15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51408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30kw充电桩</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357</w:t>
            </w:r>
          </w:p>
        </w:tc>
        <w:tc>
          <w:tcPr>
            <w:tcW w:w="15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25704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合计</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eastAsia="zh-CN"/>
              </w:rPr>
            </w:pP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eastAsia="zh-CN"/>
              </w:rPr>
            </w:pP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eastAsia="zh-CN"/>
              </w:rPr>
            </w:pP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eastAsia="zh-CN"/>
              </w:rPr>
            </w:pPr>
          </w:p>
        </w:tc>
        <w:tc>
          <w:tcPr>
            <w:tcW w:w="15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vertAlign w:val="baseline"/>
                <w:lang w:val="en-US" w:eastAsia="zh-CN"/>
              </w:rPr>
            </w:pPr>
            <w:r>
              <w:rPr>
                <w:rFonts w:hint="eastAsia" w:cs="Times New Roman"/>
                <w:color w:val="auto"/>
                <w:sz w:val="18"/>
                <w:szCs w:val="18"/>
                <w:vertAlign w:val="baseline"/>
                <w:lang w:val="en-US" w:eastAsia="zh-CN"/>
              </w:rPr>
              <w:t>77112</w:t>
            </w:r>
          </w:p>
        </w:tc>
      </w:tr>
    </w:tbl>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（3）</w:t>
      </w:r>
      <w:r>
        <w:rPr>
          <w:rFonts w:hint="default" w:ascii="Times New Roman" w:hAnsi="Times New Roman" w:eastAsia="仿宋_GB2312" w:cs="Times New Roman"/>
          <w:color w:val="auto"/>
          <w:lang w:val="en-US" w:eastAsia="zh-CN"/>
        </w:rPr>
        <w:t>电动车充电</w:t>
      </w:r>
      <w:r>
        <w:rPr>
          <w:rFonts w:hint="eastAsia" w:cs="Times New Roman"/>
          <w:color w:val="auto"/>
          <w:lang w:val="en-US" w:eastAsia="zh-CN"/>
        </w:rPr>
        <w:t>服务</w:t>
      </w:r>
      <w:r>
        <w:rPr>
          <w:rFonts w:hint="default" w:ascii="Times New Roman" w:hAnsi="Times New Roman" w:eastAsia="仿宋_GB2312" w:cs="Times New Roman"/>
          <w:color w:val="auto"/>
          <w:lang w:val="en-US" w:eastAsia="zh-CN"/>
        </w:rPr>
        <w:t>收入</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根据株洲市路灯分布情况，5%的路灯分布于小区、商场、学校、办公楼等人流集中处，5%的灯杆配置电动单车充电设备，每设备6个接口。根据株洲市现有电动车充电设备收费标准0.40元/小时～0.98元/小时，基于审慎原则，本项目充电设备服务费定位0.50元/小时，每5年降价0.05元，降到最低0.3元后保持稳定。运营期第1年单口每天充电6小时，使用率40%，运营期第2年单口每天充电8小时，使用率50%，运营期第3年开始往后单口每天充电10小时，使用率60%。计算期内，电动单车充电服务费收入</w:t>
      </w:r>
      <w:r>
        <w:rPr>
          <w:rFonts w:hint="eastAsia" w:cs="Times New Roman"/>
          <w:color w:val="auto"/>
          <w:lang w:val="en-US" w:eastAsia="zh-CN"/>
        </w:rPr>
        <w:t>9305.41</w:t>
      </w:r>
      <w:r>
        <w:rPr>
          <w:rFonts w:hint="default" w:ascii="Times New Roman" w:hAnsi="Times New Roman" w:eastAsia="仿宋_GB2312" w:cs="Times New Roman"/>
          <w:color w:val="auto"/>
          <w:lang w:val="en-US" w:eastAsia="zh-CN"/>
        </w:rPr>
        <w:t>万元。</w:t>
      </w:r>
    </w:p>
    <w:p>
      <w:pPr>
        <w:jc w:val="both"/>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新能源汽车充电</w:t>
      </w:r>
      <w:r>
        <w:rPr>
          <w:rFonts w:hint="eastAsia" w:cs="Times New Roman"/>
          <w:color w:val="auto"/>
          <w:lang w:val="en-US" w:eastAsia="zh-CN"/>
        </w:rPr>
        <w:t>服务</w:t>
      </w:r>
      <w:r>
        <w:rPr>
          <w:rFonts w:hint="eastAsia" w:ascii="Times New Roman" w:hAnsi="Times New Roman" w:cs="Times New Roman"/>
          <w:color w:val="auto"/>
          <w:lang w:val="en-US" w:eastAsia="zh-CN"/>
        </w:rPr>
        <w:t>收入</w:t>
      </w:r>
    </w:p>
    <w:p>
      <w:pPr>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湖南省发展和改革委员会《关于我省电动汽车用电价格政策有关问题的通知》（湘发改价商〔2018〕407号），充电桩按服务费标准为0.8元/kwh，当电动车发展达到一定规模并在交通运输市场具有一定竞争力后，市场充电服务价格会逐步降低。结合对周边区域充电桩充电服务费调查，考虑到本项目的定位、特色及区位因素，根据谨慎性原则，本项目充电桩充电服务收入保守按0.55元/kwh计，之后每5年递减0.05元/度，递减至0.35元/度后保持不变。</w:t>
      </w:r>
      <w:r>
        <w:rPr>
          <w:rFonts w:hint="eastAsia" w:cs="Times New Roman"/>
          <w:color w:val="auto"/>
          <w:lang w:val="en-US" w:eastAsia="zh-CN"/>
        </w:rPr>
        <w:t>储能放电外的</w:t>
      </w:r>
      <w:r>
        <w:rPr>
          <w:rFonts w:hint="eastAsia" w:ascii="Times New Roman" w:hAnsi="Times New Roman" w:cs="Times New Roman"/>
          <w:color w:val="auto"/>
          <w:lang w:val="en-US" w:eastAsia="zh-CN"/>
        </w:rPr>
        <w:t>代收电费不计入本项目收入。</w:t>
      </w:r>
    </w:p>
    <w:p>
      <w:pPr>
        <w:jc w:val="both"/>
        <w:rPr>
          <w:rFonts w:hint="eastAsia" w:ascii="Times New Roman" w:hAnsi="Times New Roman" w:cs="Times New Roman"/>
          <w:color w:val="auto"/>
          <w:lang w:val="en-US" w:eastAsia="zh-CN"/>
        </w:rPr>
      </w:pPr>
      <w:r>
        <w:rPr>
          <w:rFonts w:hint="eastAsia" w:cs="Times New Roman"/>
          <w:color w:val="auto"/>
          <w:lang w:val="en-US" w:eastAsia="zh-CN"/>
        </w:rPr>
        <w:t>根据调查，</w:t>
      </w:r>
      <w:r>
        <w:rPr>
          <w:rFonts w:hint="eastAsia" w:ascii="Times New Roman" w:hAnsi="Times New Roman" w:cs="Times New Roman"/>
          <w:color w:val="auto"/>
          <w:lang w:val="en-US" w:eastAsia="zh-CN"/>
        </w:rPr>
        <w:t>2022年株洲供电企业平均电价1.3元/kWh，位于全省中游。直流（快充）充电桩充电平均使用率约22.33%，交流（慢充）充电桩充电平均使用率约35.42%</w:t>
      </w:r>
      <w:r>
        <w:rPr>
          <w:rFonts w:hint="eastAsia" w:cs="Times New Roman"/>
          <w:color w:val="auto"/>
          <w:lang w:val="en-US" w:eastAsia="zh-CN"/>
        </w:rPr>
        <w:t>，详见附件2</w:t>
      </w:r>
      <w:r>
        <w:rPr>
          <w:rFonts w:hint="eastAsia" w:ascii="Times New Roman" w:hAnsi="Times New Roman" w:cs="Times New Roman"/>
          <w:color w:val="auto"/>
          <w:lang w:val="en-US" w:eastAsia="zh-CN"/>
        </w:rPr>
        <w:t>。因目前电动汽车处于大力推广阶段，运营期初第1年使用率</w:t>
      </w:r>
      <w:r>
        <w:rPr>
          <w:rFonts w:hint="eastAsia" w:cs="Times New Roman"/>
          <w:color w:val="auto"/>
          <w:lang w:val="en-US" w:eastAsia="zh-CN"/>
        </w:rPr>
        <w:t>2</w:t>
      </w:r>
      <w:r>
        <w:rPr>
          <w:rFonts w:hint="eastAsia" w:ascii="Times New Roman" w:hAnsi="Times New Roman" w:cs="Times New Roman"/>
          <w:color w:val="auto"/>
          <w:lang w:val="en-US" w:eastAsia="zh-CN"/>
        </w:rPr>
        <w:t>0%，运营期第2年使用率</w:t>
      </w:r>
      <w:r>
        <w:rPr>
          <w:rFonts w:hint="eastAsia" w:cs="Times New Roman"/>
          <w:color w:val="auto"/>
          <w:lang w:val="en-US" w:eastAsia="zh-CN"/>
        </w:rPr>
        <w:t>25</w:t>
      </w:r>
      <w:r>
        <w:rPr>
          <w:rFonts w:hint="eastAsia" w:ascii="Times New Roman" w:hAnsi="Times New Roman" w:cs="Times New Roman"/>
          <w:color w:val="auto"/>
          <w:lang w:val="en-US" w:eastAsia="zh-CN"/>
        </w:rPr>
        <w:t>%，运营期第3年开始往后使用率</w:t>
      </w:r>
      <w:r>
        <w:rPr>
          <w:rFonts w:hint="eastAsia" w:cs="Times New Roman"/>
          <w:color w:val="auto"/>
          <w:lang w:val="en-US" w:eastAsia="zh-CN"/>
        </w:rPr>
        <w:t>3</w:t>
      </w:r>
      <w:r>
        <w:rPr>
          <w:rFonts w:hint="eastAsia" w:ascii="Times New Roman" w:hAnsi="Times New Roman" w:cs="Times New Roman"/>
          <w:color w:val="auto"/>
          <w:lang w:val="en-US" w:eastAsia="zh-CN"/>
        </w:rPr>
        <w:t>0%。</w:t>
      </w:r>
      <w:r>
        <w:rPr>
          <w:rFonts w:hint="eastAsia" w:cs="Times New Roman"/>
          <w:color w:val="auto"/>
          <w:lang w:val="en-US" w:eastAsia="zh-CN"/>
        </w:rPr>
        <w:t>考虑到路侧充电桩的车辆流动性，本项目每个充电桩单天使用保守估计为12小时。</w:t>
      </w:r>
      <w:r>
        <w:rPr>
          <w:rFonts w:hint="eastAsia" w:ascii="Times New Roman" w:hAnsi="Times New Roman" w:cs="Times New Roman"/>
          <w:color w:val="auto"/>
          <w:lang w:val="en-US" w:eastAsia="zh-CN"/>
        </w:rPr>
        <w:t>计算期内，收入</w:t>
      </w:r>
      <w:r>
        <w:rPr>
          <w:rFonts w:hint="eastAsia" w:cs="Times New Roman"/>
          <w:color w:val="auto"/>
          <w:lang w:val="en-US" w:eastAsia="zh-CN"/>
        </w:rPr>
        <w:t>44927.55</w:t>
      </w:r>
      <w:r>
        <w:rPr>
          <w:rFonts w:hint="eastAsia" w:ascii="Times New Roman" w:hAnsi="Times New Roman" w:cs="Times New Roman"/>
          <w:color w:val="auto"/>
          <w:lang w:val="en-US" w:eastAsia="zh-CN"/>
        </w:rPr>
        <w:t>万元</w:t>
      </w:r>
      <w:r>
        <w:rPr>
          <w:rFonts w:hint="eastAsia" w:cs="Times New Roman"/>
          <w:color w:val="auto"/>
          <w:lang w:val="en-US" w:eastAsia="zh-CN"/>
        </w:rPr>
        <w:t>。</w:t>
      </w:r>
    </w:p>
    <w:p>
      <w:pPr>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（5）智慧设备接口管理收入</w:t>
      </w:r>
    </w:p>
    <w:p>
      <w:pPr>
        <w:jc w:val="both"/>
        <w:rPr>
          <w:rFonts w:hint="default" w:ascii="Times New Roman" w:hAnsi="Times New Roman" w:eastAsia="仿宋_GB2312" w:cs="Times New Roman"/>
          <w:color w:val="auto"/>
          <w:lang w:eastAsia="zh-CN"/>
        </w:rPr>
      </w:pPr>
      <w:r>
        <w:rPr>
          <w:rFonts w:hint="eastAsia" w:ascii="Times New Roman" w:hAnsi="Times New Roman" w:cs="Times New Roman"/>
          <w:color w:val="auto"/>
          <w:lang w:val="en-US" w:eastAsia="zh-CN"/>
        </w:rPr>
        <w:t>项目管线扩容后可为后续智慧设备接入提供接口，根据《湖南省地下综合管廊有偿使用收费管理办法（试行）》（湘发改价商〔2017〕700号），城市综合管廊运营单位的税后内部收益率应不超过日常维护费的8%，本项目生产运营期间管道收费单价为每年9</w:t>
      </w:r>
      <w:r>
        <w:rPr>
          <w:rFonts w:hint="eastAsia" w:cs="Times New Roman"/>
          <w:color w:val="auto"/>
          <w:lang w:val="en-US" w:eastAsia="zh-CN"/>
        </w:rPr>
        <w:t>9</w:t>
      </w:r>
      <w:r>
        <w:rPr>
          <w:rFonts w:hint="eastAsia" w:ascii="Times New Roman" w:hAnsi="Times New Roman" w:cs="Times New Roman"/>
          <w:color w:val="auto"/>
          <w:lang w:val="en-US" w:eastAsia="zh-CN"/>
        </w:rPr>
        <w:t>元每米（含税）。参考《保山市调整低地下综合管廊有偿使用费标准》和《G206市区东入口至华清高速口路段地下通信管道租赁实施方案‌》，本项目定价合理</w:t>
      </w:r>
      <w:r>
        <w:rPr>
          <w:rFonts w:hint="eastAsia" w:cs="Times New Roman"/>
          <w:color w:val="auto"/>
          <w:lang w:val="en-US" w:eastAsia="zh-CN"/>
        </w:rPr>
        <w:t>。</w:t>
      </w:r>
      <w:r>
        <w:rPr>
          <w:rFonts w:hint="eastAsia" w:ascii="Times New Roman" w:hAnsi="Times New Roman" w:cs="Times New Roman"/>
          <w:color w:val="auto"/>
          <w:lang w:val="en-US" w:eastAsia="zh-CN"/>
        </w:rPr>
        <w:t>考虑到株洲市首次推广，运营期初使用率较低，第1年使用率为30%，逐年增长10%。计算期内，智慧设备接口管理收入为</w:t>
      </w:r>
      <w:r>
        <w:rPr>
          <w:rFonts w:hint="eastAsia" w:cs="Times New Roman"/>
          <w:color w:val="auto"/>
          <w:lang w:val="en-US" w:eastAsia="zh-CN"/>
        </w:rPr>
        <w:t>39219.41</w:t>
      </w:r>
      <w:r>
        <w:rPr>
          <w:rFonts w:hint="eastAsia" w:ascii="Times New Roman" w:hAnsi="Times New Roman" w:cs="Times New Roman"/>
          <w:color w:val="auto"/>
          <w:lang w:val="en-US" w:eastAsia="zh-CN"/>
        </w:rPr>
        <w:t>万元</w:t>
      </w:r>
      <w:r>
        <w:rPr>
          <w:rFonts w:hint="default" w:ascii="Times New Roman" w:hAnsi="Times New Roman" w:eastAsia="仿宋_GB2312" w:cs="Times New Roman"/>
          <w:color w:val="auto"/>
          <w:lang w:eastAsia="zh-CN"/>
        </w:rPr>
        <w:t>。</w:t>
      </w:r>
    </w:p>
    <w:p>
      <w:p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w:t>
      </w:r>
      <w:r>
        <w:rPr>
          <w:rFonts w:hint="eastAsia" w:cs="Times New Roman"/>
          <w:color w:val="auto"/>
          <w:lang w:val="en-US" w:eastAsia="zh-CN"/>
        </w:rPr>
        <w:t>6</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经营性总收入预测</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项目计算期</w:t>
      </w:r>
      <w:r>
        <w:rPr>
          <w:rFonts w:hint="default" w:ascii="Times New Roman" w:hAnsi="Times New Roman" w:eastAsia="仿宋_GB2312" w:cs="Times New Roman"/>
          <w:color w:val="auto"/>
          <w:lang w:val="en-US" w:eastAsia="zh-CN"/>
        </w:rPr>
        <w:t>30</w:t>
      </w:r>
      <w:r>
        <w:rPr>
          <w:rFonts w:hint="default" w:ascii="Times New Roman" w:hAnsi="Times New Roman" w:eastAsia="仿宋_GB2312" w:cs="Times New Roman"/>
          <w:color w:val="auto"/>
        </w:rPr>
        <w:t>年内（运营期</w:t>
      </w:r>
      <w:r>
        <w:rPr>
          <w:rFonts w:hint="default" w:ascii="Times New Roman" w:hAnsi="Times New Roman" w:eastAsia="仿宋_GB2312" w:cs="Times New Roman"/>
          <w:color w:val="auto"/>
          <w:lang w:val="en-US" w:eastAsia="zh-CN"/>
        </w:rPr>
        <w:t>28</w:t>
      </w:r>
      <w:r>
        <w:rPr>
          <w:rFonts w:hint="default" w:ascii="Times New Roman" w:hAnsi="Times New Roman" w:eastAsia="仿宋_GB2312" w:cs="Times New Roman"/>
          <w:color w:val="auto"/>
        </w:rPr>
        <w:t>年内），收入合计</w:t>
      </w:r>
      <w:r>
        <w:rPr>
          <w:rFonts w:hint="eastAsia" w:cs="Times New Roman"/>
          <w:color w:val="auto"/>
          <w:lang w:val="en-US" w:eastAsia="zh-CN"/>
        </w:rPr>
        <w:t>130362.09</w:t>
      </w:r>
      <w:r>
        <w:rPr>
          <w:rFonts w:hint="default" w:ascii="Times New Roman" w:hAnsi="Times New Roman" w:eastAsia="仿宋_GB2312" w:cs="Times New Roman"/>
          <w:color w:val="auto"/>
        </w:rPr>
        <w:t>万元</w:t>
      </w:r>
      <w:r>
        <w:rPr>
          <w:rFonts w:hint="eastAsia" w:cs="Times New Roman"/>
          <w:color w:val="auto"/>
          <w:lang w:eastAsia="zh-CN"/>
        </w:rPr>
        <w:t>（</w:t>
      </w:r>
      <w:r>
        <w:rPr>
          <w:rFonts w:hint="eastAsia" w:cs="Times New Roman"/>
          <w:color w:val="auto"/>
          <w:lang w:val="en-US" w:eastAsia="zh-CN"/>
        </w:rPr>
        <w:t>不含税</w:t>
      </w:r>
      <w:r>
        <w:rPr>
          <w:rFonts w:hint="eastAsia" w:cs="Times New Roman"/>
          <w:color w:val="auto"/>
          <w:lang w:eastAsia="zh-CN"/>
        </w:rPr>
        <w:t>）</w:t>
      </w:r>
      <w:r>
        <w:rPr>
          <w:rFonts w:hint="default" w:ascii="Times New Roman" w:hAnsi="Times New Roman" w:eastAsia="仿宋_GB2312" w:cs="Times New Roman"/>
          <w:color w:val="auto"/>
        </w:rPr>
        <w:t>，运营期内年均收入</w:t>
      </w:r>
      <w:r>
        <w:rPr>
          <w:rFonts w:hint="eastAsia" w:cs="Times New Roman"/>
          <w:color w:val="auto"/>
          <w:lang w:val="en-US" w:eastAsia="zh-CN"/>
        </w:rPr>
        <w:t>4655.79</w:t>
      </w:r>
      <w:r>
        <w:rPr>
          <w:rFonts w:hint="default" w:ascii="Times New Roman" w:hAnsi="Times New Roman" w:eastAsia="仿宋_GB2312" w:cs="Times New Roman"/>
          <w:color w:val="auto"/>
        </w:rPr>
        <w:t>万元</w:t>
      </w:r>
      <w:r>
        <w:rPr>
          <w:rFonts w:hint="eastAsia" w:cs="Times New Roman"/>
          <w:color w:val="auto"/>
          <w:lang w:eastAsia="zh-CN"/>
        </w:rPr>
        <w:t>（</w:t>
      </w:r>
      <w:r>
        <w:rPr>
          <w:rFonts w:hint="eastAsia" w:cs="Times New Roman"/>
          <w:color w:val="auto"/>
          <w:lang w:val="en-US" w:eastAsia="zh-CN"/>
        </w:rPr>
        <w:t>不含税</w:t>
      </w:r>
      <w:r>
        <w:rPr>
          <w:rFonts w:hint="eastAsia" w:cs="Times New Roman"/>
          <w:color w:val="auto"/>
          <w:lang w:eastAsia="zh-CN"/>
        </w:rPr>
        <w:t>）</w:t>
      </w:r>
      <w:r>
        <w:rPr>
          <w:rFonts w:hint="default" w:ascii="Times New Roman" w:hAnsi="Times New Roman" w:eastAsia="仿宋_GB2312" w:cs="Times New Roman"/>
          <w:color w:val="auto"/>
        </w:rPr>
        <w:t>。项目总收入估算结构详见</w:t>
      </w:r>
      <w:r>
        <w:rPr>
          <w:rFonts w:hint="default" w:ascii="Times New Roman" w:hAnsi="Times New Roman" w:eastAsia="仿宋_GB2312" w:cs="Times New Roman"/>
          <w:color w:val="auto"/>
          <w:lang w:val="en-US" w:eastAsia="zh-CN"/>
        </w:rPr>
        <w:t>图表3-</w:t>
      </w:r>
      <w:r>
        <w:rPr>
          <w:rFonts w:hint="eastAsia" w:cs="Times New Roman"/>
          <w:color w:val="auto"/>
          <w:lang w:val="en-US" w:eastAsia="zh-CN"/>
        </w:rPr>
        <w:t>4</w:t>
      </w:r>
      <w:r>
        <w:rPr>
          <w:rFonts w:hint="default" w:ascii="Times New Roman" w:hAnsi="Times New Roman" w:eastAsia="仿宋_GB2312" w:cs="Times New Roman"/>
          <w:color w:val="auto"/>
          <w:lang w:eastAsia="zh-CN"/>
        </w:rPr>
        <w:t>。</w:t>
      </w:r>
    </w:p>
    <w:p>
      <w:pPr>
        <w:jc w:val="center"/>
        <w:rPr>
          <w:rFonts w:hint="default" w:ascii="Times New Roman" w:hAnsi="Times New Roman" w:eastAsia="仿宋_GB2312" w:cs="Times New Roman"/>
          <w:b/>
          <w:bCs/>
          <w:color w:val="auto"/>
          <w:szCs w:val="28"/>
        </w:rPr>
      </w:pPr>
      <w:r>
        <w:rPr>
          <w:rFonts w:hint="default" w:ascii="Times New Roman" w:hAnsi="Times New Roman" w:eastAsia="仿宋_GB2312" w:cs="Times New Roman"/>
          <w:b/>
          <w:bCs/>
          <w:color w:val="auto"/>
          <w:szCs w:val="28"/>
        </w:rPr>
        <w:t>图表3</w:t>
      </w:r>
      <w:r>
        <w:rPr>
          <w:rFonts w:hint="default" w:ascii="Times New Roman" w:hAnsi="Times New Roman" w:eastAsia="仿宋_GB2312" w:cs="Times New Roman"/>
          <w:b/>
          <w:bCs/>
          <w:color w:val="auto"/>
          <w:szCs w:val="28"/>
        </w:rPr>
        <w:noBreakHyphen/>
      </w:r>
      <w:r>
        <w:rPr>
          <w:rFonts w:hint="eastAsia" w:cs="Times New Roman"/>
          <w:b/>
          <w:bCs/>
          <w:color w:val="auto"/>
          <w:szCs w:val="28"/>
          <w:lang w:val="en-US" w:eastAsia="zh-CN"/>
        </w:rPr>
        <w:t>4</w:t>
      </w:r>
      <w:r>
        <w:rPr>
          <w:rFonts w:hint="default" w:ascii="Times New Roman" w:hAnsi="Times New Roman" w:eastAsia="仿宋_GB2312" w:cs="Times New Roman"/>
          <w:b/>
          <w:bCs/>
          <w:color w:val="auto"/>
          <w:szCs w:val="28"/>
          <w:lang w:val="en-US" w:eastAsia="zh-CN"/>
        </w:rPr>
        <w:t xml:space="preserve"> </w:t>
      </w:r>
      <w:r>
        <w:rPr>
          <w:rFonts w:hint="default" w:ascii="Times New Roman" w:hAnsi="Times New Roman" w:eastAsia="仿宋_GB2312" w:cs="Times New Roman"/>
          <w:b/>
          <w:bCs/>
          <w:color w:val="auto"/>
          <w:szCs w:val="28"/>
        </w:rPr>
        <w:t xml:space="preserve"> 本项目收入预测结构情况表</w:t>
      </w:r>
    </w:p>
    <w:tbl>
      <w:tblPr>
        <w:tblStyle w:val="59"/>
        <w:tblW w:w="5000" w:type="pct"/>
        <w:tblInd w:w="0" w:type="dxa"/>
        <w:tblLayout w:type="autofit"/>
        <w:tblCellMar>
          <w:top w:w="0" w:type="dxa"/>
          <w:left w:w="108" w:type="dxa"/>
          <w:bottom w:w="0" w:type="dxa"/>
          <w:right w:w="108" w:type="dxa"/>
        </w:tblCellMar>
      </w:tblPr>
      <w:tblGrid>
        <w:gridCol w:w="617"/>
        <w:gridCol w:w="2660"/>
        <w:gridCol w:w="2068"/>
        <w:gridCol w:w="1645"/>
        <w:gridCol w:w="1504"/>
      </w:tblGrid>
      <w:tr>
        <w:tblPrEx>
          <w:tblCellMar>
            <w:top w:w="0" w:type="dxa"/>
            <w:left w:w="108" w:type="dxa"/>
            <w:bottom w:w="0" w:type="dxa"/>
            <w:right w:w="108" w:type="dxa"/>
          </w:tblCellMar>
        </w:tblPrEx>
        <w:trPr>
          <w:trHeight w:val="397" w:hRule="atLeast"/>
          <w:tblHeader/>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56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项目名称</w:t>
            </w:r>
          </w:p>
        </w:tc>
        <w:tc>
          <w:tcPr>
            <w:tcW w:w="121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收入预测（万元）</w:t>
            </w:r>
          </w:p>
        </w:tc>
        <w:tc>
          <w:tcPr>
            <w:tcW w:w="968"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年均收入</w:t>
            </w:r>
          </w:p>
        </w:tc>
        <w:tc>
          <w:tcPr>
            <w:tcW w:w="88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占总收入比例</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1</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路灯灯箱广告出租收入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3617.24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129.19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2.77%</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储能</w:t>
            </w:r>
            <w:r>
              <w:rPr>
                <w:rFonts w:hint="eastAsia" w:cs="Times New Roman"/>
                <w:color w:val="auto"/>
                <w:sz w:val="18"/>
                <w:szCs w:val="18"/>
                <w:lang w:val="en-US" w:eastAsia="zh-CN"/>
              </w:rPr>
              <w:t>供</w:t>
            </w:r>
            <w:r>
              <w:rPr>
                <w:rFonts w:hint="eastAsia" w:ascii="Times New Roman" w:hAnsi="Times New Roman" w:cs="Times New Roman"/>
                <w:color w:val="auto"/>
                <w:sz w:val="18"/>
                <w:szCs w:val="18"/>
                <w:lang w:val="en-US" w:eastAsia="zh-CN"/>
              </w:rPr>
              <w:t>电收入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33292.48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1189.02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25.54%</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电动单车充电</w:t>
            </w:r>
            <w:r>
              <w:rPr>
                <w:rFonts w:hint="eastAsia" w:cs="Times New Roman"/>
                <w:color w:val="auto"/>
                <w:sz w:val="18"/>
                <w:szCs w:val="18"/>
                <w:lang w:val="en-US" w:eastAsia="zh-CN"/>
              </w:rPr>
              <w:t>服务</w:t>
            </w:r>
            <w:r>
              <w:rPr>
                <w:rFonts w:hint="eastAsia" w:ascii="Times New Roman" w:hAnsi="Times New Roman" w:cs="Times New Roman"/>
                <w:color w:val="auto"/>
                <w:sz w:val="18"/>
                <w:szCs w:val="18"/>
                <w:lang w:val="en-US" w:eastAsia="zh-CN"/>
              </w:rPr>
              <w:t>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9305.41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332.34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7.14%</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新能源汽车充电服务收入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44927.55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1604.56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34.46%</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设备接口租赁收入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39219.41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1400.69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30.08%</w:t>
            </w:r>
          </w:p>
        </w:tc>
      </w:tr>
      <w:tr>
        <w:tblPrEx>
          <w:tblCellMar>
            <w:top w:w="0" w:type="dxa"/>
            <w:left w:w="108" w:type="dxa"/>
            <w:bottom w:w="0" w:type="dxa"/>
            <w:right w:w="108" w:type="dxa"/>
          </w:tblCellMar>
        </w:tblPrEx>
        <w:trPr>
          <w:trHeight w:val="397" w:hRule="atLeast"/>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营业总收入</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130362.09 </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4655.79 </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100.00%</w:t>
            </w:r>
          </w:p>
        </w:tc>
      </w:tr>
    </w:tbl>
    <w:p>
      <w:pPr>
        <w:outlineLvl w:val="3"/>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2、成本费用估算</w:t>
      </w:r>
    </w:p>
    <w:p>
      <w:pPr>
        <w:outlineLvl w:val="9"/>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（1）总成本估算依据</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本项目总成本费用估算采用生产要素估算法，总成本包括固定成本和可变成本，同时，要求计算经营成本。相关计算公式如下。</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1）总成本费用=燃料及动力费+工资及福利费+修理费+其他费用+折旧费+摊销费+财务费用。</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2）可变成本=燃料及动力费+其他费用。</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lang w:val="en-US" w:eastAsia="zh-CN"/>
        </w:rPr>
        <w:t>3）经营成本=总成本费用－折旧费－摊销费用-财务费用</w:t>
      </w:r>
      <w:r>
        <w:rPr>
          <w:rFonts w:hint="default" w:ascii="Times New Roman" w:hAnsi="Times New Roman" w:eastAsia="仿宋_GB2312" w:cs="Times New Roman"/>
          <w:color w:val="auto"/>
          <w:szCs w:val="28"/>
        </w:rPr>
        <w:t>。</w:t>
      </w:r>
    </w:p>
    <w:p>
      <w:pPr>
        <w:outlineLvl w:val="9"/>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（2）成本费用估算</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成本费用包括经营成本、折旧摊销费和财务费用等科目。运营期内，成本费用共计</w:t>
      </w:r>
      <w:r>
        <w:rPr>
          <w:rFonts w:hint="eastAsia" w:cs="Times New Roman"/>
          <w:color w:val="auto"/>
          <w:szCs w:val="28"/>
          <w:lang w:val="en-US" w:eastAsia="zh-CN"/>
        </w:rPr>
        <w:t>78536.42</w:t>
      </w:r>
      <w:r>
        <w:rPr>
          <w:rFonts w:hint="default" w:ascii="Times New Roman" w:hAnsi="Times New Roman" w:eastAsia="仿宋_GB2312" w:cs="Times New Roman"/>
          <w:color w:val="auto"/>
          <w:szCs w:val="28"/>
        </w:rPr>
        <w:t>万元，年均成本费用</w:t>
      </w:r>
      <w:r>
        <w:rPr>
          <w:rFonts w:hint="eastAsia" w:cs="Times New Roman"/>
          <w:color w:val="auto"/>
          <w:szCs w:val="28"/>
          <w:lang w:val="en-US" w:eastAsia="zh-CN"/>
        </w:rPr>
        <w:t>2804.87</w:t>
      </w:r>
      <w:r>
        <w:rPr>
          <w:rFonts w:hint="default" w:ascii="Times New Roman" w:hAnsi="Times New Roman" w:eastAsia="仿宋_GB2312" w:cs="Times New Roman"/>
          <w:color w:val="auto"/>
          <w:szCs w:val="28"/>
        </w:rPr>
        <w:t>万元。项目成本费用预测结构详见图表</w:t>
      </w:r>
      <w:r>
        <w:rPr>
          <w:rFonts w:hint="default" w:ascii="Times New Roman" w:hAnsi="Times New Roman" w:eastAsia="仿宋_GB2312" w:cs="Times New Roman"/>
          <w:color w:val="auto"/>
          <w:szCs w:val="28"/>
          <w:lang w:val="en-US" w:eastAsia="zh-CN"/>
        </w:rPr>
        <w:t>3</w:t>
      </w:r>
      <w:r>
        <w:rPr>
          <w:rFonts w:hint="default" w:ascii="Times New Roman" w:hAnsi="Times New Roman" w:eastAsia="仿宋_GB2312" w:cs="Times New Roman"/>
          <w:color w:val="auto"/>
          <w:szCs w:val="28"/>
        </w:rPr>
        <w:t>-</w:t>
      </w:r>
      <w:r>
        <w:rPr>
          <w:rFonts w:hint="eastAsia" w:cs="Times New Roman"/>
          <w:color w:val="auto"/>
          <w:szCs w:val="28"/>
          <w:lang w:val="en-US" w:eastAsia="zh-CN"/>
        </w:rPr>
        <w:t>5</w:t>
      </w:r>
      <w:r>
        <w:rPr>
          <w:rFonts w:hint="eastAsia" w:ascii="Times New Roman" w:hAnsi="Times New Roman" w:cs="Times New Roman"/>
          <w:color w:val="auto"/>
          <w:szCs w:val="28"/>
          <w:lang w:val="en-US" w:eastAsia="zh-CN"/>
        </w:rPr>
        <w:t>。</w:t>
      </w:r>
    </w:p>
    <w:p>
      <w:pPr>
        <w:jc w:val="center"/>
        <w:rPr>
          <w:rFonts w:hint="default" w:ascii="Times New Roman" w:hAnsi="Times New Roman" w:eastAsia="仿宋_GB2312" w:cs="Times New Roman"/>
          <w:b/>
          <w:bCs/>
          <w:color w:val="auto"/>
          <w:szCs w:val="28"/>
        </w:rPr>
      </w:pPr>
      <w:bookmarkStart w:id="35" w:name="_Ref25418"/>
      <w:r>
        <w:rPr>
          <w:rFonts w:hint="default" w:ascii="Times New Roman" w:hAnsi="Times New Roman" w:eastAsia="仿宋_GB2312" w:cs="Times New Roman"/>
          <w:b/>
          <w:bCs/>
          <w:color w:val="auto"/>
          <w:szCs w:val="28"/>
        </w:rPr>
        <w:t>图表3</w:t>
      </w:r>
      <w:r>
        <w:rPr>
          <w:rFonts w:hint="default" w:ascii="Times New Roman" w:hAnsi="Times New Roman" w:eastAsia="仿宋_GB2312" w:cs="Times New Roman"/>
          <w:b/>
          <w:bCs/>
          <w:color w:val="auto"/>
          <w:szCs w:val="28"/>
        </w:rPr>
        <w:noBreakHyphen/>
      </w:r>
      <w:bookmarkEnd w:id="35"/>
      <w:r>
        <w:rPr>
          <w:rFonts w:hint="eastAsia" w:cs="Times New Roman"/>
          <w:b/>
          <w:bCs/>
          <w:color w:val="auto"/>
          <w:szCs w:val="28"/>
          <w:lang w:val="en-US" w:eastAsia="zh-CN"/>
        </w:rPr>
        <w:t>5</w:t>
      </w:r>
      <w:r>
        <w:rPr>
          <w:rFonts w:hint="eastAsia" w:ascii="Times New Roman" w:hAnsi="Times New Roman" w:eastAsia="仿宋_GB2312" w:cs="Times New Roman"/>
          <w:b/>
          <w:bCs/>
          <w:color w:val="auto"/>
          <w:szCs w:val="28"/>
          <w:lang w:val="en-US" w:eastAsia="zh-CN"/>
        </w:rPr>
        <w:t xml:space="preserve"> </w:t>
      </w:r>
      <w:r>
        <w:rPr>
          <w:rFonts w:hint="default" w:ascii="Times New Roman" w:hAnsi="Times New Roman" w:eastAsia="仿宋_GB2312" w:cs="Times New Roman"/>
          <w:b/>
          <w:bCs/>
          <w:color w:val="auto"/>
          <w:szCs w:val="28"/>
        </w:rPr>
        <w:t xml:space="preserve"> 项目成本费用预测结构表</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384"/>
        <w:gridCol w:w="1587"/>
        <w:gridCol w:w="1331"/>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序号</w:t>
            </w:r>
          </w:p>
        </w:tc>
        <w:tc>
          <w:tcPr>
            <w:tcW w:w="1991"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项目名称</w:t>
            </w:r>
          </w:p>
        </w:tc>
        <w:tc>
          <w:tcPr>
            <w:tcW w:w="934"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成本费用预测</w:t>
            </w:r>
          </w:p>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（万元）</w:t>
            </w:r>
          </w:p>
        </w:tc>
        <w:tc>
          <w:tcPr>
            <w:tcW w:w="783"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年均成本费用（万元）</w:t>
            </w:r>
          </w:p>
        </w:tc>
        <w:tc>
          <w:tcPr>
            <w:tcW w:w="783"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b/>
                <w:bCs/>
                <w:i w:val="0"/>
                <w:iCs w:val="0"/>
                <w:color w:val="auto"/>
                <w:kern w:val="0"/>
                <w:sz w:val="18"/>
                <w:szCs w:val="18"/>
                <w:u w:val="none"/>
                <w:lang w:val="en-US" w:eastAsia="zh-CN" w:bidi="ar"/>
              </w:rPr>
            </w:pPr>
            <w:r>
              <w:rPr>
                <w:rFonts w:hint="default" w:ascii="Times New Roman" w:hAnsi="Times New Roman" w:eastAsia="仿宋_GB2312" w:cs="Times New Roman"/>
                <w:b/>
                <w:bCs/>
                <w:i w:val="0"/>
                <w:iCs w:val="0"/>
                <w:color w:val="auto"/>
                <w:kern w:val="0"/>
                <w:sz w:val="18"/>
                <w:szCs w:val="18"/>
                <w:u w:val="none"/>
                <w:lang w:val="en-US" w:eastAsia="zh-CN" w:bidi="ar"/>
              </w:rPr>
              <w:t>成本费用占比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1</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燃料及动力费</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20082.86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717.25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2</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工资及福利费</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7549.68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269.63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3</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修理费</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23444.45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837.30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4</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其他费用</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4364.62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155.88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5</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经营成本（1+2+3+4）</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55441.61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1980.06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70.59%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6</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折旧费</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18516.60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661.31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7</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摊销费</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0.00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0.00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8</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财务费用</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4578.21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163.51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2"/>
                <w:sz w:val="18"/>
                <w:szCs w:val="18"/>
                <w:u w:val="none"/>
                <w:lang w:val="en-US" w:eastAsia="zh-CN" w:bidi="ar-SA"/>
              </w:rPr>
            </w:pPr>
            <w:r>
              <w:rPr>
                <w:rFonts w:hint="default" w:ascii="Times New Roman" w:hAnsi="Times New Roman" w:eastAsia="仿宋_GB2312" w:cs="Times New Roman"/>
                <w:i w:val="0"/>
                <w:iCs w:val="0"/>
                <w:color w:val="auto"/>
                <w:kern w:val="0"/>
                <w:sz w:val="18"/>
                <w:szCs w:val="18"/>
                <w:u w:val="none"/>
                <w:lang w:val="en-US" w:eastAsia="zh-CN" w:bidi="ar"/>
              </w:rPr>
              <w:t>9</w:t>
            </w:r>
          </w:p>
        </w:tc>
        <w:tc>
          <w:tcPr>
            <w:tcW w:w="337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总成本费用合计（5+6+7+8）</w:t>
            </w:r>
          </w:p>
        </w:tc>
        <w:tc>
          <w:tcPr>
            <w:tcW w:w="1593"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78536.42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2804.87 </w:t>
            </w:r>
          </w:p>
        </w:tc>
        <w:tc>
          <w:tcPr>
            <w:tcW w:w="1336" w:type="dxa"/>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100.00%</w:t>
            </w:r>
          </w:p>
        </w:tc>
      </w:tr>
    </w:tbl>
    <w:p>
      <w:pPr>
        <w:widowControl/>
        <w:spacing w:line="360" w:lineRule="auto"/>
        <w:ind w:firstLine="560" w:firstLineChars="0"/>
        <w:jc w:val="both"/>
        <w:rPr>
          <w:rFonts w:hint="eastAsia" w:cs="Times New Roman"/>
          <w:color w:val="auto"/>
          <w:szCs w:val="28"/>
          <w:lang w:val="en-US" w:eastAsia="zh-CN"/>
        </w:rPr>
      </w:pPr>
      <w:r>
        <w:rPr>
          <w:rFonts w:hint="default" w:ascii="Times New Roman" w:hAnsi="Times New Roman" w:eastAsia="仿宋_GB2312" w:cs="Times New Roman"/>
          <w:color w:val="auto"/>
          <w:szCs w:val="28"/>
        </w:rPr>
        <w:t>1）</w:t>
      </w:r>
      <w:r>
        <w:rPr>
          <w:rFonts w:hint="eastAsia" w:cs="Times New Roman"/>
          <w:color w:val="auto"/>
          <w:szCs w:val="28"/>
          <w:lang w:val="en-US" w:eastAsia="zh-CN"/>
        </w:rPr>
        <w:t>燃料及动力费</w:t>
      </w:r>
    </w:p>
    <w:p>
      <w:pPr>
        <w:widowControl/>
        <w:spacing w:line="360" w:lineRule="auto"/>
        <w:ind w:firstLine="560" w:firstLineChars="0"/>
        <w:jc w:val="both"/>
        <w:rPr>
          <w:rFonts w:hint="default" w:cs="Times New Roman"/>
          <w:color w:val="auto"/>
          <w:szCs w:val="28"/>
          <w:lang w:val="en-US" w:eastAsia="zh-CN"/>
        </w:rPr>
      </w:pPr>
      <w:r>
        <w:rPr>
          <w:rFonts w:hint="eastAsia" w:cs="Times New Roman"/>
          <w:color w:val="auto"/>
          <w:szCs w:val="28"/>
          <w:lang w:val="en-US" w:eastAsia="zh-CN"/>
        </w:rPr>
        <w:t>根据项目情况，能源消耗主要为电力、柴油。经估算，运营期6辆运维车辆，平均每辆运营油耗为12L/百公里，运营里程3万公里/年，柴油价格7.18元/L；灯箱广告牌单个功率60w，每天亮灯12h。路灯顶光伏板功率为300w，日均发电量4065.77千瓦时，发电用于蓄能，不足部分夜间低谷时由电网充电。计算期内，燃料及动力费共计20082.86万元。消耗情况详见图表3-6~3-9。</w:t>
      </w:r>
    </w:p>
    <w:p>
      <w:pPr>
        <w:widowControl/>
        <w:spacing w:line="360" w:lineRule="auto"/>
        <w:ind w:left="0" w:leftChars="0" w:firstLine="0" w:firstLineChars="0"/>
        <w:jc w:val="center"/>
        <w:rPr>
          <w:rFonts w:hint="default" w:cs="Times New Roman"/>
          <w:b/>
          <w:bCs/>
          <w:color w:val="auto"/>
          <w:szCs w:val="28"/>
          <w:lang w:val="en-US" w:eastAsia="zh-CN"/>
        </w:rPr>
      </w:pPr>
      <w:r>
        <w:rPr>
          <w:rFonts w:hint="eastAsia" w:cs="Times New Roman"/>
          <w:b/>
          <w:bCs/>
          <w:color w:val="auto"/>
          <w:szCs w:val="28"/>
          <w:lang w:val="en-US" w:eastAsia="zh-CN"/>
        </w:rPr>
        <w:t>图表3-6  路灯光伏发电</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5"/>
        <w:gridCol w:w="2140"/>
        <w:gridCol w:w="2071"/>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单根装机（w）</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辐射量</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单根发电量(kwh)</w:t>
            </w:r>
          </w:p>
        </w:tc>
        <w:tc>
          <w:tcPr>
            <w:tcW w:w="1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日均发电(kwh)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300.00</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1125.00</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0.79</w:t>
            </w:r>
          </w:p>
        </w:tc>
        <w:tc>
          <w:tcPr>
            <w:tcW w:w="1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4065.77</w:t>
            </w:r>
          </w:p>
        </w:tc>
      </w:tr>
    </w:tbl>
    <w:p>
      <w:pPr>
        <w:widowControl/>
        <w:spacing w:line="360" w:lineRule="auto"/>
        <w:ind w:left="0" w:leftChars="0" w:firstLine="0" w:firstLineChars="0"/>
        <w:jc w:val="center"/>
        <w:rPr>
          <w:rFonts w:hint="default" w:cs="Times New Roman"/>
          <w:color w:val="auto"/>
          <w:szCs w:val="28"/>
          <w:lang w:val="en-US" w:eastAsia="zh-CN"/>
        </w:rPr>
      </w:pPr>
      <w:r>
        <w:rPr>
          <w:rFonts w:hint="eastAsia" w:cs="Times New Roman"/>
          <w:b/>
          <w:bCs/>
          <w:color w:val="auto"/>
          <w:szCs w:val="28"/>
          <w:lang w:val="en-US" w:eastAsia="zh-CN"/>
        </w:rPr>
        <w:t>图表3-7  广告牌用电的情况表</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5"/>
        <w:gridCol w:w="1416"/>
        <w:gridCol w:w="1416"/>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名称</w:t>
            </w:r>
          </w:p>
        </w:tc>
        <w:tc>
          <w:tcPr>
            <w:tcW w:w="832"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亮灯时长</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电价</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（kwh/元）</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功率（w）</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单日用电</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(万元）</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年用电</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广告牌</w:t>
            </w:r>
          </w:p>
        </w:tc>
        <w:tc>
          <w:tcPr>
            <w:tcW w:w="832"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1.21</w:t>
            </w:r>
          </w:p>
        </w:tc>
        <w:tc>
          <w:tcPr>
            <w:tcW w:w="83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83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0.06</w:t>
            </w:r>
          </w:p>
        </w:tc>
        <w:tc>
          <w:tcPr>
            <w:tcW w:w="83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p>
        </w:tc>
        <w:tc>
          <w:tcPr>
            <w:tcW w:w="832"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833"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0.77</w:t>
            </w:r>
          </w:p>
        </w:tc>
        <w:tc>
          <w:tcPr>
            <w:tcW w:w="83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p>
        </w:tc>
        <w:tc>
          <w:tcPr>
            <w:tcW w:w="83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p>
        </w:tc>
        <w:tc>
          <w:tcPr>
            <w:tcW w:w="83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p>
        </w:tc>
      </w:tr>
    </w:tbl>
    <w:p>
      <w:pPr>
        <w:widowControl/>
        <w:spacing w:line="360" w:lineRule="auto"/>
        <w:ind w:left="0" w:leftChars="0" w:firstLine="0" w:firstLineChars="0"/>
        <w:jc w:val="center"/>
        <w:rPr>
          <w:rFonts w:hint="default" w:cs="Times New Roman"/>
          <w:b/>
          <w:bCs/>
          <w:color w:val="auto"/>
          <w:szCs w:val="28"/>
          <w:lang w:val="en-US" w:eastAsia="zh-CN"/>
        </w:rPr>
      </w:pPr>
      <w:r>
        <w:rPr>
          <w:rFonts w:hint="eastAsia" w:cs="Times New Roman"/>
          <w:b/>
          <w:bCs/>
          <w:color w:val="auto"/>
          <w:szCs w:val="28"/>
          <w:lang w:val="en-US" w:eastAsia="zh-CN"/>
        </w:rPr>
        <w:t>图表3-8  储能设备充电费</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5"/>
        <w:gridCol w:w="1415"/>
        <w:gridCol w:w="1415"/>
        <w:gridCol w:w="1415"/>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名称</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储能容量（kwh）</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光伏发电量（kwh）</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日充电量（kwh）</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日电费</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（万元）</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年电费</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储能</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59500.00</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4065.77</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55434.23</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1.88</w:t>
            </w:r>
          </w:p>
        </w:tc>
        <w:tc>
          <w:tcPr>
            <w:tcW w:w="14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687.94</w:t>
            </w:r>
          </w:p>
        </w:tc>
      </w:tr>
    </w:tbl>
    <w:p>
      <w:pPr>
        <w:widowControl/>
        <w:spacing w:line="360" w:lineRule="auto"/>
        <w:ind w:left="0" w:leftChars="0" w:firstLine="0" w:firstLineChars="0"/>
        <w:jc w:val="center"/>
        <w:rPr>
          <w:rFonts w:hint="eastAsia" w:cs="Times New Roman"/>
          <w:color w:val="auto"/>
          <w:szCs w:val="28"/>
          <w:lang w:val="en-US" w:eastAsia="zh-CN"/>
        </w:rPr>
      </w:pPr>
      <w:r>
        <w:rPr>
          <w:rFonts w:hint="eastAsia" w:cs="Times New Roman"/>
          <w:b/>
          <w:bCs/>
          <w:color w:val="auto"/>
          <w:szCs w:val="28"/>
          <w:lang w:val="en-US" w:eastAsia="zh-CN"/>
        </w:rPr>
        <w:t>图表3-9  燃料及动力费</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3385"/>
        <w:gridCol w:w="1590"/>
        <w:gridCol w:w="1336"/>
        <w:gridCol w:w="1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序号</w:t>
            </w:r>
          </w:p>
        </w:tc>
        <w:tc>
          <w:tcPr>
            <w:tcW w:w="19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项目名称</w:t>
            </w:r>
          </w:p>
        </w:tc>
        <w:tc>
          <w:tcPr>
            <w:tcW w:w="9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eastAsia" w:ascii="Times New Roman" w:hAnsi="Times New Roman" w:cs="Times New Roman"/>
                <w:i w:val="0"/>
                <w:iCs w:val="0"/>
                <w:color w:val="000000"/>
                <w:kern w:val="0"/>
                <w:sz w:val="18"/>
                <w:szCs w:val="18"/>
                <w:u w:val="none"/>
                <w:lang w:val="en-US" w:eastAsia="zh-CN" w:bidi="ar"/>
              </w:rPr>
              <w:t>总计（万元）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lang w:val="en-US"/>
              </w:rPr>
            </w:pPr>
            <w:r>
              <w:rPr>
                <w:rFonts w:hint="eastAsia" w:ascii="Times New Roman" w:hAnsi="Times New Roman" w:cs="Times New Roman"/>
                <w:i w:val="0"/>
                <w:iCs w:val="0"/>
                <w:color w:val="000000"/>
                <w:kern w:val="0"/>
                <w:sz w:val="18"/>
                <w:szCs w:val="18"/>
                <w:u w:val="none"/>
                <w:lang w:val="en-US" w:eastAsia="zh-CN" w:bidi="ar"/>
              </w:rPr>
              <w:t>年均（万元）</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eastAsia" w:ascii="Times New Roman" w:hAnsi="Times New Roman" w:cs="Times New Roman"/>
                <w:i w:val="0"/>
                <w:iCs w:val="0"/>
                <w:color w:val="000000"/>
                <w:kern w:val="0"/>
                <w:sz w:val="18"/>
                <w:szCs w:val="18"/>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0</w:t>
            </w:r>
          </w:p>
        </w:tc>
        <w:tc>
          <w:tcPr>
            <w:tcW w:w="19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燃料及动力费</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20082.86</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717.25 </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19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运维车辆动力费</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224.88</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8.03 </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19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广告电费</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595.70</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21.27 </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w:t>
            </w:r>
          </w:p>
        </w:tc>
        <w:tc>
          <w:tcPr>
            <w:tcW w:w="19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储能设备充电电费</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19262.29</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687.94 </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3.57%</w:t>
            </w:r>
          </w:p>
        </w:tc>
      </w:tr>
    </w:tbl>
    <w:p>
      <w:pPr>
        <w:widowControl/>
        <w:spacing w:line="360" w:lineRule="auto"/>
        <w:jc w:val="both"/>
        <w:rPr>
          <w:rFonts w:ascii="Times New Roman" w:hAnsi="Times New Roman" w:cs="Times New Roman"/>
          <w:color w:val="auto"/>
          <w:szCs w:val="28"/>
        </w:rPr>
      </w:pPr>
      <w:r>
        <w:rPr>
          <w:rFonts w:hint="eastAsia" w:cs="Times New Roman"/>
          <w:color w:val="auto"/>
          <w:szCs w:val="28"/>
          <w:lang w:val="en-US" w:eastAsia="zh-CN"/>
        </w:rPr>
        <w:t>2</w:t>
      </w:r>
      <w:r>
        <w:rPr>
          <w:rFonts w:hint="eastAsia" w:ascii="Times New Roman" w:hAnsi="Times New Roman" w:cs="Times New Roman"/>
          <w:color w:val="auto"/>
          <w:szCs w:val="28"/>
          <w:lang w:eastAsia="zh-CN"/>
        </w:rPr>
        <w:t>）</w:t>
      </w:r>
      <w:r>
        <w:rPr>
          <w:rFonts w:ascii="Times New Roman" w:hAnsi="Times New Roman" w:cs="Times New Roman"/>
          <w:color w:val="auto"/>
          <w:szCs w:val="28"/>
        </w:rPr>
        <w:t>工资及福利费</w:t>
      </w:r>
    </w:p>
    <w:p>
      <w:pPr>
        <w:widowControl/>
        <w:spacing w:line="360" w:lineRule="auto"/>
        <w:ind w:firstLine="560" w:firstLineChars="0"/>
        <w:jc w:val="both"/>
        <w:rPr>
          <w:rFonts w:ascii="Times New Roman" w:hAnsi="Times New Roman" w:cs="Times New Roman"/>
          <w:color w:val="auto"/>
          <w:szCs w:val="28"/>
        </w:rPr>
      </w:pPr>
      <w:r>
        <w:rPr>
          <w:rFonts w:ascii="Times New Roman" w:hAnsi="Times New Roman" w:cs="Times New Roman"/>
          <w:color w:val="auto"/>
          <w:szCs w:val="28"/>
        </w:rPr>
        <w:t>工资或薪酬是项目劳动定员的报酬，包括工资、奖金、津贴和补贴、劳动保护以及福利费等。</w:t>
      </w:r>
      <w:bookmarkStart w:id="36" w:name="_Hlk148902662"/>
    </w:p>
    <w:p>
      <w:pPr>
        <w:widowControl/>
        <w:spacing w:line="360" w:lineRule="auto"/>
        <w:ind w:firstLine="560" w:firstLineChars="0"/>
        <w:jc w:val="both"/>
        <w:rPr>
          <w:rFonts w:ascii="Times New Roman" w:hAnsi="Times New Roman" w:cs="Times New Roman"/>
          <w:color w:val="auto"/>
          <w:szCs w:val="28"/>
        </w:rPr>
      </w:pPr>
      <w:r>
        <w:rPr>
          <w:rFonts w:hint="default" w:ascii="Times New Roman" w:hAnsi="Times New Roman" w:cs="Times New Roman"/>
          <w:color w:val="auto"/>
          <w:szCs w:val="28"/>
          <w:lang w:val="en-US" w:eastAsia="zh-CN"/>
        </w:rPr>
        <w:t>人均工资及福利费按照《关于发布湖南省2023年企业工资指导线的通知》（湘人社规〔2023〕17号），参考湖南省统计局公布的2023年湖南省国有企业就业人员年均工资为108430元、全省城镇非私营单位就业人员年平均工资为97015元</w:t>
      </w:r>
      <w:r>
        <w:rPr>
          <w:rFonts w:hint="eastAsia" w:cs="Times New Roman"/>
          <w:color w:val="auto"/>
          <w:szCs w:val="28"/>
          <w:lang w:val="en-US" w:eastAsia="zh-CN"/>
        </w:rPr>
        <w:t>。</w:t>
      </w:r>
    </w:p>
    <w:p>
      <w:pPr>
        <w:widowControl/>
        <w:spacing w:line="360" w:lineRule="auto"/>
        <w:ind w:firstLine="560" w:firstLineChars="0"/>
        <w:jc w:val="both"/>
        <w:rPr>
          <w:rFonts w:ascii="Times New Roman" w:hAnsi="Times New Roman" w:cs="Times New Roman"/>
          <w:color w:val="auto"/>
          <w:szCs w:val="28"/>
        </w:rPr>
      </w:pPr>
      <w:r>
        <w:rPr>
          <w:rFonts w:ascii="Times New Roman" w:hAnsi="Times New Roman" w:cs="Times New Roman"/>
          <w:color w:val="auto"/>
          <w:szCs w:val="28"/>
        </w:rPr>
        <w:t>根据项目组织机构和人力资源配置，项目总人数共</w:t>
      </w:r>
      <w:r>
        <w:rPr>
          <w:rFonts w:hint="eastAsia" w:cs="Times New Roman"/>
          <w:color w:val="auto"/>
          <w:szCs w:val="28"/>
          <w:lang w:val="en-US" w:eastAsia="zh-CN"/>
        </w:rPr>
        <w:t>30</w:t>
      </w:r>
      <w:r>
        <w:rPr>
          <w:rFonts w:ascii="Times New Roman" w:hAnsi="Times New Roman" w:cs="Times New Roman"/>
          <w:color w:val="auto"/>
          <w:szCs w:val="28"/>
        </w:rPr>
        <w:t>人，人均工资及福利费</w:t>
      </w:r>
      <w:r>
        <w:rPr>
          <w:rFonts w:hint="eastAsia" w:cs="Times New Roman"/>
          <w:color w:val="auto"/>
          <w:szCs w:val="28"/>
          <w:lang w:val="en-US" w:eastAsia="zh-CN"/>
        </w:rPr>
        <w:t>8</w:t>
      </w:r>
      <w:r>
        <w:rPr>
          <w:rFonts w:ascii="Times New Roman" w:hAnsi="Times New Roman" w:cs="Times New Roman"/>
          <w:color w:val="auto"/>
          <w:szCs w:val="28"/>
        </w:rPr>
        <w:t>.00万元/年</w:t>
      </w:r>
      <w:r>
        <w:rPr>
          <w:rFonts w:hint="eastAsia" w:cs="Times New Roman"/>
          <w:color w:val="auto"/>
          <w:szCs w:val="28"/>
          <w:lang w:eastAsia="zh-CN"/>
        </w:rPr>
        <w:t>。</w:t>
      </w:r>
      <w:r>
        <w:rPr>
          <w:rFonts w:ascii="Times New Roman" w:hAnsi="Times New Roman" w:cs="Times New Roman"/>
          <w:color w:val="auto"/>
          <w:szCs w:val="28"/>
        </w:rPr>
        <w:t>计算期内，工资及福利费共计</w:t>
      </w:r>
      <w:r>
        <w:rPr>
          <w:rFonts w:hint="eastAsia" w:cs="Times New Roman"/>
          <w:color w:val="auto"/>
          <w:szCs w:val="28"/>
          <w:lang w:val="en-US" w:eastAsia="zh-CN"/>
        </w:rPr>
        <w:t>7549.68</w:t>
      </w:r>
      <w:r>
        <w:rPr>
          <w:rFonts w:ascii="Times New Roman" w:hAnsi="Times New Roman" w:cs="Times New Roman"/>
          <w:color w:val="auto"/>
          <w:szCs w:val="28"/>
        </w:rPr>
        <w:t>万元。</w:t>
      </w:r>
      <w:bookmarkEnd w:id="36"/>
    </w:p>
    <w:p>
      <w:pPr>
        <w:widowControl/>
        <w:spacing w:line="360" w:lineRule="auto"/>
        <w:ind w:firstLine="560" w:firstLineChars="0"/>
        <w:jc w:val="both"/>
        <w:rPr>
          <w:rFonts w:ascii="Times New Roman" w:hAnsi="Times New Roman" w:cs="Times New Roman"/>
          <w:color w:val="auto"/>
          <w:szCs w:val="28"/>
        </w:rPr>
      </w:pPr>
      <w:r>
        <w:rPr>
          <w:rFonts w:hint="eastAsia" w:cs="Times New Roman"/>
          <w:color w:val="auto"/>
          <w:szCs w:val="28"/>
          <w:lang w:val="en-US" w:eastAsia="zh-CN"/>
        </w:rPr>
        <w:t>3</w:t>
      </w:r>
      <w:r>
        <w:rPr>
          <w:rFonts w:hint="eastAsia" w:ascii="Times New Roman" w:hAnsi="Times New Roman" w:cs="Times New Roman"/>
          <w:color w:val="auto"/>
          <w:szCs w:val="28"/>
          <w:lang w:eastAsia="zh-CN"/>
        </w:rPr>
        <w:t>）</w:t>
      </w:r>
      <w:r>
        <w:rPr>
          <w:rFonts w:ascii="Times New Roman" w:hAnsi="Times New Roman" w:cs="Times New Roman"/>
          <w:color w:val="auto"/>
          <w:szCs w:val="28"/>
        </w:rPr>
        <w:t>修理费</w:t>
      </w:r>
    </w:p>
    <w:p>
      <w:pPr>
        <w:widowControl/>
        <w:spacing w:line="360" w:lineRule="auto"/>
        <w:ind w:firstLine="560" w:firstLineChars="0"/>
        <w:jc w:val="both"/>
        <w:rPr>
          <w:rFonts w:ascii="Times New Roman" w:hAnsi="Times New Roman" w:cs="Times New Roman"/>
          <w:color w:val="auto"/>
          <w:szCs w:val="28"/>
        </w:rPr>
      </w:pPr>
      <w:bookmarkStart w:id="37" w:name="_Hlk148902689"/>
      <w:r>
        <w:rPr>
          <w:rFonts w:ascii="Times New Roman" w:hAnsi="Times New Roman" w:cs="Times New Roman"/>
          <w:color w:val="auto"/>
          <w:szCs w:val="28"/>
        </w:rPr>
        <w:t>修理费</w:t>
      </w:r>
      <w:r>
        <w:rPr>
          <w:rFonts w:hint="eastAsia" w:cs="Times New Roman"/>
          <w:color w:val="auto"/>
          <w:szCs w:val="28"/>
          <w:lang w:val="en-US" w:eastAsia="zh-CN"/>
        </w:rPr>
        <w:t>房屋设备按照固定资产原值的1%比例计取，设施设备考虑到设备更新，按照固定资产原值的8%比例计取</w:t>
      </w:r>
      <w:r>
        <w:rPr>
          <w:rFonts w:ascii="Times New Roman" w:hAnsi="Times New Roman" w:cs="Times New Roman"/>
          <w:color w:val="auto"/>
          <w:szCs w:val="28"/>
        </w:rPr>
        <w:t>。计算内，修理费共计</w:t>
      </w:r>
      <w:r>
        <w:rPr>
          <w:rFonts w:hint="eastAsia" w:cs="Times New Roman"/>
          <w:color w:val="auto"/>
          <w:szCs w:val="28"/>
          <w:lang w:val="en-US" w:eastAsia="zh-CN"/>
        </w:rPr>
        <w:t>23444.45</w:t>
      </w:r>
      <w:r>
        <w:rPr>
          <w:rFonts w:ascii="Times New Roman" w:hAnsi="Times New Roman" w:cs="Times New Roman"/>
          <w:color w:val="auto"/>
          <w:szCs w:val="28"/>
        </w:rPr>
        <w:t>万元。</w:t>
      </w:r>
    </w:p>
    <w:bookmarkEnd w:id="37"/>
    <w:p>
      <w:pPr>
        <w:widowControl/>
        <w:spacing w:line="360" w:lineRule="auto"/>
        <w:ind w:firstLine="560" w:firstLineChars="0"/>
        <w:jc w:val="both"/>
        <w:rPr>
          <w:rFonts w:ascii="Times New Roman" w:hAnsi="Times New Roman" w:cs="Times New Roman"/>
          <w:color w:val="auto"/>
          <w:szCs w:val="28"/>
        </w:rPr>
      </w:pPr>
      <w:r>
        <w:rPr>
          <w:rFonts w:hint="eastAsia" w:cs="Times New Roman"/>
          <w:color w:val="auto"/>
          <w:szCs w:val="28"/>
          <w:lang w:val="en-US" w:eastAsia="zh-CN"/>
        </w:rPr>
        <w:t>4</w:t>
      </w:r>
      <w:r>
        <w:rPr>
          <w:rFonts w:hint="eastAsia" w:ascii="Times New Roman" w:hAnsi="Times New Roman" w:cs="Times New Roman"/>
          <w:color w:val="auto"/>
          <w:szCs w:val="28"/>
          <w:lang w:eastAsia="zh-CN"/>
        </w:rPr>
        <w:t>）</w:t>
      </w:r>
      <w:r>
        <w:rPr>
          <w:rFonts w:ascii="Times New Roman" w:hAnsi="Times New Roman" w:cs="Times New Roman"/>
          <w:color w:val="auto"/>
          <w:szCs w:val="28"/>
        </w:rPr>
        <w:t>其他费用</w:t>
      </w:r>
    </w:p>
    <w:p>
      <w:pPr>
        <w:widowControl/>
        <w:spacing w:line="360" w:lineRule="auto"/>
        <w:ind w:firstLine="560" w:firstLineChars="0"/>
        <w:jc w:val="both"/>
        <w:rPr>
          <w:rFonts w:ascii="Times New Roman" w:hAnsi="Times New Roman" w:cs="Times New Roman"/>
          <w:color w:val="auto"/>
          <w:szCs w:val="28"/>
        </w:rPr>
      </w:pPr>
      <w:bookmarkStart w:id="38" w:name="_Hlk148902705"/>
      <w:r>
        <w:rPr>
          <w:rFonts w:ascii="Times New Roman" w:hAnsi="Times New Roman" w:cs="Times New Roman"/>
          <w:color w:val="auto"/>
          <w:szCs w:val="28"/>
        </w:rPr>
        <w:t>其他费用主要包括其他管理费用、其他销售费用，按照收入的</w:t>
      </w:r>
      <w:r>
        <w:rPr>
          <w:rFonts w:hint="eastAsia" w:cs="Times New Roman"/>
          <w:color w:val="auto"/>
          <w:szCs w:val="28"/>
          <w:lang w:val="en-US" w:eastAsia="zh-CN"/>
        </w:rPr>
        <w:t>3</w:t>
      </w:r>
      <w:r>
        <w:rPr>
          <w:rFonts w:ascii="Times New Roman" w:hAnsi="Times New Roman" w:cs="Times New Roman"/>
          <w:color w:val="auto"/>
          <w:szCs w:val="28"/>
        </w:rPr>
        <w:t>%计算。计算期内，其他费用</w:t>
      </w:r>
      <w:r>
        <w:rPr>
          <w:rFonts w:hint="eastAsia" w:cs="Times New Roman"/>
          <w:color w:val="auto"/>
          <w:szCs w:val="28"/>
          <w:lang w:val="en-US" w:eastAsia="zh-CN"/>
        </w:rPr>
        <w:t>4364.62</w:t>
      </w:r>
      <w:r>
        <w:rPr>
          <w:rFonts w:ascii="Times New Roman" w:hAnsi="Times New Roman" w:cs="Times New Roman"/>
          <w:color w:val="auto"/>
          <w:szCs w:val="28"/>
        </w:rPr>
        <w:t>万元。</w:t>
      </w:r>
    </w:p>
    <w:bookmarkEnd w:id="38"/>
    <w:p>
      <w:pPr>
        <w:widowControl/>
        <w:spacing w:line="360" w:lineRule="auto"/>
        <w:ind w:firstLine="560" w:firstLineChars="0"/>
        <w:jc w:val="both"/>
        <w:rPr>
          <w:rFonts w:ascii="Times New Roman" w:hAnsi="Times New Roman" w:cs="Times New Roman"/>
          <w:color w:val="auto"/>
          <w:szCs w:val="28"/>
        </w:rPr>
      </w:pPr>
      <w:r>
        <w:rPr>
          <w:rFonts w:hint="eastAsia" w:cs="Times New Roman"/>
          <w:color w:val="auto"/>
          <w:szCs w:val="28"/>
          <w:lang w:val="en-US" w:eastAsia="zh-CN"/>
        </w:rPr>
        <w:t>5</w:t>
      </w: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rPr>
        <w:t>折旧费</w:t>
      </w:r>
    </w:p>
    <w:p>
      <w:pPr>
        <w:widowControl/>
        <w:spacing w:line="360" w:lineRule="auto"/>
        <w:ind w:firstLine="560" w:firstLineChars="0"/>
        <w:jc w:val="both"/>
        <w:rPr>
          <w:rFonts w:ascii="Times New Roman" w:hAnsi="Times New Roman" w:cs="Times New Roman"/>
          <w:color w:val="auto"/>
          <w:szCs w:val="28"/>
        </w:rPr>
      </w:pPr>
      <w:r>
        <w:rPr>
          <w:rFonts w:hint="eastAsia" w:ascii="Times New Roman" w:hAnsi="Times New Roman" w:cs="Times New Roman"/>
          <w:color w:val="auto"/>
          <w:szCs w:val="28"/>
        </w:rPr>
        <w:t>折旧年限</w:t>
      </w:r>
      <w:r>
        <w:rPr>
          <w:rFonts w:hint="eastAsia" w:cs="Times New Roman"/>
          <w:color w:val="auto"/>
          <w:szCs w:val="28"/>
          <w:lang w:val="en-US" w:eastAsia="zh-CN"/>
        </w:rPr>
        <w:t>28</w:t>
      </w:r>
      <w:r>
        <w:rPr>
          <w:rFonts w:hint="eastAsia" w:ascii="Times New Roman" w:hAnsi="Times New Roman" w:cs="Times New Roman"/>
          <w:color w:val="auto"/>
          <w:szCs w:val="28"/>
        </w:rPr>
        <w:t>年。运营期内，折旧费</w:t>
      </w:r>
      <w:r>
        <w:rPr>
          <w:rFonts w:hint="eastAsia" w:cs="Times New Roman"/>
          <w:color w:val="auto"/>
          <w:szCs w:val="28"/>
          <w:lang w:val="en-US" w:eastAsia="zh-CN"/>
        </w:rPr>
        <w:t>18516.60</w:t>
      </w:r>
      <w:r>
        <w:rPr>
          <w:rFonts w:hint="eastAsia" w:ascii="Times New Roman" w:hAnsi="Times New Roman" w:cs="Times New Roman"/>
          <w:color w:val="auto"/>
          <w:szCs w:val="28"/>
        </w:rPr>
        <w:t>万元。</w:t>
      </w:r>
    </w:p>
    <w:p>
      <w:pPr>
        <w:widowControl/>
        <w:spacing w:line="360" w:lineRule="auto"/>
        <w:ind w:firstLine="560" w:firstLineChars="0"/>
        <w:jc w:val="both"/>
        <w:rPr>
          <w:rFonts w:ascii="Times New Roman" w:hAnsi="Times New Roman" w:cs="Times New Roman"/>
          <w:color w:val="auto"/>
          <w:szCs w:val="28"/>
        </w:rPr>
      </w:pPr>
      <w:r>
        <w:rPr>
          <w:rFonts w:hint="eastAsia" w:cs="Times New Roman"/>
          <w:color w:val="auto"/>
          <w:szCs w:val="28"/>
          <w:lang w:val="en-US" w:eastAsia="zh-CN"/>
        </w:rPr>
        <w:t>6</w:t>
      </w: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rPr>
        <w:t>财务费用</w:t>
      </w:r>
    </w:p>
    <w:p>
      <w:pPr>
        <w:rPr>
          <w:rFonts w:hint="default" w:ascii="Times New Roman" w:hAnsi="Times New Roman" w:eastAsia="仿宋_GB2312" w:cs="Times New Roman"/>
          <w:color w:val="auto"/>
          <w:szCs w:val="28"/>
        </w:rPr>
      </w:pPr>
      <w:r>
        <w:rPr>
          <w:rFonts w:hint="eastAsia" w:ascii="Times New Roman" w:hAnsi="Times New Roman" w:cs="Times New Roman"/>
          <w:color w:val="auto"/>
          <w:szCs w:val="28"/>
        </w:rPr>
        <w:t>财务费用包括银行贷款利息，银行贷款利息按</w:t>
      </w:r>
      <w:r>
        <w:rPr>
          <w:rFonts w:hint="eastAsia" w:ascii="Times New Roman" w:hAnsi="Times New Roman" w:cs="Times New Roman"/>
          <w:color w:val="auto"/>
          <w:szCs w:val="28"/>
          <w:lang w:val="en-US" w:eastAsia="zh-CN"/>
        </w:rPr>
        <w:t>4.3</w:t>
      </w:r>
      <w:r>
        <w:rPr>
          <w:rFonts w:ascii="Times New Roman" w:hAnsi="Times New Roman" w:cs="Times New Roman"/>
          <w:color w:val="auto"/>
          <w:szCs w:val="28"/>
        </w:rPr>
        <w:t>0</w:t>
      </w:r>
      <w:r>
        <w:rPr>
          <w:rFonts w:hint="eastAsia" w:ascii="Times New Roman" w:hAnsi="Times New Roman" w:cs="Times New Roman"/>
          <w:color w:val="auto"/>
          <w:szCs w:val="28"/>
        </w:rPr>
        <w:t>%计算，还本期1</w:t>
      </w:r>
      <w:r>
        <w:rPr>
          <w:rFonts w:hint="eastAsia" w:cs="Times New Roman"/>
          <w:color w:val="auto"/>
          <w:szCs w:val="28"/>
          <w:lang w:val="en-US" w:eastAsia="zh-CN"/>
        </w:rPr>
        <w:t>3</w:t>
      </w:r>
      <w:r>
        <w:rPr>
          <w:rFonts w:hint="eastAsia" w:ascii="Times New Roman" w:hAnsi="Times New Roman" w:cs="Times New Roman"/>
          <w:color w:val="auto"/>
          <w:szCs w:val="28"/>
        </w:rPr>
        <w:t>年，运营期内，财务费用合计</w:t>
      </w:r>
      <w:r>
        <w:rPr>
          <w:rFonts w:hint="eastAsia" w:cs="Times New Roman"/>
          <w:color w:val="auto"/>
          <w:szCs w:val="28"/>
          <w:lang w:val="en-US" w:eastAsia="zh-CN"/>
        </w:rPr>
        <w:t>4578.21</w:t>
      </w:r>
      <w:r>
        <w:rPr>
          <w:rFonts w:hint="eastAsia" w:ascii="Times New Roman" w:hAnsi="Times New Roman" w:cs="Times New Roman"/>
          <w:color w:val="auto"/>
          <w:szCs w:val="28"/>
        </w:rPr>
        <w:t>万元</w:t>
      </w:r>
      <w:r>
        <w:rPr>
          <w:rFonts w:hint="default" w:ascii="Times New Roman" w:hAnsi="Times New Roman" w:eastAsia="仿宋_GB2312" w:cs="Times New Roman"/>
          <w:color w:val="auto"/>
          <w:szCs w:val="28"/>
        </w:rPr>
        <w:t>。</w:t>
      </w:r>
    </w:p>
    <w:p>
      <w:pPr>
        <w:widowControl/>
        <w:spacing w:line="360" w:lineRule="auto"/>
        <w:ind w:firstLine="560" w:firstLineChars="0"/>
        <w:jc w:val="both"/>
        <w:outlineLvl w:val="3"/>
        <w:rPr>
          <w:rFonts w:hint="default" w:ascii="Times New Roman" w:hAnsi="Times New Roman" w:cs="Times New Roman"/>
          <w:color w:val="auto"/>
          <w:szCs w:val="28"/>
        </w:rPr>
      </w:pPr>
      <w:r>
        <w:rPr>
          <w:rFonts w:hint="default" w:ascii="Times New Roman" w:hAnsi="Times New Roman" w:cs="Times New Roman"/>
          <w:color w:val="auto"/>
          <w:szCs w:val="28"/>
        </w:rPr>
        <w:t>3、税费估算</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（1）税费政策</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项目经营涉及的税费种类主要包括增值税、城市维护建设税、教育费附加费、地方教育费附加费和企业所得税等六类税费。</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1）增值税：广告经营行业增值税进项税率为6%，外购服务或商品增值税税率为6%和13%等两种。</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2）印花税：按照收入的0.03%计算。</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3）城市维护建设税：按照应纳增值税的7%缴纳。</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4）教育费附加费：按照应纳增值税的3%缴纳。</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5）地方教育费附加费：按照应纳增值税的2%缴纳。</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6）企业所得税：按照应纳税所得额的25%缴纳。</w:t>
      </w:r>
    </w:p>
    <w:p>
      <w:pPr>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（2）税费计算</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lang w:val="en-US" w:eastAsia="zh-CN"/>
        </w:rPr>
        <w:t>根据涉及税费种类及税率，计算期内，累计纳税总额</w:t>
      </w:r>
      <w:r>
        <w:rPr>
          <w:rFonts w:hint="eastAsia" w:cs="Times New Roman"/>
          <w:color w:val="auto"/>
          <w:szCs w:val="28"/>
          <w:lang w:val="en-US" w:eastAsia="zh-CN"/>
        </w:rPr>
        <w:t>25221.24</w:t>
      </w:r>
      <w:r>
        <w:rPr>
          <w:rFonts w:hint="default" w:ascii="Times New Roman" w:hAnsi="Times New Roman" w:eastAsia="仿宋_GB2312" w:cs="Times New Roman"/>
          <w:color w:val="auto"/>
          <w:szCs w:val="28"/>
          <w:lang w:val="en-US" w:eastAsia="zh-CN"/>
        </w:rPr>
        <w:t>万元，其中增值税</w:t>
      </w:r>
      <w:r>
        <w:rPr>
          <w:rFonts w:hint="eastAsia" w:cs="Times New Roman"/>
          <w:color w:val="auto"/>
          <w:szCs w:val="28"/>
          <w:lang w:val="en-US" w:eastAsia="zh-CN"/>
        </w:rPr>
        <w:t>7753.05</w:t>
      </w:r>
      <w:r>
        <w:rPr>
          <w:rFonts w:hint="default" w:ascii="Times New Roman" w:hAnsi="Times New Roman" w:eastAsia="仿宋_GB2312" w:cs="Times New Roman"/>
          <w:color w:val="auto"/>
          <w:szCs w:val="28"/>
          <w:lang w:val="en-US" w:eastAsia="zh-CN"/>
        </w:rPr>
        <w:t>万元、税金及附加</w:t>
      </w:r>
      <w:r>
        <w:rPr>
          <w:rFonts w:hint="eastAsia" w:cs="Times New Roman"/>
          <w:color w:val="auto"/>
          <w:szCs w:val="28"/>
          <w:lang w:val="en-US" w:eastAsia="zh-CN"/>
        </w:rPr>
        <w:t>974.01</w:t>
      </w:r>
      <w:r>
        <w:rPr>
          <w:rFonts w:hint="default" w:ascii="Times New Roman" w:hAnsi="Times New Roman" w:eastAsia="仿宋_GB2312" w:cs="Times New Roman"/>
          <w:color w:val="auto"/>
          <w:szCs w:val="28"/>
          <w:lang w:val="en-US" w:eastAsia="zh-CN"/>
        </w:rPr>
        <w:t>万元、企业所得税</w:t>
      </w:r>
      <w:r>
        <w:rPr>
          <w:rFonts w:hint="eastAsia" w:cs="Times New Roman"/>
          <w:color w:val="auto"/>
          <w:szCs w:val="28"/>
          <w:lang w:val="en-US" w:eastAsia="zh-CN"/>
        </w:rPr>
        <w:t>16494.18</w:t>
      </w:r>
      <w:r>
        <w:rPr>
          <w:rFonts w:hint="default" w:ascii="Times New Roman" w:hAnsi="Times New Roman" w:eastAsia="仿宋_GB2312" w:cs="Times New Roman"/>
          <w:color w:val="auto"/>
          <w:szCs w:val="28"/>
          <w:lang w:val="en-US" w:eastAsia="zh-CN"/>
        </w:rPr>
        <w:t>万元</w:t>
      </w:r>
      <w:r>
        <w:rPr>
          <w:rFonts w:hint="default" w:ascii="Times New Roman" w:hAnsi="Times New Roman" w:eastAsia="仿宋_GB2312" w:cs="Times New Roman"/>
          <w:color w:val="auto"/>
          <w:szCs w:val="28"/>
        </w:rPr>
        <w:t>。</w:t>
      </w:r>
    </w:p>
    <w:p>
      <w:pPr>
        <w:pStyle w:val="5"/>
        <w:numPr>
          <w:ilvl w:val="0"/>
          <w:numId w:val="0"/>
        </w:numPr>
        <w:tabs>
          <w:tab w:val="clear" w:pos="420"/>
        </w:tabs>
        <w:ind w:left="113"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4、盈利能力分析</w:t>
      </w:r>
    </w:p>
    <w:p>
      <w:pPr>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运营期内，项目年均收入</w:t>
      </w:r>
      <w:r>
        <w:rPr>
          <w:rFonts w:hint="eastAsia" w:cs="Times New Roman"/>
          <w:color w:val="auto"/>
          <w:szCs w:val="28"/>
          <w:lang w:val="en-US" w:eastAsia="zh-CN"/>
        </w:rPr>
        <w:t>5195.97</w:t>
      </w:r>
      <w:r>
        <w:rPr>
          <w:rFonts w:hint="default" w:ascii="Times New Roman" w:hAnsi="Times New Roman" w:eastAsia="仿宋_GB2312" w:cs="Times New Roman"/>
          <w:color w:val="auto"/>
          <w:szCs w:val="28"/>
        </w:rPr>
        <w:t>万元，年均总成本费用</w:t>
      </w:r>
      <w:r>
        <w:rPr>
          <w:rFonts w:hint="eastAsia" w:cs="Times New Roman"/>
          <w:color w:val="auto"/>
          <w:szCs w:val="28"/>
          <w:lang w:val="en-US" w:eastAsia="zh-CN"/>
        </w:rPr>
        <w:t>2804.87</w:t>
      </w:r>
      <w:r>
        <w:rPr>
          <w:rFonts w:hint="default" w:ascii="Times New Roman" w:hAnsi="Times New Roman" w:eastAsia="仿宋_GB2312" w:cs="Times New Roman"/>
          <w:color w:val="auto"/>
          <w:szCs w:val="28"/>
        </w:rPr>
        <w:t>万元，年均利润总额</w:t>
      </w:r>
      <w:r>
        <w:rPr>
          <w:rFonts w:hint="eastAsia" w:cs="Times New Roman"/>
          <w:color w:val="auto"/>
          <w:szCs w:val="28"/>
          <w:lang w:val="en-US" w:eastAsia="zh-CN"/>
        </w:rPr>
        <w:t>2356.31</w:t>
      </w:r>
      <w:r>
        <w:rPr>
          <w:rFonts w:hint="default" w:ascii="Times New Roman" w:hAnsi="Times New Roman" w:eastAsia="仿宋_GB2312" w:cs="Times New Roman"/>
          <w:color w:val="auto"/>
          <w:szCs w:val="28"/>
        </w:rPr>
        <w:t>万元，所得税后项目投资财务内部收益率</w:t>
      </w:r>
      <w:r>
        <w:rPr>
          <w:rFonts w:hint="eastAsia" w:cs="Times New Roman"/>
          <w:color w:val="auto"/>
          <w:szCs w:val="28"/>
          <w:lang w:val="en-US" w:eastAsia="zh-CN"/>
        </w:rPr>
        <w:t>11.21</w:t>
      </w:r>
      <w:r>
        <w:rPr>
          <w:rFonts w:hint="default" w:ascii="Times New Roman" w:hAnsi="Times New Roman" w:eastAsia="仿宋_GB2312" w:cs="Times New Roman"/>
          <w:color w:val="auto"/>
          <w:szCs w:val="28"/>
        </w:rPr>
        <w:t>%（＞6%），所得税后项目投资财务净现值</w:t>
      </w:r>
      <w:r>
        <w:rPr>
          <w:rFonts w:hint="eastAsia" w:cs="Times New Roman"/>
          <w:color w:val="auto"/>
          <w:szCs w:val="28"/>
          <w:lang w:val="en-US" w:eastAsia="zh-CN"/>
        </w:rPr>
        <w:t>11917.64</w:t>
      </w:r>
      <w:r>
        <w:rPr>
          <w:rFonts w:hint="default" w:ascii="Times New Roman" w:hAnsi="Times New Roman" w:eastAsia="仿宋_GB2312" w:cs="Times New Roman"/>
          <w:color w:val="auto"/>
          <w:szCs w:val="28"/>
        </w:rPr>
        <w:t>万元，所得税后项目投资回收期</w:t>
      </w:r>
      <w:r>
        <w:rPr>
          <w:rFonts w:hint="eastAsia" w:cs="Times New Roman"/>
          <w:color w:val="auto"/>
          <w:szCs w:val="28"/>
          <w:lang w:val="en-US" w:eastAsia="zh-CN"/>
        </w:rPr>
        <w:t>10.43</w:t>
      </w:r>
      <w:r>
        <w:rPr>
          <w:rFonts w:hint="default" w:ascii="Times New Roman" w:hAnsi="Times New Roman" w:eastAsia="仿宋_GB2312" w:cs="Times New Roman"/>
          <w:color w:val="auto"/>
          <w:szCs w:val="28"/>
        </w:rPr>
        <w:t>年（含建设期</w:t>
      </w:r>
      <w:r>
        <w:rPr>
          <w:rFonts w:hint="default" w:ascii="Times New Roman" w:hAnsi="Times New Roman" w:eastAsia="仿宋_GB2312" w:cs="Times New Roman"/>
          <w:color w:val="auto"/>
          <w:szCs w:val="28"/>
          <w:lang w:val="en-US" w:eastAsia="zh-CN"/>
        </w:rPr>
        <w:t>2</w:t>
      </w:r>
      <w:r>
        <w:rPr>
          <w:rFonts w:hint="default" w:ascii="Times New Roman" w:hAnsi="Times New Roman" w:eastAsia="仿宋_GB2312" w:cs="Times New Roman"/>
          <w:color w:val="auto"/>
          <w:szCs w:val="28"/>
        </w:rPr>
        <w:t>年）。因此，项目盈利能力较好，具备可融资性。主要盈利能力评价指标</w:t>
      </w:r>
      <w:r>
        <w:rPr>
          <w:rFonts w:hint="default" w:ascii="Times New Roman" w:hAnsi="Times New Roman" w:eastAsia="仿宋_GB2312" w:cs="Times New Roman"/>
          <w:color w:val="auto"/>
          <w:szCs w:val="28"/>
          <w:lang w:val="en-US" w:eastAsia="zh-CN"/>
        </w:rPr>
        <w:t>见下表</w:t>
      </w:r>
      <w:r>
        <w:rPr>
          <w:rFonts w:hint="default" w:ascii="Times New Roman" w:hAnsi="Times New Roman" w:eastAsia="仿宋_GB2312" w:cs="Times New Roman"/>
          <w:color w:val="auto"/>
          <w:szCs w:val="28"/>
        </w:rPr>
        <w:t>所示。</w:t>
      </w:r>
    </w:p>
    <w:p>
      <w:pPr>
        <w:ind w:firstLine="562"/>
        <w:jc w:val="center"/>
        <w:rPr>
          <w:rFonts w:hint="default" w:ascii="Times New Roman" w:hAnsi="Times New Roman" w:eastAsia="仿宋_GB2312" w:cs="Times New Roman"/>
          <w:b/>
          <w:color w:val="auto"/>
          <w:szCs w:val="28"/>
        </w:rPr>
      </w:pPr>
      <w:r>
        <w:rPr>
          <w:rFonts w:hint="default" w:ascii="Times New Roman" w:hAnsi="Times New Roman" w:eastAsia="仿宋_GB2312" w:cs="Times New Roman"/>
          <w:b/>
          <w:color w:val="auto"/>
          <w:szCs w:val="28"/>
        </w:rPr>
        <w:t>图表3-8  主要盈利能力评价指标表</w:t>
      </w:r>
    </w:p>
    <w:tbl>
      <w:tblPr>
        <w:tblStyle w:val="59"/>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553"/>
        <w:gridCol w:w="849"/>
        <w:gridCol w:w="1559"/>
        <w:gridCol w:w="1419"/>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5"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序号</w:t>
            </w:r>
          </w:p>
        </w:tc>
        <w:tc>
          <w:tcPr>
            <w:tcW w:w="2553"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指标名称</w:t>
            </w:r>
          </w:p>
        </w:tc>
        <w:tc>
          <w:tcPr>
            <w:tcW w:w="84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单位</w:t>
            </w:r>
          </w:p>
        </w:tc>
        <w:tc>
          <w:tcPr>
            <w:tcW w:w="155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所得税前</w:t>
            </w:r>
          </w:p>
        </w:tc>
        <w:tc>
          <w:tcPr>
            <w:tcW w:w="141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所得税后</w:t>
            </w:r>
          </w:p>
        </w:tc>
        <w:tc>
          <w:tcPr>
            <w:tcW w:w="1202"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kern w:val="2"/>
                <w:sz w:val="18"/>
                <w:szCs w:val="1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1</w:t>
            </w:r>
          </w:p>
        </w:tc>
        <w:tc>
          <w:tcPr>
            <w:tcW w:w="2553"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项目投资财务内部收益率</w:t>
            </w:r>
          </w:p>
        </w:tc>
        <w:tc>
          <w:tcPr>
            <w:tcW w:w="84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w:t>
            </w:r>
          </w:p>
        </w:tc>
        <w:tc>
          <w:tcPr>
            <w:tcW w:w="155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13.94 </w:t>
            </w:r>
          </w:p>
        </w:tc>
        <w:tc>
          <w:tcPr>
            <w:tcW w:w="141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11.21 </w:t>
            </w:r>
          </w:p>
        </w:tc>
        <w:tc>
          <w:tcPr>
            <w:tcW w:w="1202"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2</w:t>
            </w:r>
          </w:p>
        </w:tc>
        <w:tc>
          <w:tcPr>
            <w:tcW w:w="2553"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项目投资财务净现值</w:t>
            </w:r>
          </w:p>
        </w:tc>
        <w:tc>
          <w:tcPr>
            <w:tcW w:w="84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万元</w:t>
            </w:r>
          </w:p>
        </w:tc>
        <w:tc>
          <w:tcPr>
            <w:tcW w:w="155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15256.37 </w:t>
            </w:r>
          </w:p>
        </w:tc>
        <w:tc>
          <w:tcPr>
            <w:tcW w:w="141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11917.64 </w:t>
            </w:r>
          </w:p>
        </w:tc>
        <w:tc>
          <w:tcPr>
            <w:tcW w:w="1202"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3</w:t>
            </w:r>
          </w:p>
        </w:tc>
        <w:tc>
          <w:tcPr>
            <w:tcW w:w="2553"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项目投资回收期</w:t>
            </w:r>
          </w:p>
        </w:tc>
        <w:tc>
          <w:tcPr>
            <w:tcW w:w="849"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年</w:t>
            </w:r>
          </w:p>
        </w:tc>
        <w:tc>
          <w:tcPr>
            <w:tcW w:w="155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8.85 </w:t>
            </w:r>
          </w:p>
        </w:tc>
        <w:tc>
          <w:tcPr>
            <w:tcW w:w="1419" w:type="dxa"/>
            <w:shd w:val="clear" w:color="auto" w:fill="auto"/>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 xml:space="preserve">10.43 </w:t>
            </w:r>
          </w:p>
        </w:tc>
        <w:tc>
          <w:tcPr>
            <w:tcW w:w="1202" w:type="dxa"/>
            <w:vAlign w:val="center"/>
          </w:tcPr>
          <w:p>
            <w:pPr>
              <w:widowControl w:val="0"/>
              <w:spacing w:line="240" w:lineRule="atLeast"/>
              <w:ind w:firstLine="0" w:firstLineChars="0"/>
              <w:jc w:val="center"/>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含建设期</w:t>
            </w:r>
          </w:p>
        </w:tc>
      </w:tr>
    </w:tbl>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项目融资方案</w:t>
      </w:r>
    </w:p>
    <w:p>
      <w:pPr>
        <w:spacing w:line="24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项目总投资</w:t>
      </w:r>
      <w:r>
        <w:rPr>
          <w:rFonts w:hint="eastAsia" w:cs="Times New Roman"/>
          <w:color w:val="auto"/>
          <w:lang w:val="en-US" w:eastAsia="zh-CN"/>
        </w:rPr>
        <w:t>20378.95</w:t>
      </w:r>
      <w:r>
        <w:rPr>
          <w:rFonts w:hint="default" w:ascii="Times New Roman" w:hAnsi="Times New Roman" w:eastAsia="仿宋_GB2312" w:cs="Times New Roman"/>
          <w:color w:val="auto"/>
          <w:lang w:val="en-US" w:eastAsia="zh-CN"/>
        </w:rPr>
        <w:t>万元，自筹资金</w:t>
      </w:r>
      <w:r>
        <w:rPr>
          <w:rFonts w:hint="eastAsia" w:cs="Times New Roman"/>
          <w:color w:val="auto"/>
          <w:lang w:val="en-US" w:eastAsia="zh-CN"/>
        </w:rPr>
        <w:t>6178.95</w:t>
      </w:r>
      <w:r>
        <w:rPr>
          <w:rFonts w:hint="default" w:ascii="Times New Roman" w:hAnsi="Times New Roman" w:eastAsia="仿宋_GB2312" w:cs="Times New Roman"/>
          <w:color w:val="auto"/>
          <w:lang w:val="en-US" w:eastAsia="zh-CN"/>
        </w:rPr>
        <w:t>万元，占总投资约3</w:t>
      </w:r>
      <w:r>
        <w:rPr>
          <w:rFonts w:hint="eastAsia" w:cs="Times New Roman"/>
          <w:color w:val="auto"/>
          <w:lang w:val="en-US" w:eastAsia="zh-CN"/>
        </w:rPr>
        <w:t>0.32</w:t>
      </w:r>
      <w:r>
        <w:rPr>
          <w:rFonts w:hint="default" w:ascii="Times New Roman" w:hAnsi="Times New Roman" w:eastAsia="仿宋_GB2312" w:cs="Times New Roman"/>
          <w:color w:val="auto"/>
          <w:lang w:val="en-US" w:eastAsia="zh-CN"/>
        </w:rPr>
        <w:t>%，银行贷款</w:t>
      </w:r>
      <w:r>
        <w:rPr>
          <w:rFonts w:hint="eastAsia" w:cs="Times New Roman"/>
          <w:color w:val="auto"/>
          <w:lang w:val="en-US" w:eastAsia="zh-CN"/>
        </w:rPr>
        <w:t>142</w:t>
      </w:r>
      <w:r>
        <w:rPr>
          <w:rFonts w:hint="default" w:ascii="Times New Roman" w:hAnsi="Times New Roman" w:eastAsia="仿宋_GB2312" w:cs="Times New Roman"/>
          <w:color w:val="auto"/>
          <w:lang w:val="en-US" w:eastAsia="zh-CN"/>
        </w:rPr>
        <w:t>00.00万元，占总投资约</w:t>
      </w:r>
      <w:r>
        <w:rPr>
          <w:rFonts w:hint="eastAsia" w:cs="Times New Roman"/>
          <w:color w:val="auto"/>
          <w:lang w:val="en-US" w:eastAsia="zh-CN"/>
        </w:rPr>
        <w:t>69.68</w:t>
      </w:r>
      <w:r>
        <w:rPr>
          <w:rFonts w:hint="default" w:ascii="Times New Roman" w:hAnsi="Times New Roman" w:eastAsia="仿宋_GB2312" w:cs="Times New Roman"/>
          <w:color w:val="auto"/>
          <w:lang w:val="en-US" w:eastAsia="zh-CN"/>
        </w:rPr>
        <w:t>%，贷款年限15年，其中建设期2年，还本期13年</w:t>
      </w:r>
      <w:r>
        <w:rPr>
          <w:rFonts w:hint="eastAsia" w:ascii="Times New Roman" w:hAnsi="Times New Roman" w:cs="Times New Roman"/>
          <w:color w:val="auto"/>
          <w:lang w:val="en-US" w:eastAsia="zh-CN"/>
        </w:rPr>
        <w:t>。</w:t>
      </w:r>
    </w:p>
    <w:p>
      <w:pPr>
        <w:spacing w:line="24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受让单位可根据实际需求，根据国务院固定资产投资项目资本金管理制度开展项目融资，实施机构不对本项目融资承担任何增信责任，受让单位应自行承担融资责任和融资风险。</w:t>
      </w:r>
    </w:p>
    <w:p>
      <w:pPr>
        <w:spacing w:line="24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为本项目融资之目的，受让单位可在其按约定享有所有权的项目设施、项目收益权或其他权益上设置抵押、质押等方式进行融资，但受让单位应在经营权到期之日前解除全部项目设施的抵押和项目收益权等权利的质押或等担保措施。</w:t>
      </w:r>
    </w:p>
    <w:p>
      <w:pPr>
        <w:pStyle w:val="3"/>
        <w:spacing w:before="0" w:beforeLines="0"/>
        <w:rPr>
          <w:rFonts w:hint="default" w:ascii="Times New Roman" w:hAnsi="Times New Roman" w:eastAsia="仿宋_GB2312" w:cs="Times New Roman"/>
          <w:color w:val="auto"/>
        </w:rPr>
      </w:pPr>
      <w:bookmarkStart w:id="39" w:name="_Toc8186"/>
      <w:r>
        <w:rPr>
          <w:rFonts w:hint="default" w:ascii="Times New Roman" w:hAnsi="Times New Roman" w:eastAsia="仿宋_GB2312" w:cs="Times New Roman"/>
          <w:color w:val="auto"/>
        </w:rPr>
        <w:t>回报机制</w:t>
      </w:r>
      <w:bookmarkEnd w:id="39"/>
    </w:p>
    <w:p>
      <w:pPr>
        <w:spacing w:line="24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本项目收入来源</w:t>
      </w:r>
      <w:r>
        <w:rPr>
          <w:rFonts w:hint="default" w:ascii="Times New Roman" w:hAnsi="Times New Roman" w:eastAsia="仿宋_GB2312" w:cs="Times New Roman"/>
          <w:color w:val="auto"/>
          <w:lang w:val="en-US" w:eastAsia="zh-CN"/>
        </w:rPr>
        <w:t>为</w:t>
      </w:r>
      <w:r>
        <w:rPr>
          <w:rFonts w:hint="eastAsia" w:cs="Times New Roman"/>
          <w:color w:val="auto"/>
          <w:lang w:val="en-US" w:eastAsia="zh-CN"/>
        </w:rPr>
        <w:t>储能</w:t>
      </w:r>
      <w:r>
        <w:rPr>
          <w:rFonts w:hint="default" w:ascii="Times New Roman" w:hAnsi="Times New Roman" w:eastAsia="仿宋_GB2312" w:cs="Times New Roman"/>
          <w:color w:val="auto"/>
          <w:lang w:val="en-US" w:eastAsia="zh-CN"/>
        </w:rPr>
        <w:t>供电、广告位</w:t>
      </w:r>
      <w:r>
        <w:rPr>
          <w:rFonts w:hint="eastAsia" w:cs="Times New Roman"/>
          <w:color w:val="auto"/>
          <w:lang w:val="en-US" w:eastAsia="zh-CN"/>
        </w:rPr>
        <w:t>出租</w:t>
      </w:r>
      <w:r>
        <w:rPr>
          <w:rFonts w:hint="default" w:ascii="Times New Roman" w:hAnsi="Times New Roman" w:eastAsia="仿宋_GB2312" w:cs="Times New Roman"/>
          <w:color w:val="auto"/>
          <w:lang w:val="en-US" w:eastAsia="zh-CN"/>
        </w:rPr>
        <w:t>、电动车</w:t>
      </w:r>
      <w:r>
        <w:rPr>
          <w:rFonts w:hint="eastAsia" w:cs="Times New Roman"/>
          <w:color w:val="auto"/>
          <w:lang w:val="en-US" w:eastAsia="zh-CN"/>
        </w:rPr>
        <w:t>单车</w:t>
      </w:r>
      <w:r>
        <w:rPr>
          <w:rFonts w:hint="default" w:ascii="Times New Roman" w:hAnsi="Times New Roman" w:eastAsia="仿宋_GB2312" w:cs="Times New Roman"/>
          <w:color w:val="auto"/>
          <w:lang w:val="en-US" w:eastAsia="zh-CN"/>
        </w:rPr>
        <w:t>充电</w:t>
      </w:r>
      <w:r>
        <w:rPr>
          <w:rFonts w:hint="eastAsia" w:cs="Times New Roman"/>
          <w:color w:val="auto"/>
          <w:lang w:val="en-US" w:eastAsia="zh-CN"/>
        </w:rPr>
        <w:t>服务</w:t>
      </w:r>
      <w:r>
        <w:rPr>
          <w:rFonts w:hint="default" w:ascii="Times New Roman" w:hAnsi="Times New Roman" w:eastAsia="仿宋_GB2312" w:cs="Times New Roman"/>
          <w:color w:val="auto"/>
          <w:lang w:val="en-US" w:eastAsia="zh-CN"/>
        </w:rPr>
        <w:t>、电动车</w:t>
      </w:r>
      <w:r>
        <w:rPr>
          <w:rFonts w:hint="eastAsia" w:cs="Times New Roman"/>
          <w:color w:val="auto"/>
          <w:lang w:val="en-US" w:eastAsia="zh-CN"/>
        </w:rPr>
        <w:t>汽</w:t>
      </w:r>
      <w:r>
        <w:rPr>
          <w:rFonts w:hint="default" w:ascii="Times New Roman" w:hAnsi="Times New Roman" w:eastAsia="仿宋_GB2312" w:cs="Times New Roman"/>
          <w:color w:val="auto"/>
          <w:lang w:val="en-US" w:eastAsia="zh-CN"/>
        </w:rPr>
        <w:t>车充电</w:t>
      </w:r>
      <w:r>
        <w:rPr>
          <w:rFonts w:hint="eastAsia" w:cs="Times New Roman"/>
          <w:color w:val="auto"/>
          <w:lang w:val="en-US" w:eastAsia="zh-CN"/>
        </w:rPr>
        <w:t>服务</w:t>
      </w:r>
      <w:r>
        <w:rPr>
          <w:rFonts w:hint="default" w:ascii="Times New Roman" w:hAnsi="Times New Roman" w:eastAsia="仿宋_GB2312" w:cs="Times New Roman"/>
          <w:color w:val="auto"/>
          <w:lang w:val="en-US" w:eastAsia="zh-CN"/>
        </w:rPr>
        <w:t>、智慧路灯设备接口收入</w:t>
      </w:r>
      <w:r>
        <w:rPr>
          <w:rFonts w:hint="default" w:ascii="Times New Roman" w:hAnsi="Times New Roman" w:eastAsia="仿宋_GB2312" w:cs="Times New Roman"/>
          <w:color w:val="auto"/>
        </w:rPr>
        <w:t>。</w:t>
      </w:r>
    </w:p>
    <w:p>
      <w:pPr>
        <w:pStyle w:val="3"/>
        <w:spacing w:before="0" w:beforeLines="0"/>
        <w:rPr>
          <w:rFonts w:hint="default" w:ascii="Times New Roman" w:hAnsi="Times New Roman" w:eastAsia="仿宋_GB2312" w:cs="Times New Roman"/>
          <w:color w:val="auto"/>
        </w:rPr>
      </w:pPr>
      <w:bookmarkStart w:id="40" w:name="_Toc2524"/>
      <w:r>
        <w:rPr>
          <w:rFonts w:hint="default" w:ascii="Times New Roman" w:hAnsi="Times New Roman" w:eastAsia="仿宋_GB2312" w:cs="Times New Roman"/>
          <w:color w:val="auto"/>
        </w:rPr>
        <w:t>政府承诺及保障</w:t>
      </w:r>
      <w:bookmarkEnd w:id="40"/>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保障受让单位土地及设施使用权</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保证受让单位享有项目内的建筑物、设施设备的使用权。</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施工配套措施安排</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在株洲市人民政府的协调下，</w:t>
      </w:r>
      <w:r>
        <w:rPr>
          <w:rFonts w:hint="default" w:ascii="Times New Roman" w:hAnsi="Times New Roman" w:eastAsia="仿宋_GB2312" w:cs="Times New Roman"/>
          <w:color w:val="auto"/>
          <w:lang w:val="en-US" w:eastAsia="zh-CN"/>
        </w:rPr>
        <w:t>株洲市城市管理局</w:t>
      </w:r>
      <w:r>
        <w:rPr>
          <w:rFonts w:hint="default" w:ascii="Times New Roman" w:hAnsi="Times New Roman" w:eastAsia="仿宋_GB2312" w:cs="Times New Roman"/>
          <w:color w:val="auto"/>
        </w:rPr>
        <w:t>负责与本项目施工过程中涉及到的施工配套与相关单位进行协调，提供</w:t>
      </w:r>
      <w:r>
        <w:rPr>
          <w:rFonts w:hint="default" w:ascii="Times New Roman" w:hAnsi="Times New Roman" w:eastAsia="仿宋_GB2312" w:cs="Times New Roman"/>
          <w:color w:val="auto"/>
          <w:lang w:val="en-US" w:eastAsia="zh-CN"/>
        </w:rPr>
        <w:t>相应的</w:t>
      </w:r>
      <w:r>
        <w:rPr>
          <w:rFonts w:hint="default" w:ascii="Times New Roman" w:hAnsi="Times New Roman" w:eastAsia="仿宋_GB2312" w:cs="Times New Roman"/>
          <w:color w:val="auto"/>
        </w:rPr>
        <w:t>便利。</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协助审批</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实施机构协助受让单位进行项目未完成的审批和取得融资及运营所必须的证明文件等工作。</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协助争取优惠政策</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实施机构协助受让单位向有关部门争取国家、省市相关财政补贴和行业优惠政策。</w:t>
      </w:r>
    </w:p>
    <w:p>
      <w:pPr>
        <w:pStyle w:val="2"/>
        <w:spacing w:before="0" w:beforeLines="0" w:after="0" w:afterLines="0"/>
        <w:rPr>
          <w:rFonts w:hint="default" w:ascii="Times New Roman" w:hAnsi="Times New Roman" w:eastAsia="仿宋_GB2312" w:cs="Times New Roman"/>
          <w:color w:val="auto"/>
        </w:rPr>
      </w:pPr>
      <w:bookmarkStart w:id="41" w:name="_Toc15541"/>
      <w:r>
        <w:rPr>
          <w:rFonts w:hint="default" w:ascii="Times New Roman" w:hAnsi="Times New Roman" w:eastAsia="仿宋_GB2312" w:cs="Times New Roman"/>
          <w:color w:val="auto"/>
        </w:rPr>
        <w:t>项目合同体系</w:t>
      </w:r>
      <w:bookmarkEnd w:id="41"/>
    </w:p>
    <w:p>
      <w:pPr>
        <w:pStyle w:val="3"/>
        <w:spacing w:before="0" w:beforeLines="0"/>
        <w:rPr>
          <w:rFonts w:hint="default" w:ascii="Times New Roman" w:hAnsi="Times New Roman" w:eastAsia="仿宋_GB2312" w:cs="Times New Roman"/>
          <w:color w:val="auto"/>
        </w:rPr>
      </w:pPr>
      <w:bookmarkStart w:id="42" w:name="_Toc23136"/>
      <w:r>
        <w:rPr>
          <w:rFonts w:hint="default" w:ascii="Times New Roman" w:hAnsi="Times New Roman" w:eastAsia="仿宋_GB2312" w:cs="Times New Roman"/>
          <w:color w:val="auto"/>
        </w:rPr>
        <w:t>项目参与主体</w:t>
      </w:r>
      <w:bookmarkEnd w:id="42"/>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本项目运作的参与主体主要包括株洲市人民政府、</w:t>
      </w:r>
      <w:r>
        <w:rPr>
          <w:rFonts w:hint="default" w:ascii="Times New Roman" w:hAnsi="Times New Roman" w:eastAsia="仿宋_GB2312" w:cs="Times New Roman"/>
          <w:color w:val="auto"/>
          <w:lang w:val="en-US" w:eastAsia="zh-CN"/>
        </w:rPr>
        <w:t>株洲市城市管理局</w:t>
      </w:r>
      <w:r>
        <w:rPr>
          <w:rFonts w:hint="default" w:ascii="Times New Roman" w:hAnsi="Times New Roman" w:eastAsia="仿宋_GB2312" w:cs="Times New Roman"/>
          <w:color w:val="auto"/>
        </w:rPr>
        <w:t>、经营权受让单位。</w:t>
      </w:r>
    </w:p>
    <w:p>
      <w:pPr>
        <w:pStyle w:val="16"/>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图表 4-</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SEQ 图表 \* ARABIC \s 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t>1</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 xml:space="preserve"> 项目参与主体及主体</w:t>
      </w:r>
      <w:r>
        <w:rPr>
          <w:rFonts w:hint="default" w:ascii="Times New Roman" w:hAnsi="Times New Roman" w:eastAsia="仿宋_GB2312" w:cs="Times New Roman"/>
          <w:color w:val="auto"/>
          <w:lang w:val="en-US" w:eastAsia="zh-CN"/>
        </w:rPr>
        <w:t>责任分工</w:t>
      </w:r>
    </w:p>
    <w:tbl>
      <w:tblPr>
        <w:tblStyle w:val="69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36"/>
        <w:gridCol w:w="54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2"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参与主体</w:t>
            </w:r>
          </w:p>
        </w:tc>
        <w:tc>
          <w:tcPr>
            <w:tcW w:w="3288"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主体职能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2"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株洲市人民政府</w:t>
            </w:r>
          </w:p>
        </w:tc>
        <w:tc>
          <w:tcPr>
            <w:tcW w:w="3288"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授权实施机构。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2"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株洲市城市管理局</w:t>
            </w:r>
          </w:p>
        </w:tc>
        <w:tc>
          <w:tcPr>
            <w:tcW w:w="3288"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负责组织本项目的前期准备、实施方案的编制、</w:t>
            </w:r>
            <w:r>
              <w:rPr>
                <w:rFonts w:hint="default" w:ascii="Times New Roman" w:hAnsi="Times New Roman" w:eastAsia="仿宋_GB2312" w:cs="Times New Roman"/>
                <w:color w:val="auto"/>
                <w:sz w:val="18"/>
                <w:szCs w:val="18"/>
                <w:lang w:val="en-US" w:eastAsia="zh-CN"/>
              </w:rPr>
              <w:t>授权第三方机构进行资产评估、组织</w:t>
            </w:r>
            <w:r>
              <w:rPr>
                <w:rFonts w:hint="default" w:ascii="Times New Roman" w:hAnsi="Times New Roman" w:eastAsia="仿宋_GB2312" w:cs="Times New Roman"/>
                <w:color w:val="auto"/>
                <w:sz w:val="18"/>
                <w:szCs w:val="18"/>
              </w:rPr>
              <w:t>经营权的拍卖、与受让方签订《经营权出让协议》、合同期满移交接收等工作。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2"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经营权受让单位</w:t>
            </w:r>
          </w:p>
        </w:tc>
        <w:tc>
          <w:tcPr>
            <w:tcW w:w="3288"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履行经营权出让费支付义务；</w:t>
            </w:r>
          </w:p>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负责本项目的投融资、建设、运营、维护；</w:t>
            </w:r>
          </w:p>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接受实施机构及相关政府部门的监督与管理，接受公众监督。</w:t>
            </w:r>
          </w:p>
        </w:tc>
      </w:tr>
    </w:tbl>
    <w:p>
      <w:pPr>
        <w:pStyle w:val="3"/>
        <w:spacing w:before="0" w:beforeLines="0"/>
        <w:rPr>
          <w:rFonts w:hint="default" w:ascii="Times New Roman" w:hAnsi="Times New Roman" w:eastAsia="仿宋_GB2312" w:cs="Times New Roman"/>
          <w:color w:val="auto"/>
        </w:rPr>
      </w:pPr>
      <w:bookmarkStart w:id="43" w:name="_Toc1966"/>
      <w:r>
        <w:rPr>
          <w:rFonts w:hint="default" w:ascii="Times New Roman" w:hAnsi="Times New Roman" w:eastAsia="仿宋_GB2312" w:cs="Times New Roman"/>
          <w:color w:val="auto"/>
        </w:rPr>
        <w:t>项目合同体系组成</w:t>
      </w:r>
      <w:bookmarkEnd w:id="43"/>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本项目合同体系包括：《经营权出让协议》及其他履约合同等。</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出让协议》：由实施机构与中标受让单位签订《经营权出让协议》。《经营权出让协议》是整个合同体系的基础和核心，项目边界条件是经营权出让协议的核心内容，主要包括权利义务、交易条件、履约保障等内容。该协议的具体条款会影响到受让单位后续签订的其他合同的内容。</w:t>
      </w:r>
      <w:bookmarkStart w:id="44" w:name="_Toc82637758"/>
    </w:p>
    <w:p>
      <w:pPr>
        <w:pStyle w:val="2"/>
        <w:spacing w:before="0" w:beforeLines="0" w:after="0" w:afterLines="0"/>
        <w:rPr>
          <w:rFonts w:hint="default" w:ascii="Times New Roman" w:hAnsi="Times New Roman" w:eastAsia="仿宋_GB2312" w:cs="Times New Roman"/>
          <w:color w:val="auto"/>
        </w:rPr>
      </w:pPr>
      <w:bookmarkStart w:id="45" w:name="_Toc12806"/>
      <w:r>
        <w:rPr>
          <w:rFonts w:hint="default" w:ascii="Times New Roman" w:hAnsi="Times New Roman" w:eastAsia="仿宋_GB2312" w:cs="Times New Roman"/>
          <w:color w:val="auto"/>
        </w:rPr>
        <w:t>项目主要边界条件</w:t>
      </w:r>
      <w:bookmarkEnd w:id="45"/>
    </w:p>
    <w:p>
      <w:pPr>
        <w:pStyle w:val="3"/>
        <w:spacing w:before="0" w:beforeLines="0"/>
        <w:rPr>
          <w:rFonts w:hint="default" w:ascii="Times New Roman" w:hAnsi="Times New Roman" w:eastAsia="仿宋_GB2312" w:cs="Times New Roman"/>
          <w:color w:val="auto"/>
        </w:rPr>
      </w:pPr>
      <w:bookmarkStart w:id="46" w:name="_Toc3240"/>
      <w:bookmarkStart w:id="47" w:name="_Toc12107"/>
      <w:r>
        <w:rPr>
          <w:rFonts w:hint="default" w:ascii="Times New Roman" w:hAnsi="Times New Roman" w:eastAsia="仿宋_GB2312" w:cs="Times New Roman"/>
          <w:color w:val="auto"/>
        </w:rPr>
        <w:t>权利义务边界</w:t>
      </w:r>
      <w:bookmarkEnd w:id="46"/>
      <w:bookmarkEnd w:id="47"/>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实施机构的主要权利和义务</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行使行政监管职能和履约监管权力，对受让单位建设运营全过程进行监督约束。但监督权的行使不能影响受让单位的正常经营。如发现与协议存在不相符合的，有权责成受让单位限期予以纠正。</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基于国家安全及人民生命财产安全的前提下，有权对项目投资、建设、运营全过程进行监督。</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在发生紧急事件、可能严重影响公众利益的情况下，有权统一调度、临时接管或依法征用项目设施。</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实施机构先行开展项目实施方案、经营权出让协议编制、公共资源有偿使用价值评估等前期工作。实施机构先行完成前期工作的，应将其完成的前期工作成果文件交予受让单位。</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实施机构负责对</w:t>
      </w:r>
      <w:r>
        <w:rPr>
          <w:rFonts w:hint="eastAsia" w:ascii="Times New Roman" w:hAnsi="Times New Roman" w:cs="Times New Roman"/>
          <w:color w:val="auto"/>
          <w:lang w:val="en-US" w:eastAsia="zh-CN"/>
        </w:rPr>
        <w:t>路灯</w:t>
      </w:r>
      <w:r>
        <w:rPr>
          <w:rFonts w:hint="default" w:ascii="Times New Roman" w:hAnsi="Times New Roman" w:eastAsia="仿宋_GB2312" w:cs="Times New Roman"/>
          <w:color w:val="auto"/>
        </w:rPr>
        <w:t>设施依法进行清产核资，国有资产造册登记。按照各</w:t>
      </w:r>
      <w:r>
        <w:rPr>
          <w:rFonts w:hint="eastAsia" w:ascii="Times New Roman" w:hAnsi="Times New Roman" w:cs="Times New Roman"/>
          <w:color w:val="auto"/>
          <w:lang w:val="en-US" w:eastAsia="zh-CN"/>
        </w:rPr>
        <w:t>路灯</w:t>
      </w:r>
      <w:r>
        <w:rPr>
          <w:rFonts w:hint="default" w:ascii="Times New Roman" w:hAnsi="Times New Roman" w:eastAsia="仿宋_GB2312" w:cs="Times New Roman"/>
          <w:color w:val="auto"/>
        </w:rPr>
        <w:t>设施的现状，对所有资产进行造册登记，做到产权清晰，保持土地、设施设备等国有资产性质不变，确保国有资产保值增值。</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实施机构须协助受让单位获得项目建设等所必需的核准手续或批文，为项目提供符合施工条件的项目场地，协助本项目所需水、电、通讯线路接入；将项目有关的基础性技术资料交付受让单位的义务。</w:t>
      </w:r>
    </w:p>
    <w:p>
      <w:pPr>
        <w:numPr>
          <w:ilvl w:val="0"/>
          <w:numId w:val="5"/>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因受让单位的不当行为或疏忽导致损失，有权要求受让单位承担相应的赔偿责任。</w:t>
      </w:r>
    </w:p>
    <w:p>
      <w:pPr>
        <w:numPr>
          <w:ilvl w:val="0"/>
          <w:numId w:val="5"/>
        </w:num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法律法规</w:t>
      </w:r>
      <w:r>
        <w:rPr>
          <w:rFonts w:hint="default" w:ascii="Times New Roman" w:hAnsi="Times New Roman" w:eastAsia="仿宋_GB2312" w:cs="Times New Roman"/>
          <w:color w:val="auto"/>
        </w:rPr>
        <w:t>和协议规定的其他权利与义务。</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经营权受让单位的权利和义务</w:t>
      </w:r>
    </w:p>
    <w:p>
      <w:pPr>
        <w:numPr>
          <w:ilvl w:val="0"/>
          <w:numId w:val="6"/>
        </w:num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rPr>
        <w:t>按照经营权出让协议的约定支付经营权出让费。</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全面负责项目的投资、建设、运营和风险把控。具体负责本项目的资金筹措和组织实施、承担本项目的建设管理工作。</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享有通过对项目的投融资、运营维护，获得项目收入，以回收项目投资并获得合理利润的权利</w:t>
      </w:r>
      <w:r>
        <w:rPr>
          <w:rFonts w:hint="eastAsia" w:cs="Times New Roman"/>
          <w:color w:val="auto"/>
          <w:lang w:eastAsia="zh-CN"/>
        </w:rPr>
        <w:t>。</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安全文明施工。保证项目建设符合国家关于环保、安全生产等法律法规的规定，承担在工程施工过程中造成的安全生产责任。采取一切合理措施减少对公众的干扰和影响，并遵守环境保护和城市管理方面的有关规定和要求。</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负责工程项目管理、施工进度控制、质量控制、安全管理和成本控制，并接受实施机构监督。</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遵守与项目建设和养护相关的法律法规，接受实施机构、行业主管部门对本项目场地合法使用、招投标活动、建设施工和运营维护等方面的监督。</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按照有关技术政策和技术规范要求，定期或经常性地对项目运行状况进行检测、检查和维护，保证项目及其附属设施经常处于良好状态。</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受让方在享有项目使用权期间，不得以任何理由，任何方式损坏资产原有功能</w:t>
      </w:r>
      <w:r>
        <w:rPr>
          <w:rFonts w:hint="eastAsia" w:cs="Times New Roman"/>
          <w:color w:val="auto"/>
          <w:lang w:val="en-US" w:eastAsia="zh-CN"/>
        </w:rPr>
        <w:t>，需在保证资产原有功能正常运转的情况下安全运营。</w:t>
      </w:r>
    </w:p>
    <w:p>
      <w:pPr>
        <w:numPr>
          <w:ilvl w:val="0"/>
          <w:numId w:val="6"/>
        </w:numP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受让单位对实施机构完成的前期工作成果文件、基础性技术资料等负有保密义务。</w:t>
      </w:r>
    </w:p>
    <w:p>
      <w:pPr>
        <w:numPr>
          <w:ilvl w:val="0"/>
          <w:numId w:val="6"/>
        </w:num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法律法规</w:t>
      </w:r>
      <w:r>
        <w:rPr>
          <w:rFonts w:hint="default" w:ascii="Times New Roman" w:hAnsi="Times New Roman" w:eastAsia="仿宋_GB2312" w:cs="Times New Roman"/>
          <w:color w:val="auto"/>
        </w:rPr>
        <w:t>和协议规定的其他权利义务。</w:t>
      </w:r>
    </w:p>
    <w:p>
      <w:pPr>
        <w:pStyle w:val="3"/>
        <w:spacing w:before="0" w:beforeLines="0"/>
        <w:rPr>
          <w:rFonts w:hint="default" w:ascii="Times New Roman" w:hAnsi="Times New Roman" w:eastAsia="仿宋_GB2312" w:cs="Times New Roman"/>
          <w:color w:val="auto"/>
        </w:rPr>
      </w:pPr>
      <w:bookmarkStart w:id="48" w:name="_Toc24175"/>
      <w:r>
        <w:rPr>
          <w:rFonts w:hint="default" w:ascii="Times New Roman" w:hAnsi="Times New Roman" w:eastAsia="仿宋_GB2312" w:cs="Times New Roman"/>
          <w:color w:val="auto"/>
        </w:rPr>
        <w:t>交易条件边界</w:t>
      </w:r>
      <w:bookmarkEnd w:id="48"/>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经营权出让费的确认及支付</w:t>
      </w:r>
    </w:p>
    <w:p>
      <w:pPr>
        <w:rPr>
          <w:rFonts w:hint="default" w:ascii="Times New Roman" w:hAnsi="Times New Roman" w:eastAsia="仿宋_GB2312" w:cs="Times New Roman"/>
          <w:color w:val="auto"/>
        </w:rPr>
      </w:pPr>
      <w:r>
        <w:rPr>
          <w:rFonts w:hint="eastAsia" w:ascii="Times New Roman" w:hAnsi="Times New Roman" w:cs="Times New Roman"/>
          <w:color w:val="auto"/>
          <w:lang w:val="en-US" w:eastAsia="zh-CN"/>
        </w:rPr>
        <w:t>1、</w:t>
      </w:r>
      <w:r>
        <w:rPr>
          <w:rFonts w:hint="default" w:ascii="Times New Roman" w:hAnsi="Times New Roman" w:eastAsia="仿宋_GB2312" w:cs="Times New Roman"/>
          <w:color w:val="auto"/>
        </w:rPr>
        <w:t>经营权出让费拍卖价格的确定</w:t>
      </w:r>
    </w:p>
    <w:p>
      <w:pPr>
        <w:rPr>
          <w:rFonts w:hint="eastAsia" w:ascii="Times New Roman" w:hAnsi="Times New Roman" w:cs="Times New Roman"/>
          <w:color w:val="auto"/>
          <w:lang w:eastAsia="zh-CN"/>
        </w:rPr>
      </w:pPr>
      <w:r>
        <w:rPr>
          <w:rFonts w:hint="default" w:ascii="Times New Roman" w:hAnsi="Times New Roman" w:eastAsia="仿宋_GB2312" w:cs="Times New Roman"/>
          <w:color w:val="auto"/>
        </w:rPr>
        <w:t>本项目经营权出让费起拍价格以评估单位评估价为最低保留价，竞买人在此价格基础上进行公开竞价，最终以价高者确定为受让单位</w:t>
      </w:r>
      <w:r>
        <w:rPr>
          <w:rFonts w:hint="eastAsia" w:ascii="Times New Roman" w:hAnsi="Times New Roman" w:cs="Times New Roman"/>
          <w:color w:val="auto"/>
          <w:lang w:eastAsia="zh-CN"/>
        </w:rPr>
        <w:t>。</w:t>
      </w:r>
    </w:p>
    <w:p>
      <w:pPr>
        <w:rPr>
          <w:rFonts w:hint="default" w:ascii="Times New Roman" w:hAnsi="Times New Roman" w:eastAsia="仿宋_GB2312" w:cs="Times New Roman"/>
          <w:color w:val="auto"/>
        </w:rPr>
      </w:pPr>
      <w:r>
        <w:rPr>
          <w:rFonts w:hint="eastAsia" w:ascii="Times New Roman" w:hAnsi="Times New Roman" w:cs="Times New Roman"/>
          <w:color w:val="auto"/>
          <w:lang w:val="en-US" w:eastAsia="zh-CN"/>
        </w:rPr>
        <w:t>2、</w:t>
      </w:r>
      <w:r>
        <w:rPr>
          <w:rFonts w:hint="default" w:ascii="Times New Roman" w:hAnsi="Times New Roman" w:eastAsia="仿宋_GB2312" w:cs="Times New Roman"/>
          <w:color w:val="auto"/>
          <w:lang w:val="en-US" w:eastAsia="zh-CN"/>
        </w:rPr>
        <w:t>经营权出让费的支付</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在经营权出让协议签订后，经营权受让单位应在协议签订之日起60日内，将全部经营权出让费一次性支付至实施机构指定的账户。</w:t>
      </w:r>
    </w:p>
    <w:p>
      <w:pPr>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若受让单位在有偿使用协议签订后60日内未完成全部经营权出让费的支付，即视为违约。实施机构有权向受让单位发出催告通知，要求其在收到通知后的30日内完成支付。经催告后，受让单位在规定的30日内仍未完成支付，实施机构有权解除《经营权出让协议》，且实施机构前期投入及因受让单位不支付出让费造成的损失，须由受让单位承担，实施机构因主张权利产生的律师费、诉讼费、保全费等费用由受让单位承担。</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经营权范围</w:t>
      </w:r>
    </w:p>
    <w:p>
      <w:pPr>
        <w:rPr>
          <w:rFonts w:hint="default" w:ascii="Times New Roman" w:hAnsi="Times New Roman" w:eastAsia="仿宋_GB2312" w:cs="Times New Roman"/>
          <w:color w:val="auto"/>
        </w:rPr>
      </w:pPr>
      <w:r>
        <w:rPr>
          <w:rFonts w:hint="eastAsia" w:ascii="Times New Roman" w:hAnsi="Times New Roman" w:cs="Times New Roman"/>
          <w:color w:val="auto"/>
          <w:lang w:val="en-US" w:eastAsia="zh-CN"/>
        </w:rPr>
        <w:t>1、</w:t>
      </w:r>
      <w:r>
        <w:rPr>
          <w:rFonts w:hint="default" w:ascii="Times New Roman" w:hAnsi="Times New Roman" w:eastAsia="仿宋_GB2312" w:cs="Times New Roman"/>
          <w:color w:val="auto"/>
        </w:rPr>
        <w:t>本项目范围</w:t>
      </w:r>
      <w:r>
        <w:rPr>
          <w:rFonts w:hint="eastAsia" w:cs="Times New Roman"/>
          <w:color w:val="auto"/>
          <w:lang w:val="en-US" w:eastAsia="zh-CN"/>
        </w:rPr>
        <w:t>详见附件1</w:t>
      </w:r>
      <w:r>
        <w:rPr>
          <w:rFonts w:hint="default" w:ascii="Times New Roman" w:hAnsi="Times New Roman" w:eastAsia="仿宋_GB2312" w:cs="Times New Roman"/>
          <w:color w:val="auto"/>
        </w:rPr>
        <w:t>。</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2、经营权范围：</w:t>
      </w:r>
      <w:r>
        <w:rPr>
          <w:rFonts w:hint="default" w:ascii="Times New Roman" w:hAnsi="Times New Roman" w:eastAsia="仿宋_GB2312" w:cs="Times New Roman"/>
          <w:color w:val="auto"/>
          <w:lang w:eastAsia="zh-CN"/>
        </w:rPr>
        <w:t>主要经营性项目为城区内路灯广告、路灯充电</w:t>
      </w:r>
      <w:r>
        <w:rPr>
          <w:rFonts w:hint="eastAsia" w:cs="Times New Roman"/>
          <w:color w:val="auto"/>
          <w:lang w:val="en-US" w:eastAsia="zh-CN"/>
        </w:rPr>
        <w:t>服务</w:t>
      </w:r>
      <w:r>
        <w:rPr>
          <w:rFonts w:hint="eastAsia" w:cs="Times New Roman"/>
          <w:color w:val="auto"/>
          <w:lang w:eastAsia="zh-CN"/>
        </w:rPr>
        <w:t>、</w:t>
      </w:r>
      <w:r>
        <w:rPr>
          <w:rFonts w:hint="eastAsia" w:cs="Times New Roman"/>
          <w:color w:val="auto"/>
          <w:lang w:val="en-US" w:eastAsia="zh-CN"/>
        </w:rPr>
        <w:t>储能</w:t>
      </w:r>
      <w:r>
        <w:rPr>
          <w:rFonts w:hint="default" w:ascii="Times New Roman" w:hAnsi="Times New Roman" w:eastAsia="仿宋_GB2312" w:cs="Times New Roman"/>
          <w:color w:val="auto"/>
          <w:lang w:eastAsia="zh-CN"/>
        </w:rPr>
        <w:t>及基于路灯（</w:t>
      </w:r>
      <w:r>
        <w:rPr>
          <w:rFonts w:hint="default" w:ascii="Times New Roman" w:hAnsi="Times New Roman" w:eastAsia="仿宋_GB2312" w:cs="Times New Roman"/>
          <w:color w:val="auto"/>
          <w:lang w:val="en-US" w:eastAsia="zh-CN"/>
        </w:rPr>
        <w:t>杆</w:t>
      </w:r>
      <w:r>
        <w:rPr>
          <w:rFonts w:hint="default" w:ascii="Times New Roman" w:hAnsi="Times New Roman" w:eastAsia="仿宋_GB2312" w:cs="Times New Roman"/>
          <w:color w:val="auto"/>
          <w:lang w:eastAsia="zh-CN"/>
        </w:rPr>
        <w:t>）构建的“路灯+”综合经营服务。通过对株洲市路灯及设施改造，将路灯打造成路边供杆、能源、网络及数据服务的载体，实路灯(杆)现智慧路灯多功能杆+的资产归属的多场景应用，远景结合低空经济、5G、光充储能、北斗产业发展。</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3、经营单位仅拥有路灯综合服务经营权，不拥有路灯（杆）所有权等除综合服务经营权之外的其他权益内容。</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本项目合作期（经营期）综合考虑项目投资回收期、经营权资产评估价值和前期手续办理进程等因素，建议本项目经营期限为</w:t>
      </w:r>
      <w:r>
        <w:rPr>
          <w:rFonts w:hint="default" w:ascii="Times New Roman" w:hAnsi="Times New Roman" w:eastAsia="仿宋_GB2312" w:cs="Times New Roman"/>
          <w:color w:val="auto"/>
          <w:lang w:val="en-US" w:eastAsia="zh-CN"/>
        </w:rPr>
        <w:t>30</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含建设期2年）</w:t>
      </w:r>
      <w:r>
        <w:rPr>
          <w:rFonts w:hint="default" w:ascii="Times New Roman" w:hAnsi="Times New Roman" w:eastAsia="仿宋_GB2312" w:cs="Times New Roman"/>
          <w:color w:val="auto"/>
        </w:rPr>
        <w:t>。</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资产权属</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本次经营权出让涉及的资产权属均系株洲市国有资产，转让期内受让方仅获得其使用权、经营权和收益权，即本次经营权转让不涉及资产所有权的转移。</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项目资产范围及权属</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经营权有效期内，项目形成资产所有权归受让单位所有。包括但不限于：</w:t>
      </w:r>
    </w:p>
    <w:p>
      <w:pPr>
        <w:numPr>
          <w:ilvl w:val="0"/>
          <w:numId w:val="7"/>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固定资产：项目区内</w:t>
      </w:r>
      <w:r>
        <w:rPr>
          <w:rFonts w:hint="eastAsia" w:ascii="Times New Roman" w:hAnsi="Times New Roman" w:cs="Times New Roman"/>
          <w:color w:val="auto"/>
          <w:lang w:val="en-US" w:eastAsia="zh-CN"/>
        </w:rPr>
        <w:t>路灯</w:t>
      </w:r>
      <w:r>
        <w:rPr>
          <w:rFonts w:hint="default" w:ascii="Times New Roman" w:hAnsi="Times New Roman" w:eastAsia="仿宋_GB2312" w:cs="Times New Roman"/>
          <w:color w:val="auto"/>
        </w:rPr>
        <w:t>设施的基础设施改造、设施设备配套以及建筑安装工程等费用，以及设备购置费、工程建设其他费用和预备费投资所形成的非货币性资产，全部为固定资产。</w:t>
      </w:r>
    </w:p>
    <w:p>
      <w:pPr>
        <w:numPr>
          <w:ilvl w:val="0"/>
          <w:numId w:val="7"/>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无形资产：本项目经营权有效期内无形资产主要包括受让单位取得本项目经营权所形成的无形资产以及运营期申报或购买的专利权、非专利技术、商誉等。</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经营权有效期满后项目资产的处置</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经营权有效期满后，除实施机构与受让单位通过合法形式延长经营权有效期外，受让单位应在经营权有效期满后六个月内完成项目现场资产的</w:t>
      </w:r>
      <w:r>
        <w:rPr>
          <w:rFonts w:hint="eastAsia" w:cs="Times New Roman"/>
          <w:color w:val="auto"/>
          <w:lang w:val="en-US" w:eastAsia="zh-CN"/>
        </w:rPr>
        <w:t>移交</w:t>
      </w:r>
      <w:r>
        <w:rPr>
          <w:rFonts w:hint="default" w:ascii="Times New Roman" w:hAnsi="Times New Roman" w:eastAsia="仿宋_GB2312" w:cs="Times New Roman"/>
          <w:color w:val="auto"/>
        </w:rPr>
        <w:t>以及退场工作，并将项目场地移交实施机构。</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项目资产更新重置</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在经营期内需保持服务的连续性，根据项目设备、服务的特性，需进行必要的设备更新、服务培训，包括且不限于：设施设备的购置和升级改造、人员培训等。本项目在经营期内的设备更新、服务培训所需费用由受让单位负责。</w:t>
      </w:r>
    </w:p>
    <w:p>
      <w:pPr>
        <w:pStyle w:val="3"/>
        <w:spacing w:before="0" w:beforeLines="0"/>
        <w:rPr>
          <w:rFonts w:hint="default" w:ascii="Times New Roman" w:hAnsi="Times New Roman" w:eastAsia="仿宋_GB2312" w:cs="Times New Roman"/>
          <w:color w:val="auto"/>
        </w:rPr>
      </w:pPr>
      <w:bookmarkStart w:id="49" w:name="_Toc14341"/>
      <w:r>
        <w:rPr>
          <w:rFonts w:hint="default" w:ascii="Times New Roman" w:hAnsi="Times New Roman" w:eastAsia="仿宋_GB2312" w:cs="Times New Roman"/>
          <w:color w:val="auto"/>
        </w:rPr>
        <w:t>履约保障边界</w:t>
      </w:r>
      <w:bookmarkEnd w:id="49"/>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保险</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项目建设和运营期间，项目建设和运营可能遇到不可预测或不可控制的风险，受让单位应自行和要求其供应商购买和维持适用法律所要求的保险。除强制险种外，受让单位应根据谨慎运营惯例购买相应的其他险种</w:t>
      </w:r>
      <w:r>
        <w:rPr>
          <w:rFonts w:hint="eastAsia" w:cs="Times New Roman"/>
          <w:color w:val="auto"/>
          <w:lang w:eastAsia="zh-CN"/>
        </w:rPr>
        <w:t>。受让单位在协议签订后，将购买保险的记录提供给实施机构</w:t>
      </w:r>
      <w:r>
        <w:rPr>
          <w:rFonts w:hint="default" w:ascii="Times New Roman" w:hAnsi="Times New Roman" w:eastAsia="仿宋_GB2312" w:cs="Times New Roman"/>
          <w:color w:val="auto"/>
        </w:rPr>
        <w:t>。</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运营保证金</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保证金设置的目的通常在于：确保受让方按照本合同的约定提供安全、稳定、丰富和优质的公共服务。本项目运营保函金额拟按照本项目经营权出让费评估总价值的1%计算，在双方签订《经营权出让协议》后，由受让方向实施机构提交，形式可采取银行转账、保兑支票、银行汇票或现金支票等。</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移交保证金</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移交保证金设置的目的在于确保受让方按照《经营权出让协议》的约定履行转让期内项目设施的维修维护、移交后的质保及其他相关责任。</w:t>
      </w:r>
    </w:p>
    <w:p>
      <w:pPr>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本项目设置移交保证金，递交时间为转让期届满前十二个月，有效期至转让期限届满后十二个月，移交保证金的金额届时由移交委员会商定。</w:t>
      </w:r>
    </w:p>
    <w:p>
      <w:pPr>
        <w:pStyle w:val="3"/>
        <w:spacing w:before="0" w:beforeLines="0"/>
        <w:rPr>
          <w:rFonts w:hint="default" w:ascii="Times New Roman" w:hAnsi="Times New Roman" w:eastAsia="仿宋_GB2312" w:cs="Times New Roman"/>
          <w:color w:val="auto"/>
        </w:rPr>
      </w:pPr>
      <w:bookmarkStart w:id="50" w:name="_Toc8882"/>
      <w:r>
        <w:rPr>
          <w:rFonts w:hint="default" w:ascii="Times New Roman" w:hAnsi="Times New Roman" w:eastAsia="仿宋_GB2312" w:cs="Times New Roman"/>
          <w:color w:val="auto"/>
        </w:rPr>
        <w:t>调整衔接边界</w:t>
      </w:r>
      <w:bookmarkEnd w:id="50"/>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鉴于本项目合作期较长，在《经营权出让协议》订立时既要充分考虑项目全生命周期内的实际需求，也要合理设置一些关于期限变更（如展期、提前终止）、内容变更的灵活调整机制，为未来可能较长的合同执行期预留调整和变更空间。</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应急预案与安全生产</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应急预案</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针对下列情形，受让单位应制定应急预案和现场处置方案：自然灾害、重特大事故、环境公害、群体性事件以及人为破坏等事件的发生和所有危险源。</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应急预案制定要求：明确事前、事中、事后的各个过程中相关部门和有关人员的职责，并报实施机构备案。</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安全生产</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受让单位是本项目的安全生产责任主体，经营权受让单位应建立安全生产责任体系，按要求开展安全生产培训及预防演练。项目所属区域的安全生产主管部门是本项目安全生产的监管单位，履行法定监管职责。</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违约责任及</w:t>
      </w:r>
      <w:r>
        <w:rPr>
          <w:rFonts w:hint="eastAsia" w:cs="Times New Roman"/>
          <w:color w:val="auto"/>
          <w:lang w:val="en-US" w:eastAsia="zh-CN"/>
        </w:rPr>
        <w:t>赔偿</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实施机构违约责任</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因实施机构违反《经营权出让协议》约定的义务，导致受让单位的经营权在经营权有效期内未能持续有效，或对受让单位依法行使经营权构成妨碍的，实施机构应及时改正，并赔偿受让单位因此而遭受的直接经济损失。</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受让单位违约责任</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在经营权有效期内，如因受让单位自身原因造成未能按约定履行义务，实施机构有权追究受让单位违约责任。如情节严重、致使《经营权出让协议》无法继续履行的，实施机构有权提前终止《经营权出让协议》。</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违约</w:t>
      </w:r>
      <w:r>
        <w:rPr>
          <w:rFonts w:hint="eastAsia" w:cs="Times New Roman"/>
          <w:color w:val="auto"/>
          <w:lang w:val="en-US" w:eastAsia="zh-CN"/>
        </w:rPr>
        <w:t>赔</w:t>
      </w:r>
      <w:r>
        <w:rPr>
          <w:rFonts w:hint="default" w:ascii="Times New Roman" w:hAnsi="Times New Roman" w:eastAsia="仿宋_GB2312" w:cs="Times New Roman"/>
          <w:color w:val="auto"/>
        </w:rPr>
        <w:t>偿</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任何一方违约，另一方可主张违约责任，具体违约责任的承担以《经营权出让协议》中约定的为准。</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临时接管</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在经营权有效期内，如受让单位发生以下情形导致《经营权出让协议》无法继续履行，或者严重影响到社会公众利益和安全等情形，经查属实，实施机构可临时接管项目设施。</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具体情形如下：</w:t>
      </w:r>
    </w:p>
    <w:p>
      <w:pPr>
        <w:numPr>
          <w:ilvl w:val="0"/>
          <w:numId w:val="8"/>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违反《经营权出让协议》原则性条款，拒不履行协议义务；</w:t>
      </w:r>
    </w:p>
    <w:p>
      <w:pPr>
        <w:numPr>
          <w:ilvl w:val="0"/>
          <w:numId w:val="8"/>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严重</w:t>
      </w:r>
      <w:r>
        <w:rPr>
          <w:rFonts w:hint="default" w:ascii="Times New Roman" w:hAnsi="Times New Roman" w:eastAsia="仿宋_GB2312" w:cs="Times New Roman"/>
          <w:color w:val="auto"/>
          <w:lang w:eastAsia="zh-CN"/>
        </w:rPr>
        <w:t>影响</w:t>
      </w:r>
      <w:r>
        <w:rPr>
          <w:rFonts w:hint="default" w:ascii="Times New Roman" w:hAnsi="Times New Roman" w:eastAsia="仿宋_GB2312" w:cs="Times New Roman"/>
          <w:color w:val="auto"/>
        </w:rPr>
        <w:t>社会公共利益和安全的；</w:t>
      </w:r>
    </w:p>
    <w:p>
      <w:pPr>
        <w:numPr>
          <w:ilvl w:val="0"/>
          <w:numId w:val="8"/>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因管理不善，发生重大质量、生产安全事故的；</w:t>
      </w:r>
    </w:p>
    <w:p>
      <w:pPr>
        <w:numPr>
          <w:ilvl w:val="0"/>
          <w:numId w:val="8"/>
        </w:numPr>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法律法规</w:t>
      </w:r>
      <w:r>
        <w:rPr>
          <w:rFonts w:hint="default" w:ascii="Times New Roman" w:hAnsi="Times New Roman" w:eastAsia="仿宋_GB2312" w:cs="Times New Roman"/>
          <w:color w:val="auto"/>
        </w:rPr>
        <w:t>明确禁止的其他情形。</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临时接管前，受让单位应继续履行项目协议项下的义务，临时接管期间，受让单位须无条件服从实施机构或政府指定机构的指令。若导致临时接管的行为得到纠正，则实施机构应终止临时接管，临时接管的期限最长不得超过六十（60）日，在临时接管期间所发生的费用由受让单位承担。在实施机构临时接管期限内受让单位未对违约事件予以纠正，实施机构有权收回经营权，提前终止协议。</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不可抗力</w:t>
      </w:r>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（1）不可抗力的通知</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一方应在发生不可抗力事件或知道发生不可抗力事件后及时书面通知另一方并详细描述不可抗力事件的发生情况和可能导致的后果。</w:t>
      </w:r>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（2）免于履行</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由于不可抗力事件使一方不能全部或部分履行其在《经营权出让协议》项下的义务时，根据不可抗力事件的影响该方可全部或部分免除在《经营权出让协议》项下的相应义务，另有相反规定的除外。</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提前终止</w:t>
      </w:r>
    </w:p>
    <w:p>
      <w:pPr>
        <w:pStyle w:val="5"/>
        <w:ind w:firstLine="561"/>
        <w:rPr>
          <w:rFonts w:hint="default" w:ascii="Times New Roman" w:hAnsi="Times New Roman" w:eastAsia="仿宋_GB2312" w:cs="Times New Roman"/>
          <w:color w:val="auto"/>
        </w:rPr>
      </w:pPr>
      <w:r>
        <w:rPr>
          <w:rFonts w:hint="default" w:ascii="Times New Roman" w:hAnsi="Times New Roman" w:eastAsia="仿宋_GB2312" w:cs="Times New Roman"/>
          <w:color w:val="auto"/>
        </w:rPr>
        <w:t>提前终止事项</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实施机构违约——当发生实施机构违约事件时，实施机构在一定期限内未能补救的，受让单位可根据合同约定主张终止《经营权出让协议》；</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受让单位方违约——当发生受让单位违约事件时，受让单位未能在规定的期限内对该违约事件进行补救的，实施机构可根据合同约定主张终止《经营权出让协议》；</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不可抗力事件——发生不可抗力事件持续或累计达到12个月，任何一方可主张终止《经营权出让协议》。</w:t>
      </w:r>
    </w:p>
    <w:p>
      <w:pPr>
        <w:ind w:firstLine="561" w:firstLineChars="0"/>
        <w:outlineLvl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（1）实施机构主张的提前终止</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1）受让单位不能按约定支付经营权出让费；</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2）受让单位根据中国法律被吊销营业执照、责令停业、清算或破产；</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3）因受让单位管理不善或违规操作，发生重大、特大生产安全事故（“重大、特大”的程度按照国家有关法律规定界定）；</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4）受让单位继续运营本项目</w:t>
      </w:r>
      <w:r>
        <w:rPr>
          <w:rFonts w:hint="default" w:ascii="Times New Roman" w:hAnsi="Times New Roman" w:eastAsia="仿宋_GB2312" w:cs="Times New Roman"/>
          <w:color w:val="auto"/>
          <w:lang w:eastAsia="zh-CN"/>
        </w:rPr>
        <w:t>将危及</w:t>
      </w:r>
      <w:r>
        <w:rPr>
          <w:rFonts w:hint="default" w:ascii="Times New Roman" w:hAnsi="Times New Roman" w:eastAsia="仿宋_GB2312" w:cs="Times New Roman"/>
          <w:color w:val="auto"/>
        </w:rPr>
        <w:t>公共安全</w:t>
      </w:r>
      <w:r>
        <w:rPr>
          <w:rFonts w:hint="default" w:ascii="Times New Roman" w:hAnsi="Times New Roman" w:eastAsia="仿宋_GB2312" w:cs="Times New Roman"/>
          <w:color w:val="auto"/>
          <w:lang w:eastAsia="zh-CN"/>
        </w:rPr>
        <w:t>或</w:t>
      </w:r>
      <w:r>
        <w:rPr>
          <w:rFonts w:hint="default" w:ascii="Times New Roman" w:hAnsi="Times New Roman" w:eastAsia="仿宋_GB2312" w:cs="Times New Roman"/>
          <w:color w:val="auto"/>
        </w:rPr>
        <w:t>将对公共利益有所损害时；</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5）受让单位拒绝接受实施机构及相关部门的监督管理，情节严重的；</w:t>
      </w:r>
    </w:p>
    <w:p>
      <w:pPr>
        <w:ind w:firstLine="561" w:firstLineChars="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rPr>
        <w:t>6）受让单位未履行《经营权出让协议》项下的义务构成对《经营权出让协议》的实质性违约，并且在收到实施机构告知其违约并要求补救的书面通知后六十（60）日内仍未能补救该实质性违约</w:t>
      </w:r>
      <w:r>
        <w:rPr>
          <w:rFonts w:hint="eastAsia" w:cs="Times New Roman"/>
          <w:color w:val="auto"/>
          <w:lang w:eastAsia="zh-CN"/>
        </w:rPr>
        <w:t>；</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7）不可抗力或经营权出让协议约定的其他事项。</w:t>
      </w:r>
    </w:p>
    <w:p>
      <w:pPr>
        <w:ind w:firstLine="561" w:firstLineChars="0"/>
        <w:outlineLvl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（2）受让单位主张的提前终止</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1）实施机构所作的声明被证明在做出时在实质方面不属实，使受让单位履行《经营权出让协议》的能力受到严重的不利影响；</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2）实施机构未履行《经营权出让协议》项下的义务构成对《经营权出让协议》的实质性违约，并且在收到受让单位告知其违约并要求补救的书面通知后60日内仍未能补救该实质性违约；</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3）不可抗力或经营权出让协议约定的其他事项。</w:t>
      </w:r>
    </w:p>
    <w:p>
      <w:pPr>
        <w:pStyle w:val="5"/>
        <w:ind w:firstLine="561"/>
        <w:rPr>
          <w:rFonts w:hint="default" w:ascii="Times New Roman" w:hAnsi="Times New Roman" w:eastAsia="仿宋_GB2312" w:cs="Times New Roman"/>
          <w:color w:val="auto"/>
        </w:rPr>
      </w:pPr>
      <w:r>
        <w:rPr>
          <w:rFonts w:hint="default" w:ascii="Times New Roman" w:hAnsi="Times New Roman" w:eastAsia="仿宋_GB2312" w:cs="Times New Roman"/>
          <w:color w:val="auto"/>
        </w:rPr>
        <w:t>提前终止</w:t>
      </w:r>
      <w:r>
        <w:rPr>
          <w:rFonts w:hint="eastAsia" w:cs="Times New Roman"/>
          <w:color w:val="auto"/>
          <w:lang w:val="en-US" w:eastAsia="zh-CN"/>
        </w:rPr>
        <w:t>赔偿</w:t>
      </w:r>
    </w:p>
    <w:p>
      <w:pPr>
        <w:ind w:firstLine="561"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本项目发生协议约定的提前终止事项或者一方提出提前终止的，受让单位按表6-1获得实施机构支付的提前终止补偿（具体以《经营权出让协议》为准）。</w:t>
      </w:r>
    </w:p>
    <w:p>
      <w:pPr>
        <w:pStyle w:val="16"/>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图表 </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STYLEREF 1 \s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t>5</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SEQ 图表 \* ARABIC \s 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t>1</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 xml:space="preserve"> 提前终止</w:t>
      </w:r>
      <w:r>
        <w:rPr>
          <w:rFonts w:hint="default" w:ascii="Times New Roman" w:hAnsi="Times New Roman" w:eastAsia="仿宋_GB2312" w:cs="Times New Roman"/>
          <w:color w:val="auto"/>
          <w:lang w:val="en-US" w:eastAsia="zh-CN"/>
        </w:rPr>
        <w:t>赔偿</w:t>
      </w:r>
      <w:r>
        <w:rPr>
          <w:rFonts w:hint="default" w:ascii="Times New Roman" w:hAnsi="Times New Roman" w:eastAsia="仿宋_GB2312" w:cs="Times New Roman"/>
          <w:color w:val="auto"/>
        </w:rPr>
        <w:t>表</w:t>
      </w:r>
    </w:p>
    <w:tbl>
      <w:tblPr>
        <w:tblStyle w:val="691"/>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7"/>
        <w:gridCol w:w="3423"/>
        <w:gridCol w:w="4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序号</w:t>
            </w:r>
          </w:p>
        </w:tc>
        <w:tc>
          <w:tcPr>
            <w:tcW w:w="206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提前终止之情形</w:t>
            </w:r>
          </w:p>
        </w:tc>
        <w:tc>
          <w:tcPr>
            <w:tcW w:w="250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终止</w:t>
            </w:r>
            <w:r>
              <w:rPr>
                <w:rFonts w:hint="default" w:ascii="Times New Roman" w:hAnsi="Times New Roman" w:eastAsia="仿宋_GB2312" w:cs="Times New Roman"/>
                <w:color w:val="auto"/>
                <w:lang w:val="en-US" w:eastAsia="zh-CN"/>
              </w:rPr>
              <w:t>赔偿</w:t>
            </w:r>
            <w:r>
              <w:rPr>
                <w:rFonts w:hint="default" w:ascii="Times New Roman" w:hAnsi="Times New Roman" w:eastAsia="仿宋_GB2312" w:cs="Times New Roman"/>
                <w:color w:val="auto"/>
              </w:rPr>
              <w:t>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Merge w:val="restart"/>
            <w:tcBorders>
              <w:bottom w:val="nil"/>
            </w:tcBorders>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w:t>
            </w:r>
          </w:p>
        </w:tc>
        <w:tc>
          <w:tcPr>
            <w:tcW w:w="2066" w:type="pct"/>
            <w:vMerge w:val="restart"/>
            <w:tcBorders>
              <w:bottom w:val="nil"/>
            </w:tcBorders>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实施机构违约</w:t>
            </w:r>
          </w:p>
        </w:tc>
        <w:tc>
          <w:tcPr>
            <w:tcW w:w="250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建设期终止：A1+B+E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Merge w:val="continue"/>
            <w:tcBorders>
              <w:top w:val="nil"/>
            </w:tcBorders>
            <w:vAlign w:val="center"/>
          </w:tcPr>
          <w:p>
            <w:pPr>
              <w:pStyle w:val="674"/>
              <w:rPr>
                <w:rFonts w:hint="default" w:ascii="Times New Roman" w:hAnsi="Times New Roman" w:eastAsia="仿宋_GB2312" w:cs="Times New Roman"/>
                <w:color w:val="auto"/>
              </w:rPr>
            </w:pPr>
          </w:p>
        </w:tc>
        <w:tc>
          <w:tcPr>
            <w:tcW w:w="2066" w:type="pct"/>
            <w:vMerge w:val="continue"/>
            <w:tcBorders>
              <w:top w:val="nil"/>
            </w:tcBorders>
            <w:vAlign w:val="center"/>
          </w:tcPr>
          <w:p>
            <w:pPr>
              <w:pStyle w:val="674"/>
              <w:rPr>
                <w:rFonts w:hint="default" w:ascii="Times New Roman" w:hAnsi="Times New Roman" w:eastAsia="仿宋_GB2312" w:cs="Times New Roman"/>
                <w:color w:val="auto"/>
              </w:rPr>
            </w:pPr>
          </w:p>
        </w:tc>
        <w:tc>
          <w:tcPr>
            <w:tcW w:w="250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运营期终止：A2+B+E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w:t>
            </w:r>
          </w:p>
        </w:tc>
        <w:tc>
          <w:tcPr>
            <w:tcW w:w="206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受让单位违约</w:t>
            </w:r>
          </w:p>
        </w:tc>
        <w:tc>
          <w:tcPr>
            <w:tcW w:w="2506" w:type="pct"/>
            <w:vAlign w:val="center"/>
          </w:tcPr>
          <w:p>
            <w:pPr>
              <w:pStyle w:val="674"/>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rPr>
              <w:t>无</w:t>
            </w:r>
            <w:r>
              <w:rPr>
                <w:rFonts w:hint="eastAsia" w:cs="Times New Roman"/>
                <w:color w:val="auto"/>
                <w:lang w:val="en-US" w:eastAsia="zh-CN"/>
              </w:rPr>
              <w:t>赔偿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Merge w:val="restart"/>
            <w:tcBorders>
              <w:bottom w:val="nil"/>
            </w:tcBorders>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w:t>
            </w:r>
          </w:p>
        </w:tc>
        <w:tc>
          <w:tcPr>
            <w:tcW w:w="2066" w:type="pct"/>
            <w:vMerge w:val="restart"/>
            <w:tcBorders>
              <w:bottom w:val="nil"/>
            </w:tcBorders>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不可抗力</w:t>
            </w:r>
          </w:p>
        </w:tc>
        <w:tc>
          <w:tcPr>
            <w:tcW w:w="250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建设期终止：（A1-C-D）/2+E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27" w:type="pct"/>
            <w:vMerge w:val="continue"/>
            <w:tcBorders>
              <w:top w:val="nil"/>
            </w:tcBorders>
            <w:vAlign w:val="center"/>
          </w:tcPr>
          <w:p>
            <w:pPr>
              <w:pStyle w:val="674"/>
              <w:rPr>
                <w:rFonts w:hint="default" w:ascii="Times New Roman" w:hAnsi="Times New Roman" w:eastAsia="仿宋_GB2312" w:cs="Times New Roman"/>
                <w:color w:val="auto"/>
              </w:rPr>
            </w:pPr>
          </w:p>
        </w:tc>
        <w:tc>
          <w:tcPr>
            <w:tcW w:w="2066" w:type="pct"/>
            <w:vMerge w:val="continue"/>
            <w:tcBorders>
              <w:top w:val="nil"/>
            </w:tcBorders>
            <w:vAlign w:val="center"/>
          </w:tcPr>
          <w:p>
            <w:pPr>
              <w:pStyle w:val="674"/>
              <w:rPr>
                <w:rFonts w:hint="default" w:ascii="Times New Roman" w:hAnsi="Times New Roman" w:eastAsia="仿宋_GB2312" w:cs="Times New Roman"/>
                <w:color w:val="auto"/>
              </w:rPr>
            </w:pPr>
          </w:p>
        </w:tc>
        <w:tc>
          <w:tcPr>
            <w:tcW w:w="2506" w:type="pct"/>
            <w:vAlign w:val="center"/>
          </w:tcPr>
          <w:p>
            <w:pPr>
              <w:pStyle w:val="67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运营期终止：（A2-C-D）/2+E</w:t>
            </w:r>
          </w:p>
        </w:tc>
      </w:tr>
    </w:tbl>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A1——本项目经审定后的实际投资额；</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A2——本项目经审定后的实际投资额扣除已计提折旧和摊销后的余值；</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B——违约方应支付的违约金，取值为经营权出让费的10%；</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C——发生不可抗力情形时，根据经营权出让协议及相关保险合同，受让单位实际获得的保险赔款；</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D——发生不可抗力情形时，因受让单位投保不足，导致所获保险赔款无法使项目设施恢复到出险前的正常状态和价值的恢复性建设费用缺额部分（如有）；</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E——经营权出让费的剩余价值，剩余价值为剩余使用年限所分摊的价值。</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争议的解决</w:t>
      </w:r>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1、协商</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《经营权出让协议》执行过程中若出现争议，应尽力通过协商友好解决。</w:t>
      </w:r>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2、诉讼</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协商不能解决的争议，协议任何一方有权向实施机构所在地人民法院提起诉讼。</w:t>
      </w:r>
    </w:p>
    <w:p>
      <w:pPr>
        <w:outlineLvl w:val="3"/>
        <w:rPr>
          <w:rFonts w:hint="default" w:ascii="Times New Roman" w:hAnsi="Times New Roman" w:eastAsia="仿宋_GB2312" w:cs="Times New Roman"/>
          <w:color w:val="auto"/>
        </w:rPr>
      </w:pPr>
      <w:r>
        <w:rPr>
          <w:rFonts w:hint="default" w:ascii="Times New Roman" w:hAnsi="Times New Roman" w:eastAsia="仿宋_GB2312" w:cs="Times New Roman"/>
          <w:color w:val="auto"/>
        </w:rPr>
        <w:t>3、持续履行</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在争议解决期间，各方对协议无争议部分应当继续履行，除法律规定或另有约定外，不得以发生争议为由单方面终止或中断经营权出让协议义务的履行。受让单位应确保本项目服务的持续性。</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协议变更</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内，实施机构和受让方应根据有关法律法规，结合行业发展、市场变化和项目实际情况，定期协商修改完善《经营权出让协议》。协议中的任何修改、补充或变更只有以书面形式并由各方授权代表签字并加盖公章后方可生效并具有约束力。</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协议展期</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经营权有效期结束时，对该项目继续采用公共资源有偿使用模式的，应当依照规定重新选择受让</w:t>
      </w:r>
      <w:r>
        <w:rPr>
          <w:rFonts w:hint="default" w:ascii="Times New Roman" w:hAnsi="Times New Roman" w:eastAsia="仿宋_GB2312" w:cs="Times New Roman"/>
          <w:color w:val="auto"/>
          <w:lang w:eastAsia="zh-CN"/>
        </w:rPr>
        <w:t>单位</w:t>
      </w:r>
      <w:r>
        <w:rPr>
          <w:rFonts w:hint="default" w:ascii="Times New Roman" w:hAnsi="Times New Roman" w:eastAsia="仿宋_GB2312" w:cs="Times New Roman"/>
          <w:color w:val="auto"/>
        </w:rPr>
        <w:t>。若有效期限内受让单位履约记录良好的，在不违反届时法律法规的情形下，原受让单位方享有同等条件下的优先权。</w:t>
      </w:r>
    </w:p>
    <w:p>
      <w:pPr>
        <w:pStyle w:val="2"/>
        <w:spacing w:before="0" w:beforeLines="0" w:after="0" w:afterLines="0"/>
        <w:rPr>
          <w:rFonts w:hint="default" w:ascii="Times New Roman" w:hAnsi="Times New Roman" w:eastAsia="仿宋_GB2312" w:cs="Times New Roman"/>
          <w:color w:val="auto"/>
        </w:rPr>
      </w:pPr>
      <w:bookmarkStart w:id="51" w:name="_Toc4047"/>
      <w:r>
        <w:rPr>
          <w:rFonts w:hint="default" w:ascii="Times New Roman" w:hAnsi="Times New Roman" w:eastAsia="仿宋_GB2312" w:cs="Times New Roman"/>
          <w:color w:val="auto"/>
        </w:rPr>
        <w:t>监管架构</w:t>
      </w:r>
      <w:bookmarkEnd w:id="51"/>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监管架构主要包括授权关系和监管方式等。本项目中授权关系主要是政府对项目实施机构的授权以及实施机构对受让单位的授权。监管方式主要包括履约管理、行政监管和公众监督等。</w:t>
      </w:r>
    </w:p>
    <w:p>
      <w:pPr>
        <w:pStyle w:val="3"/>
        <w:spacing w:before="0" w:beforeLines="0"/>
        <w:rPr>
          <w:rFonts w:hint="default" w:ascii="Times New Roman" w:hAnsi="Times New Roman" w:eastAsia="仿宋_GB2312" w:cs="Times New Roman"/>
          <w:color w:val="auto"/>
        </w:rPr>
      </w:pPr>
      <w:bookmarkStart w:id="52" w:name="_Toc18105"/>
      <w:r>
        <w:rPr>
          <w:rFonts w:hint="default" w:ascii="Times New Roman" w:hAnsi="Times New Roman" w:eastAsia="仿宋_GB2312" w:cs="Times New Roman"/>
          <w:color w:val="auto"/>
        </w:rPr>
        <w:t>授权关系</w:t>
      </w:r>
      <w:bookmarkEnd w:id="52"/>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本项目实施机构涉及两个方面的授权：</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1、株洲市人民政府授权</w:t>
      </w:r>
      <w:r>
        <w:rPr>
          <w:rFonts w:hint="default" w:ascii="Times New Roman" w:hAnsi="Times New Roman" w:eastAsia="仿宋_GB2312" w:cs="Times New Roman"/>
          <w:color w:val="auto"/>
          <w:lang w:val="en-US" w:eastAsia="zh-CN"/>
        </w:rPr>
        <w:t>株洲市城市管理局</w:t>
      </w:r>
      <w:r>
        <w:rPr>
          <w:rFonts w:hint="default" w:ascii="Times New Roman" w:hAnsi="Times New Roman" w:eastAsia="仿宋_GB2312" w:cs="Times New Roman"/>
          <w:color w:val="auto"/>
        </w:rPr>
        <w:t>作为本项目实施机构，负责项目前期准备、</w:t>
      </w:r>
      <w:r>
        <w:rPr>
          <w:rFonts w:hint="default" w:ascii="Times New Roman" w:hAnsi="Times New Roman" w:eastAsia="仿宋_GB2312" w:cs="Times New Roman"/>
          <w:color w:val="auto"/>
          <w:lang w:val="en-US" w:eastAsia="zh-CN"/>
        </w:rPr>
        <w:t>编制实施方案、授权第三方机构授权进行资产评估、组织</w:t>
      </w:r>
      <w:r>
        <w:rPr>
          <w:rFonts w:hint="default" w:ascii="Times New Roman" w:hAnsi="Times New Roman" w:eastAsia="仿宋_GB2312" w:cs="Times New Roman"/>
          <w:color w:val="auto"/>
        </w:rPr>
        <w:t>经营权的拍卖、</w:t>
      </w:r>
      <w:r>
        <w:rPr>
          <w:rFonts w:hint="default" w:ascii="Times New Roman" w:hAnsi="Times New Roman" w:eastAsia="仿宋_GB2312" w:cs="Times New Roman"/>
          <w:color w:val="auto"/>
          <w:lang w:val="en-US" w:eastAsia="zh-CN"/>
        </w:rPr>
        <w:t>与受让单位签订</w:t>
      </w:r>
      <w:r>
        <w:rPr>
          <w:rFonts w:hint="default" w:ascii="Times New Roman" w:hAnsi="Times New Roman" w:eastAsia="仿宋_GB2312" w:cs="Times New Roman"/>
          <w:color w:val="auto"/>
        </w:rPr>
        <w:t>经营权出让协议、监管等工作。</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2、</w:t>
      </w:r>
      <w:r>
        <w:rPr>
          <w:rFonts w:hint="default" w:ascii="Times New Roman" w:hAnsi="Times New Roman" w:eastAsia="仿宋_GB2312" w:cs="Times New Roman"/>
          <w:color w:val="auto"/>
          <w:lang w:val="en-US" w:eastAsia="zh-CN"/>
        </w:rPr>
        <w:t>株洲市城市管理局</w:t>
      </w:r>
      <w:r>
        <w:rPr>
          <w:rFonts w:hint="default" w:ascii="Times New Roman" w:hAnsi="Times New Roman" w:eastAsia="仿宋_GB2312" w:cs="Times New Roman"/>
          <w:color w:val="auto"/>
        </w:rPr>
        <w:t>授予受让单位对本项目所涉及的公共资源进行使用的权利。</w:t>
      </w:r>
    </w:p>
    <w:p>
      <w:pPr>
        <w:pStyle w:val="3"/>
        <w:spacing w:before="0" w:beforeLines="0"/>
        <w:rPr>
          <w:rFonts w:hint="default" w:ascii="Times New Roman" w:hAnsi="Times New Roman" w:eastAsia="仿宋_GB2312" w:cs="Times New Roman"/>
          <w:color w:val="auto"/>
        </w:rPr>
      </w:pPr>
      <w:bookmarkStart w:id="53" w:name="_Toc22061"/>
      <w:r>
        <w:rPr>
          <w:rFonts w:hint="default" w:ascii="Times New Roman" w:hAnsi="Times New Roman" w:eastAsia="仿宋_GB2312" w:cs="Times New Roman"/>
          <w:color w:val="auto"/>
        </w:rPr>
        <w:t>监管方式</w:t>
      </w:r>
      <w:bookmarkEnd w:id="53"/>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履约管理</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合同监管</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一般情况下，履约管理最主要的方式就是合同监管。因此，为保证受让单位严格按照协议履约，项目实施机构</w:t>
      </w:r>
      <w:r>
        <w:rPr>
          <w:rFonts w:hint="eastAsia" w:cs="Times New Roman"/>
          <w:color w:val="auto"/>
          <w:lang w:val="en-US" w:eastAsia="zh-CN"/>
        </w:rPr>
        <w:t>及相关部门</w:t>
      </w:r>
      <w:r>
        <w:rPr>
          <w:rFonts w:hint="default" w:ascii="Times New Roman" w:hAnsi="Times New Roman" w:eastAsia="仿宋_GB2312" w:cs="Times New Roman"/>
          <w:color w:val="auto"/>
        </w:rPr>
        <w:t>应根据《经营权出让协议》约定，监督受让单位履行协议中相关义务。</w:t>
      </w:r>
      <w:r>
        <w:rPr>
          <w:rFonts w:hint="eastAsia" w:cs="Times New Roman"/>
          <w:color w:val="auto"/>
          <w:lang w:val="en-US" w:eastAsia="zh-CN"/>
        </w:rPr>
        <w:t>受让单位的经营行为需在实施机构及相关部门认可后开展。</w:t>
      </w:r>
    </w:p>
    <w:p>
      <w:pPr>
        <w:pStyle w:val="5"/>
        <w:ind w:firstLine="560"/>
        <w:rPr>
          <w:rFonts w:hint="default" w:ascii="Times New Roman" w:hAnsi="Times New Roman" w:eastAsia="仿宋_GB2312" w:cs="Times New Roman"/>
          <w:color w:val="auto"/>
        </w:rPr>
      </w:pPr>
      <w:r>
        <w:rPr>
          <w:rFonts w:hint="default" w:ascii="Times New Roman" w:hAnsi="Times New Roman" w:eastAsia="仿宋_GB2312" w:cs="Times New Roman"/>
          <w:color w:val="auto"/>
        </w:rPr>
        <w:t>处罚措施</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采取的处罚措施包括：停止侵害；消除影响；继续履行合同；采取补救措施；赔偿损失；支付违约金；解除合同；合同约定的其他合法措施。</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行政监管</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应急管理、环境保护等监管部门根据各自职责范围对项目建设和运营进行行政监管。</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公众监督</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项目合作期内，要保障公众知情权，接受社会监督。建立健全社会监督网络和舆论监督反馈，形成有效的、完善的社会监督体系。</w:t>
      </w:r>
    </w:p>
    <w:p>
      <w:pPr>
        <w:pStyle w:val="2"/>
        <w:spacing w:before="0" w:beforeLines="0" w:after="0" w:afterLines="0"/>
        <w:rPr>
          <w:rFonts w:hint="default" w:ascii="Times New Roman" w:hAnsi="Times New Roman" w:eastAsia="仿宋_GB2312" w:cs="Times New Roman"/>
          <w:color w:val="auto"/>
        </w:rPr>
      </w:pPr>
      <w:bookmarkStart w:id="54" w:name="_Toc15977"/>
      <w:r>
        <w:rPr>
          <w:rFonts w:hint="default" w:ascii="Times New Roman" w:hAnsi="Times New Roman" w:eastAsia="仿宋_GB2312" w:cs="Times New Roman"/>
          <w:color w:val="auto"/>
        </w:rPr>
        <w:t>风险分配基本框架</w:t>
      </w:r>
      <w:bookmarkEnd w:id="54"/>
    </w:p>
    <w:p>
      <w:pPr>
        <w:pStyle w:val="3"/>
        <w:spacing w:before="0" w:beforeLines="0"/>
        <w:rPr>
          <w:rFonts w:hint="default" w:ascii="Times New Roman" w:hAnsi="Times New Roman" w:eastAsia="仿宋_GB2312" w:cs="Times New Roman"/>
          <w:color w:val="auto"/>
        </w:rPr>
      </w:pPr>
      <w:bookmarkStart w:id="55" w:name="_Toc26720"/>
      <w:r>
        <w:rPr>
          <w:rFonts w:hint="default" w:ascii="Times New Roman" w:hAnsi="Times New Roman" w:eastAsia="仿宋_GB2312" w:cs="Times New Roman"/>
          <w:color w:val="auto"/>
        </w:rPr>
        <w:t>风险识别</w:t>
      </w:r>
      <w:bookmarkEnd w:id="55"/>
    </w:p>
    <w:p>
      <w:pPr>
        <w:rPr>
          <w:rFonts w:hint="default" w:ascii="Times New Roman" w:hAnsi="Times New Roman" w:eastAsia="仿宋_GB2312" w:cs="Times New Roman"/>
          <w:color w:val="auto"/>
        </w:rPr>
      </w:pPr>
      <w:bookmarkStart w:id="56" w:name="_Toc133517428"/>
      <w:bookmarkStart w:id="57" w:name="_Toc133517202"/>
      <w:bookmarkStart w:id="58" w:name="_Toc133516750"/>
      <w:bookmarkStart w:id="59" w:name="_Toc133516518"/>
      <w:r>
        <w:rPr>
          <w:rFonts w:hint="default" w:ascii="Times New Roman" w:hAnsi="Times New Roman" w:eastAsia="仿宋_GB2312" w:cs="Times New Roman"/>
          <w:color w:val="auto"/>
        </w:rPr>
        <w:t>根据本项目特点以及从失败或同类型项目中出现的重要风险进行归纳并得出本项目主要风险清单：融资/财务风险、运营风险、不可抗力风险、移交风险、政府行为风险等。</w:t>
      </w:r>
      <w:bookmarkEnd w:id="56"/>
      <w:bookmarkEnd w:id="57"/>
      <w:bookmarkEnd w:id="58"/>
      <w:bookmarkEnd w:id="59"/>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结合本项目实际情况，分析各个阶段存在的风险，详见下表：</w:t>
      </w:r>
    </w:p>
    <w:p>
      <w:pPr>
        <w:pStyle w:val="16"/>
        <w:rPr>
          <w:rFonts w:hint="default" w:ascii="Times New Roman" w:hAnsi="Times New Roman" w:eastAsia="仿宋_GB2312" w:cs="Times New Roman"/>
          <w:color w:val="auto"/>
        </w:rPr>
      </w:pPr>
      <w:r>
        <w:rPr>
          <w:rFonts w:hint="default" w:ascii="Times New Roman" w:hAnsi="Times New Roman" w:eastAsia="仿宋_GB2312" w:cs="Times New Roman"/>
          <w:color w:val="auto"/>
        </w:rPr>
        <w:t>图表 7-</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SEQ 图表 \* ARABIC \s 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t>1</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风险识别表</w:t>
      </w:r>
    </w:p>
    <w:tbl>
      <w:tblPr>
        <w:tblStyle w:val="691"/>
        <w:tblW w:w="876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2200"/>
        <w:gridCol w:w="59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blHeader/>
        </w:trPr>
        <w:tc>
          <w:tcPr>
            <w:tcW w:w="2844" w:type="dxa"/>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风险类型</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风险描述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restart"/>
            <w:tcBorders>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系统</w:t>
            </w:r>
          </w:p>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风险</w:t>
            </w: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因法律法规、政策或行业标准变化导致项目建设、运营成本增加，</w:t>
            </w:r>
          </w:p>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受让单位达不到预期收益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2.税收风险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税收政策调整，导致受让单位税费成本发生变化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3.通货膨胀风险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因通货膨胀引起运营成本增加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4.公共机构反对风险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项目在建设、运营过程中影响了公共机构的利益而引起反对，影</w:t>
            </w:r>
          </w:p>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响项目实施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5.不可抗力风险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发生政治不可抗力（非因实施机构原因导致且不在其控制下的征收征用、政治反对等）、自然不可抗力（主要是指台风、冰雹、地震、海啸、洪水、火山爆发、山体滑坡等自然灾害）、社会不可抗力（战争、武装冲突、罢工、骚乱、暴动、疫情等社会异常事件）等事件，造成项目不能正常运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6.受让单位能力不足风险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受让单位组织不合理，或技术、经验不足，或融资能力差等造成</w:t>
            </w:r>
          </w:p>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项目不能正常运转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7.受让单位方变动风险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受让单位方异常变动，影响项目稳定性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8.规划风险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因规划变动对项目产生不利影响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9.政府干预风险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实施机构过度干预影响项目的实施和进程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10.项目审批和决策风险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项目审批和决策不及时，影响项目的实施和进程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建设阶段风险</w:t>
            </w: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11.融资风险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受让单位不能获得或无法在约定期限内获得融资资金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12.安全事故风险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由于现场管理不善，导致施工现场出现安全事故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13.环境风险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项目建设对环境造成影响、损害，或者达不到有关部门规定的环保标准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14.工程质量风险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项目工程质量不合格或出现质量缺陷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restart"/>
            <w:tcBorders>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运营阶段风险</w:t>
            </w: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15.市场需求风险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由于宏观经济、社会发展、同业竞争等产生市场需求变动风险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16.价格风险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项目服务价格变动风险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Merge w:val="continue"/>
            <w:tcBorders>
              <w:top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17.经营管理不力风险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受让单位经营管理经验不足、能力差，影响项目运营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移交阶段风险</w:t>
            </w:r>
          </w:p>
        </w:tc>
        <w:tc>
          <w:tcPr>
            <w:tcW w:w="2200"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p>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18.移交履约风险</w:t>
            </w:r>
          </w:p>
        </w:tc>
        <w:tc>
          <w:tcPr>
            <w:tcW w:w="5924" w:type="dxa"/>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受让单位在协议约定期限内未能及时移交，或移交时项目场地存在其他权利负担等</w:t>
            </w:r>
          </w:p>
        </w:tc>
      </w:tr>
    </w:tbl>
    <w:p>
      <w:pPr>
        <w:pStyle w:val="3"/>
        <w:spacing w:before="0" w:beforeLines="0"/>
        <w:rPr>
          <w:rFonts w:hint="default" w:ascii="Times New Roman" w:hAnsi="Times New Roman" w:eastAsia="仿宋_GB2312" w:cs="Times New Roman"/>
          <w:color w:val="auto"/>
        </w:rPr>
      </w:pPr>
      <w:bookmarkStart w:id="60" w:name="_Toc3880"/>
      <w:r>
        <w:rPr>
          <w:rFonts w:hint="default" w:ascii="Times New Roman" w:hAnsi="Times New Roman" w:eastAsia="仿宋_GB2312" w:cs="Times New Roman"/>
          <w:color w:val="auto"/>
        </w:rPr>
        <w:t>风险分配</w:t>
      </w:r>
      <w:bookmarkEnd w:id="60"/>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风险分配基本原则</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本项目分配机制按照风险分配优化、风险收益对等和风险可控等原则：</w:t>
      </w:r>
    </w:p>
    <w:p>
      <w:pPr>
        <w:numPr>
          <w:ilvl w:val="0"/>
          <w:numId w:val="9"/>
        </w:numPr>
        <w:outlineLvl w:val="9"/>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风险分配优化：风险应该由对风险最具控制力的一方承担。</w:t>
      </w:r>
    </w:p>
    <w:p>
      <w:pPr>
        <w:numPr>
          <w:ilvl w:val="0"/>
          <w:numId w:val="9"/>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风险收益对等原则：风险承担者承担的风险与获得的收益相匹配。</w:t>
      </w:r>
    </w:p>
    <w:p>
      <w:pPr>
        <w:numPr>
          <w:ilvl w:val="0"/>
          <w:numId w:val="9"/>
        </w:numPr>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风险可控原则：承担风险的一方能够将该风险合理转移，但风险最终发生，承担风险的一方不应将由此产生的费用和损失转移给协议相对方。</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风险分配机制及风险应对措施</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根据风险分配原则和项目实际情况，得出如下风险分配方案：</w:t>
      </w:r>
    </w:p>
    <w:p>
      <w:pPr>
        <w:pStyle w:val="16"/>
        <w:rPr>
          <w:rFonts w:hint="default" w:ascii="Times New Roman" w:hAnsi="Times New Roman" w:eastAsia="仿宋_GB2312" w:cs="Times New Roman"/>
          <w:color w:val="auto"/>
        </w:rPr>
      </w:pPr>
      <w:r>
        <w:rPr>
          <w:rFonts w:hint="default" w:ascii="Times New Roman" w:hAnsi="Times New Roman" w:eastAsia="仿宋_GB2312" w:cs="Times New Roman"/>
          <w:color w:val="auto"/>
        </w:rPr>
        <w:t>图表 7-</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SEQ 图表 \* ARABIC \s 1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t>2</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 xml:space="preserve"> 风险分配方案</w:t>
      </w:r>
    </w:p>
    <w:tbl>
      <w:tblPr>
        <w:tblStyle w:val="691"/>
        <w:tblW w:w="50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2"/>
        <w:gridCol w:w="1208"/>
        <w:gridCol w:w="2558"/>
        <w:gridCol w:w="1308"/>
        <w:gridCol w:w="143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658" w:type="pct"/>
            <w:gridSpan w:val="3"/>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风险类型</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实施机构负担</w:t>
            </w: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受让单位方负担</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共同负担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系统风险</w:t>
            </w:r>
          </w:p>
        </w:tc>
        <w:tc>
          <w:tcPr>
            <w:tcW w:w="720"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、政策变更风险</w:t>
            </w:r>
          </w:p>
        </w:tc>
        <w:tc>
          <w:tcPr>
            <w:tcW w:w="1523"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本级政府可控范围内的</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720"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1523"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非本级政府可控范围内的</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2.税收风险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3.通货膨胀风险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4.公共机构反对风险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5.不可抗力风险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6.受让单位能力不足风险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7.受让单位方变动风险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720"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8.规划风险</w:t>
            </w:r>
          </w:p>
        </w:tc>
        <w:tc>
          <w:tcPr>
            <w:tcW w:w="1523"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本级政府可控的规划风险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720"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1523"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非本级政府可控的规划风险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9.政府干预风险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10.项目审批和决策风险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建设阶</w:t>
            </w:r>
          </w:p>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段风险</w:t>
            </w: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11.融资风险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12.安全事故风险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13.环境风险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14.工程质量风险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运营阶</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段风险</w:t>
            </w: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15.市场需求风险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16.价格风险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17.经营管理不力风险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3"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移交阶</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段风险</w:t>
            </w:r>
          </w:p>
        </w:tc>
        <w:tc>
          <w:tcPr>
            <w:tcW w:w="2244"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18.移交履约风险</w:t>
            </w:r>
          </w:p>
        </w:tc>
        <w:tc>
          <w:tcPr>
            <w:tcW w:w="780"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8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707"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r>
    </w:tbl>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注：部分风险在不同情况下的风险分担主体不同，具体如何分担应根据风险的具体情况判断。</w:t>
      </w:r>
    </w:p>
    <w:p>
      <w:pPr>
        <w:pStyle w:val="4"/>
        <w:rPr>
          <w:rFonts w:hint="default" w:ascii="Times New Roman" w:hAnsi="Times New Roman" w:eastAsia="仿宋_GB2312" w:cs="Times New Roman"/>
          <w:color w:val="auto"/>
        </w:rPr>
      </w:pPr>
      <w:r>
        <w:rPr>
          <w:rFonts w:hint="default" w:ascii="Times New Roman" w:hAnsi="Times New Roman" w:eastAsia="仿宋_GB2312" w:cs="Times New Roman"/>
          <w:color w:val="auto"/>
        </w:rPr>
        <w:t>风险应对措施</w:t>
      </w:r>
    </w:p>
    <w:p>
      <w:pPr>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根据项目风险分配方案，为防范、规避相应风险，提高项目建设和运营效率，双方应采取相应措施，如下表所示：</w:t>
      </w:r>
    </w:p>
    <w:tbl>
      <w:tblPr>
        <w:tblStyle w:val="691"/>
        <w:tblW w:w="504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4"/>
        <w:gridCol w:w="2737"/>
        <w:gridCol w:w="4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2045" w:type="pct"/>
            <w:gridSpan w:val="2"/>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风险类型</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应对措施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restart"/>
            <w:tcBorders>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系统</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风险</w:t>
            </w: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实施机构尽量在可控范围内保证</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、政策的稳定性，如因</w:t>
            </w:r>
            <w:r>
              <w:rPr>
                <w:rFonts w:hint="default" w:ascii="Times New Roman" w:hAnsi="Times New Roman" w:eastAsia="仿宋_GB2312" w:cs="Times New Roman"/>
                <w:color w:val="auto"/>
                <w:sz w:val="18"/>
                <w:szCs w:val="18"/>
                <w:lang w:eastAsia="zh-CN"/>
              </w:rPr>
              <w:t>法律法规</w:t>
            </w:r>
            <w:r>
              <w:rPr>
                <w:rFonts w:hint="default" w:ascii="Times New Roman" w:hAnsi="Times New Roman" w:eastAsia="仿宋_GB2312" w:cs="Times New Roman"/>
                <w:color w:val="auto"/>
                <w:sz w:val="18"/>
                <w:szCs w:val="18"/>
              </w:rPr>
              <w:t>、政策变更导致项目无法继续实施，双方应建立提前终止机制。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2.税收风险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受让单位根据实际情况自行把控税收政策变化风险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3.通货膨胀风险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受让单位根据实际情况自行把控通货膨胀变化风险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4.公共机构反对风险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如因受让单位操作不当引起，受让单位应尽快纠正；如因项目规划等原因引起，实施机构应积极与公共机构进行沟通；如因不可抗力原因，双方共同承担损失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5.不可抗力风险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通过投保商业保险转移风险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6.受让单位能力不足风险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对受让单位方投融资能力、管理水平、经验等进行深入调研和考察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7.受让单位方变动风险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约定受让单位方的变动条件并严格执行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8.规划风险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实施机构尽力协调各方保证规划的稳定性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9.政府干预风险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明确实施机构及相关部门的监管内容和方法，除按合同约定或相关法规政策规定进行监管外，不得干预项目的实施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10.项目审批和决策风险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受让单位协调相关部门建立协调机制，加快项目审批和内部决策速度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restart"/>
            <w:tcBorders>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阶段</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风险</w:t>
            </w: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11.融资风险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受让单位根据自身情况自行把控融资风险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12.安全事故风险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要求受让单位严格执行安全生产管理制度，同时加强安全监管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bottom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13.环境风险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要求受让单位建设、运营中遵守相关环保规定，对违反相关规定情形约定违约处理方式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tcBorders>
              <w:top w:val="nil"/>
            </w:tcBorders>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14.工程质量风险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受让单位应自行把控项目工程质量风险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restar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运营阶</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段风险</w:t>
            </w: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15.市场需求风险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受让单位应详细论证市场需求，充分评估项目投资风险，合理确定有偿使用费报价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16.价格风险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受让单位应充分评估项目</w:t>
            </w:r>
            <w:r>
              <w:rPr>
                <w:rFonts w:hint="eastAsia" w:ascii="Times New Roman" w:hAnsi="Times New Roman" w:cs="Times New Roman"/>
                <w:color w:val="auto"/>
                <w:sz w:val="18"/>
                <w:szCs w:val="18"/>
                <w:lang w:val="en-US" w:eastAsia="zh-CN"/>
              </w:rPr>
              <w:t>各项价格</w:t>
            </w:r>
            <w:r>
              <w:rPr>
                <w:rFonts w:hint="default" w:ascii="Times New Roman" w:hAnsi="Times New Roman" w:eastAsia="仿宋_GB2312" w:cs="Times New Roman"/>
                <w:color w:val="auto"/>
                <w:sz w:val="18"/>
                <w:szCs w:val="18"/>
              </w:rPr>
              <w:t>变动风险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Merge w:val="continue"/>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17.经营管理不力风险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受让单位自身运营能力不足时，可委托或与具备相应运营能力的单位合作运营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移交阶</w:t>
            </w:r>
          </w:p>
          <w:p>
            <w:pPr>
              <w:pStyle w:val="6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段风险</w:t>
            </w:r>
          </w:p>
        </w:tc>
        <w:tc>
          <w:tcPr>
            <w:tcW w:w="1636"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18.移交履约风险</w:t>
            </w:r>
          </w:p>
        </w:tc>
        <w:tc>
          <w:tcPr>
            <w:tcW w:w="2954" w:type="pct"/>
            <w:vAlign w:val="center"/>
          </w:tcPr>
          <w:p>
            <w:pPr>
              <w:pStyle w:val="67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通过协议约定移交违约风险</w:t>
            </w:r>
          </w:p>
        </w:tc>
      </w:tr>
      <w:bookmarkEnd w:id="44"/>
    </w:tbl>
    <w:p>
      <w:pPr>
        <w:ind w:left="0" w:leftChars="0" w:firstLine="0" w:firstLineChars="0"/>
        <w:rPr>
          <w:rFonts w:hint="default" w:ascii="Times New Roman" w:hAnsi="Times New Roman" w:eastAsia="仿宋_GB2312" w:cs="Times New Roman"/>
          <w:color w:val="auto"/>
        </w:rPr>
      </w:pPr>
    </w:p>
    <w:p>
      <w:pPr>
        <w:ind w:left="0" w:leftChars="0" w:firstLine="0" w:firstLineChars="0"/>
        <w:rPr>
          <w:rFonts w:hint="default" w:ascii="Times New Roman" w:hAnsi="Times New Roman" w:eastAsia="仿宋_GB2312" w:cs="Times New Roman"/>
          <w:color w:val="auto"/>
        </w:rPr>
        <w:sectPr>
          <w:footerReference r:id="rId10" w:type="default"/>
          <w:pgSz w:w="11906" w:h="16838"/>
          <w:pgMar w:top="1417" w:right="1814" w:bottom="1418" w:left="1814" w:header="851" w:footer="1077"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附表1：</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总投资估算表</w:t>
      </w:r>
    </w:p>
    <w:tbl>
      <w:tblPr>
        <w:tblStyle w:val="5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9"/>
        <w:gridCol w:w="2762"/>
        <w:gridCol w:w="1334"/>
        <w:gridCol w:w="1334"/>
        <w:gridCol w:w="1334"/>
        <w:gridCol w:w="1050"/>
        <w:gridCol w:w="1235"/>
        <w:gridCol w:w="1109"/>
        <w:gridCol w:w="1061"/>
        <w:gridCol w:w="1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序号</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工程或费用名称</w:t>
            </w:r>
          </w:p>
        </w:tc>
        <w:tc>
          <w:tcPr>
            <w:tcW w:w="221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估算价值（万元）</w:t>
            </w:r>
          </w:p>
        </w:tc>
        <w:tc>
          <w:tcPr>
            <w:tcW w:w="14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技术经济指标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建筑工程费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安装工程费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设备购置费</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其他费用</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合计</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单位</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数量</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指标（元/单位）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一</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工程费用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8327.56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218.88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8923.24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新建</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218.88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8923.24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9172.11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1.1</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路灯光伏</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23.28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442.29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465.57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5173.00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1.2</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储能设备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4760.00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4760.00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kwh</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59500.00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1.3</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路灯广告位</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1000.00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1.4</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电动单车充电装置</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4.60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92.04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96.64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767.00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1.5</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汽车充电桩（30kw）</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71.40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1356.60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1428.00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357.00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40000.00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1.6</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汽车充电桩（60kw）</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119.60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2272.31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2391.90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357.00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67000.00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2</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改造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8297.56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8297.56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2.1</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管线扩容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8291.86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8291.86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150761.00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2.2</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路灯广告位</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5.70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5.70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285.00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二</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工程建设其他费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1357.33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1357.33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建设管理费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214.88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214.88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2</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前期工作费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30.89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30.89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3</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工程勘察费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139.76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139.76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4</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工程设计费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200.90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200.90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5</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造价咨询费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97.83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97.83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6</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招标代理费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23.24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23.24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7</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工程监理费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300.45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300.45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8</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工程保险费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52.41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52.41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9</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环境影响评价费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34.94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34.94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10</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场地准备及临时设施费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87.35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87.35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11</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公共资源交易服务收费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174.70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174.70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17469.67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三</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预备费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941.35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941.35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1</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基本预备费</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941.35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941.35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18827.00 </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四</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建设期利息</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610.60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610.60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五</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经营权费用</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六</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总投资（一+二+三+四+五）</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8327.56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218.88 </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8923.24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2909.28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r>
              <w:rPr>
                <w:rFonts w:hint="default" w:ascii="Times New Roman" w:hAnsi="Times New Roman" w:eastAsia="仿宋_GB2312" w:cs="Times New Roman"/>
                <w:b w:val="0"/>
                <w:bCs w:val="0"/>
                <w:color w:val="auto"/>
                <w:kern w:val="2"/>
                <w:sz w:val="18"/>
                <w:szCs w:val="18"/>
                <w:lang w:val="en-US" w:eastAsia="zh-CN" w:bidi="ar-SA"/>
              </w:rPr>
              <w:t xml:space="preserve">20378.95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仿宋_GB2312" w:cs="Times New Roman"/>
          <w:b w:val="0"/>
          <w:bCs w:val="0"/>
          <w:color w:val="auto"/>
          <w:kern w:val="2"/>
          <w:sz w:val="18"/>
          <w:szCs w:val="1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bookmarkStart w:id="61" w:name="_Toc8553"/>
      <w:r>
        <w:rPr>
          <w:rFonts w:hint="default"/>
          <w:b/>
          <w:bCs/>
          <w:color w:val="auto"/>
          <w:szCs w:val="22"/>
          <w:lang w:val="en-US" w:eastAsia="zh-CN"/>
        </w:rPr>
        <w:t>营业收入、营业税金及附加和增值税估算表（一）</w:t>
      </w:r>
      <w:bookmarkEnd w:id="61"/>
    </w:p>
    <w:tbl>
      <w:tblPr>
        <w:tblStyle w:val="59"/>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3"/>
        <w:gridCol w:w="2751"/>
        <w:gridCol w:w="1129"/>
        <w:gridCol w:w="944"/>
        <w:gridCol w:w="944"/>
        <w:gridCol w:w="981"/>
        <w:gridCol w:w="981"/>
        <w:gridCol w:w="981"/>
        <w:gridCol w:w="981"/>
        <w:gridCol w:w="981"/>
        <w:gridCol w:w="981"/>
        <w:gridCol w:w="981"/>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130362.09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3235.40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3848.28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4490.89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4627.82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4764.75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4730.86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4874.64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5018.42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路灯灯箱广告出租收入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3617.24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101.83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122.20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122.20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出租单价（元/个/年）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217.03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储能供电收入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33292.48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综合电价（元/kwh）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放电量（kwh）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损耗率（%）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4328.02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电动单车充电服务收入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9305.41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297.30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服务费（元/个/h）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1209.70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23.19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57.97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57.97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57.97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新能源汽车充电服务收入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44927.55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1369.93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1712.42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2054.90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2054.90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2054.90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1868.09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1868.09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1868.09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平均每小时充电功率（kwh/h）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5840.58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222.61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267.14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267.14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267.14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242.85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242.85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设备接口租赁收入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租赁收入（万元）（不含税）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39219.41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410.79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547.72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821.58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958.51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1150.21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1293.99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1437.76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数量（米）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单价（元/米/年）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3529.75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49.29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73.94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103.52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129.40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增值税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7753.05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76.04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375.78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388.18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15125.09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398.06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471.24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548.28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572.93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573.39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586.33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进项税金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5509.69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192.24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193.72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196.20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197.23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197.07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固定资产抵扣税金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205.82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277.52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352.08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363.89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375.70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287.34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印花税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43.65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城市建设维护费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542.71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3.3</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232.59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地方教育费附加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155.06 </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7.76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b/>
          <w:bCs/>
          <w:color w:val="auto"/>
          <w:szCs w:val="22"/>
          <w:lang w:val="en-US" w:eastAsia="zh-CN"/>
        </w:rPr>
        <w:t>营业收入、营业税金及附加和增值税估算表（</w:t>
      </w:r>
      <w:r>
        <w:rPr>
          <w:rFonts w:hint="eastAsia" w:ascii="Times New Roman" w:eastAsia="仿宋_GB2312"/>
          <w:b/>
          <w:bCs/>
          <w:color w:val="auto"/>
          <w:szCs w:val="22"/>
          <w:lang w:val="en-US" w:eastAsia="zh-CN"/>
        </w:rPr>
        <w:t>二</w:t>
      </w:r>
      <w:r>
        <w:rPr>
          <w:rFonts w:hint="default"/>
          <w:b/>
          <w:bCs/>
          <w:color w:val="auto"/>
          <w:szCs w:val="22"/>
          <w:lang w:val="en-US" w:eastAsia="zh-CN"/>
        </w:rPr>
        <w:t>）</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2722"/>
        <w:gridCol w:w="1106"/>
        <w:gridCol w:w="981"/>
        <w:gridCol w:w="981"/>
        <w:gridCol w:w="981"/>
        <w:gridCol w:w="981"/>
        <w:gridCol w:w="981"/>
        <w:gridCol w:w="981"/>
        <w:gridCol w:w="981"/>
        <w:gridCol w:w="981"/>
        <w:gridCol w:w="981"/>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130362.09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5018.42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5018.42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4865.01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4865.01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4865.01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4865.01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4865.01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4715.50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4715.50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4715.50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路灯灯箱广告出租收入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3617.24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122.20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122.20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134.72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134.72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134.72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出租单价（元/个/年）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1323.00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1323.00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1323.00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1323.00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1323.00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1389.15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217.03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储能供电收入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33292.48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综合电价（元/kwh）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放电量（kwh）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损耗率（%）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4328.02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电动单车充电服务收入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9305.41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356.76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356.76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356.76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356.76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356.76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312.16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312.16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服务费（元/个/h）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1209.70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46.38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新能源汽车充电服务收入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44927.55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1868.09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1868.09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1494.47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1494.47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1494.47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平均每小时充电功率（kwh/h）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242.85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242.85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218.57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218.57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218.57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218.57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218.57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设备接口租赁收入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租赁收入（万元）（不含税）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39219.41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1437.76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1437.76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1509.65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1509.65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1509.65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1509.65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1509.65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1585.13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1585.13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1585.13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数量（米）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单价（元/米/年）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3529.75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129.40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129.40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增值税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7753.05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388.18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388.18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365.54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365.54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365.54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365.54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365.54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15125.09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586.33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586.33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563.08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563.08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563.08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563.08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563.08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进项税金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5509.69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固定资产抵扣税金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印花税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城市建设维护费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542.71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232.59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地方教育费附加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155.06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6.86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b/>
          <w:bCs/>
          <w:color w:val="auto"/>
          <w:szCs w:val="22"/>
          <w:lang w:val="en-US" w:eastAsia="zh-CN"/>
        </w:rPr>
        <w:t>营业收入、营业税金及附加和增值税估算表（</w:t>
      </w:r>
      <w:r>
        <w:rPr>
          <w:rFonts w:hint="eastAsia" w:ascii="Times New Roman" w:eastAsia="仿宋_GB2312"/>
          <w:b/>
          <w:bCs/>
          <w:color w:val="auto"/>
          <w:szCs w:val="22"/>
          <w:lang w:val="en-US" w:eastAsia="zh-CN"/>
        </w:rPr>
        <w:t>三</w:t>
      </w:r>
      <w:r>
        <w:rPr>
          <w:rFonts w:hint="default"/>
          <w:b/>
          <w:bCs/>
          <w:color w:val="auto"/>
          <w:szCs w:val="22"/>
          <w:lang w:val="en-US" w:eastAsia="zh-CN"/>
        </w:rPr>
        <w:t>）</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2722"/>
        <w:gridCol w:w="1106"/>
        <w:gridCol w:w="981"/>
        <w:gridCol w:w="981"/>
        <w:gridCol w:w="981"/>
        <w:gridCol w:w="981"/>
        <w:gridCol w:w="981"/>
        <w:gridCol w:w="981"/>
        <w:gridCol w:w="981"/>
        <w:gridCol w:w="981"/>
        <w:gridCol w:w="981"/>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130362.09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4715.50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4715.50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4570.09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4570.09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4570.09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4570.09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4570.09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4660.39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4660.39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4660.39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路灯灯箱广告出租收入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3617.24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134.72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134.72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148.53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148.53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148.53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出租单价（元/个/年）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1389.15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1531.54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1531.54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1531.54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217.03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储能供电收入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33292.48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1189.02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综合电价（元/kwh）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放电量（kwh）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损耗率（%）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4328.02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电动单车充电服务收入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9305.41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312.16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312.16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4602.00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服务费（元/个/h）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1209.70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新能源汽车充电服务收入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44927.55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1494.47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1494.47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1307.66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可出租数量（个）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服务费（元/kwh）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单个每天充电时间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平均每小时充电功率（kwh/h）</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使用率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5840.58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设备接口租赁收入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租赁收入（万元）（不含税）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39219.41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1585.13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1585.13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1664.39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1664.39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1664.39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1664.39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1664.39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1747.61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1747.61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1747.61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数量（米）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150761.00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单价（元/米/年）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114.60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120.34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出租率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销项税额（万元）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3529.75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142.66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149.80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149.80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149.80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149.80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149.80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157.28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增值税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7753.05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321.27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328.84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328.84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328.84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销项税金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15125.09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540.18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517.63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517.63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517.63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517.63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517.63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进项税金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5509.69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196.37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196.37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196.37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196.37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196.37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196.71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196.71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固定资产抵扣税金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印花税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43.65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城市建设维护费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542.71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3.3</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232.59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9.64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9.87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地方教育费附加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155.06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6.58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6.58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附表3：</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eastAsia" w:ascii="Times New Roman" w:eastAsia="仿宋_GB2312"/>
          <w:b/>
          <w:bCs/>
          <w:color w:val="auto"/>
          <w:szCs w:val="22"/>
          <w:lang w:val="en-US" w:eastAsia="zh-CN"/>
        </w:rPr>
        <w:t>总成本</w:t>
      </w:r>
      <w:r>
        <w:rPr>
          <w:rFonts w:hint="default"/>
          <w:b/>
          <w:bCs/>
          <w:color w:val="auto"/>
          <w:szCs w:val="22"/>
          <w:lang w:val="en-US" w:eastAsia="zh-CN"/>
        </w:rPr>
        <w:t>估算表（</w:t>
      </w:r>
      <w:r>
        <w:rPr>
          <w:rFonts w:hint="eastAsia" w:ascii="Times New Roman" w:eastAsia="仿宋_GB2312"/>
          <w:b/>
          <w:bCs/>
          <w:color w:val="auto"/>
          <w:szCs w:val="22"/>
          <w:lang w:val="en-US" w:eastAsia="zh-CN"/>
        </w:rPr>
        <w:t>一</w:t>
      </w:r>
      <w:r>
        <w:rPr>
          <w:rFonts w:hint="default"/>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2505"/>
        <w:gridCol w:w="1178"/>
        <w:gridCol w:w="990"/>
        <w:gridCol w:w="990"/>
        <w:gridCol w:w="990"/>
        <w:gridCol w:w="990"/>
        <w:gridCol w:w="990"/>
        <w:gridCol w:w="990"/>
        <w:gridCol w:w="990"/>
        <w:gridCol w:w="990"/>
        <w:gridCol w:w="990"/>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燃料及动力费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20082.86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724.72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工资及福利费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7549.68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修理费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23444.45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4364.62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129.59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151.18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155.65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160.13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158.74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163.44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经营成本（1+2+3+4）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1911.03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1923.86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1945.45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1949.92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1954.40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1965.01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折旧费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18516.60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摊销费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财务费用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610.60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591.25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559.00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513.85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461.39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409.36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358.19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总成本费用合计（5+6+7+8）</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3182.94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3176.41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3165.75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3125.08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3077.10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3035.68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2989.21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2942.74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其中：可变成本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24447.48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833.73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846.55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868.14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872.62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877.10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875.71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880.41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885.11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54088.94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2349.21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2329.86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2297.61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2252.46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2200.00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2159.97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2108.80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2057.63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附表3：</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b/>
          <w:bCs/>
          <w:color w:val="auto"/>
          <w:szCs w:val="22"/>
          <w:lang w:val="en-US" w:eastAsia="zh-CN"/>
        </w:rPr>
        <w:t>总成本估算表（</w:t>
      </w:r>
      <w:r>
        <w:rPr>
          <w:rFonts w:hint="eastAsia" w:ascii="Times New Roman" w:eastAsia="仿宋_GB2312"/>
          <w:b/>
          <w:bCs/>
          <w:color w:val="auto"/>
          <w:szCs w:val="22"/>
          <w:lang w:val="en-US" w:eastAsia="zh-CN"/>
        </w:rPr>
        <w:t>二</w:t>
      </w:r>
      <w:r>
        <w:rPr>
          <w:rFonts w:hint="default"/>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2505"/>
        <w:gridCol w:w="1178"/>
        <w:gridCol w:w="990"/>
        <w:gridCol w:w="990"/>
        <w:gridCol w:w="990"/>
        <w:gridCol w:w="990"/>
        <w:gridCol w:w="990"/>
        <w:gridCol w:w="990"/>
        <w:gridCol w:w="990"/>
        <w:gridCol w:w="990"/>
        <w:gridCol w:w="990"/>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燃料及动力费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20082.86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工资及福利费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7549.68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277.83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277.83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修理费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23444.45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4364.62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168.14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157.67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157.67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经营成本（1+2+3+4）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折旧费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18516.60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摊销费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财务费用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255.85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204.68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153.51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102.34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51.17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总成本费用合计（5+6+7+8）</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2891.57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2840.40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2796.53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2745.36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2694.19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2643.02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2643.02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其中：可变成本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24447.48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885.11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885.11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879.81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879.81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879.81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879.81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879.81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874.64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874.64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874.64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54088.94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2006.46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1955.29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1916.72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1865.55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1814.38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1763.21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1763.21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1776.44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1776.44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1776.44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附表3：</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b/>
          <w:bCs/>
          <w:color w:val="auto"/>
          <w:szCs w:val="22"/>
          <w:lang w:val="en-US" w:eastAsia="zh-CN"/>
        </w:rPr>
        <w:t>总成本估算表（</w:t>
      </w:r>
      <w:r>
        <w:rPr>
          <w:rFonts w:hint="eastAsia" w:ascii="Times New Roman" w:eastAsia="仿宋_GB2312"/>
          <w:b/>
          <w:bCs/>
          <w:color w:val="auto"/>
          <w:szCs w:val="22"/>
          <w:lang w:val="en-US" w:eastAsia="zh-CN"/>
        </w:rPr>
        <w:t>三</w:t>
      </w:r>
      <w:r>
        <w:rPr>
          <w:rFonts w:hint="default"/>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8"/>
        <w:gridCol w:w="2505"/>
        <w:gridCol w:w="1178"/>
        <w:gridCol w:w="990"/>
        <w:gridCol w:w="990"/>
        <w:gridCol w:w="990"/>
        <w:gridCol w:w="990"/>
        <w:gridCol w:w="990"/>
        <w:gridCol w:w="990"/>
        <w:gridCol w:w="990"/>
        <w:gridCol w:w="990"/>
        <w:gridCol w:w="990"/>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燃料及动力费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20082.86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716.97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工资及福利费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7549.68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277.83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277.83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291.72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291.72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291.72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291.72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291.72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306.31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306.31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306.31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修理费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23444.45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837.30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4364.62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157.67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157.67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155.58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155.58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经营成本（1+2+3+4）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折旧费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18516.60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摊销费</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财务费用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总成本费用合计（5+6+7+8）</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9.1</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其中：可变成本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24447.48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874.64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874.64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869.60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869.60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869.60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869.60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869.60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872.55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872.55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872.55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9.2</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固定成本</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54088.94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1776.44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1776.44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1790.33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1790.33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1790.33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1790.33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1790.33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1804.92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1804.92 </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1804.92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w:t>
      </w:r>
      <w:r>
        <w:rPr>
          <w:rFonts w:hint="eastAsia" w:ascii="Times New Roman" w:hAnsi="Times New Roman" w:cs="Times New Roman"/>
          <w:b/>
          <w:bCs/>
          <w:color w:val="auto"/>
          <w:kern w:val="2"/>
          <w:sz w:val="28"/>
          <w:szCs w:val="22"/>
          <w:lang w:val="en-US" w:eastAsia="zh-CN" w:bidi="ar-SA"/>
        </w:rPr>
        <w:t>4</w:t>
      </w:r>
      <w:r>
        <w:rPr>
          <w:rFonts w:hint="eastAsia" w:ascii="Times New Roman" w:hAnsi="Times New Roman" w:eastAsia="仿宋_GB2312" w:cs="Times New Roman"/>
          <w:b/>
          <w:bCs/>
          <w:color w:val="auto"/>
          <w:kern w:val="2"/>
          <w:sz w:val="28"/>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eastAsia="仿宋_GB2312" w:cs="Times New Roman"/>
          <w:b/>
          <w:bCs/>
          <w:color w:val="auto"/>
          <w:kern w:val="2"/>
          <w:sz w:val="28"/>
          <w:szCs w:val="22"/>
          <w:lang w:val="en-US" w:eastAsia="zh-CN" w:bidi="ar-SA"/>
        </w:rPr>
        <w:t>利润和利润分配表（</w:t>
      </w:r>
      <w:r>
        <w:rPr>
          <w:rFonts w:hint="eastAsia" w:ascii="Times New Roman" w:hAnsi="Times New Roman" w:cs="Times New Roman"/>
          <w:b/>
          <w:bCs/>
          <w:color w:val="auto"/>
          <w:kern w:val="2"/>
          <w:sz w:val="28"/>
          <w:szCs w:val="22"/>
          <w:lang w:val="en-US" w:eastAsia="zh-CN" w:bidi="ar-SA"/>
        </w:rPr>
        <w:t>一</w:t>
      </w:r>
      <w:r>
        <w:rPr>
          <w:rFonts w:hint="default" w:ascii="Times New Roman" w:hAnsi="Times New Roman" w:eastAsia="仿宋_GB2312" w:cs="Times New Roman"/>
          <w:b/>
          <w:bCs/>
          <w:color w:val="auto"/>
          <w:kern w:val="2"/>
          <w:sz w:val="28"/>
          <w:szCs w:val="22"/>
          <w:lang w:val="en-US" w:eastAsia="zh-CN" w:bidi="ar-SA"/>
        </w:rPr>
        <w:t>）</w:t>
      </w:r>
    </w:p>
    <w:tbl>
      <w:tblPr>
        <w:tblStyle w:val="59"/>
        <w:tblW w:w="505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2838"/>
        <w:gridCol w:w="1154"/>
        <w:gridCol w:w="970"/>
        <w:gridCol w:w="970"/>
        <w:gridCol w:w="970"/>
        <w:gridCol w:w="970"/>
        <w:gridCol w:w="970"/>
        <w:gridCol w:w="1028"/>
        <w:gridCol w:w="970"/>
        <w:gridCol w:w="973"/>
        <w:gridCol w:w="973"/>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3633.46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4319.52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5039.17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5188.42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5337.68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5291.31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5448.03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3182.94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3176.41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3165.75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3125.08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3077.10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3035.68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2989.21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2942.74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贴补收入</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利润总额(1-2-3+4)</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449.43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1141.81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1871.91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2061.79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2258.98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2244.93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2412.09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2613.74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弥补以前年度亏损</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应纳税所得额(5-6)</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449.43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1141.81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1871.91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2061.79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2258.98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2244.93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2412.09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2613.74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112.36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285.45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467.98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515.45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564.74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561.23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603.02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653.44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净利润(5-8)</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337.08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1403.93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1546.34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1694.23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1683.69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1809.07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1960.31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期初未分配利润</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可供分配的利润（9+10）</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337.08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1403.93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1546.34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1694.23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1683.69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1809.07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1960.31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提取法定盈余公积金</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33.71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85.64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140.39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154.63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169.42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168.37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180.91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可供投资者分配的利润（11-12）</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303.37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770.72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1263.54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1391.71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1524.81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1515.32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1628.16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应付优先股股利</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提取任意盈余公积金</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应付普通股股利（13-14-15）</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303.37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770.72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1263.54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1391.71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1524.81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1515.32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1628.16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各投资方利润分配：</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未分配利润（13-14-15-17）</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303.37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770.72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1263.54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1391.71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1524.81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1515.32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1628.16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息税前利润</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70554.95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1060.03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1733.06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2430.91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2575.64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2720.37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2654.29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2770.28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息税折旧摊销前利润</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89071.55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1721.34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2394.37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3092.21 </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3236.94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3381.68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3315.59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3431.59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w:t>
      </w:r>
      <w:r>
        <w:rPr>
          <w:rFonts w:hint="eastAsia" w:ascii="Times New Roman" w:hAnsi="Times New Roman" w:cs="Times New Roman"/>
          <w:b/>
          <w:bCs/>
          <w:color w:val="auto"/>
          <w:kern w:val="2"/>
          <w:sz w:val="28"/>
          <w:szCs w:val="22"/>
          <w:lang w:val="en-US" w:eastAsia="zh-CN" w:bidi="ar-SA"/>
        </w:rPr>
        <w:t>4</w:t>
      </w:r>
      <w:r>
        <w:rPr>
          <w:rFonts w:hint="eastAsia" w:ascii="Times New Roman" w:hAnsi="Times New Roman" w:eastAsia="仿宋_GB2312" w:cs="Times New Roman"/>
          <w:b/>
          <w:bCs/>
          <w:color w:val="auto"/>
          <w:kern w:val="2"/>
          <w:sz w:val="28"/>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eastAsia="仿宋_GB2312" w:cs="Times New Roman"/>
          <w:b/>
          <w:bCs/>
          <w:color w:val="auto"/>
          <w:kern w:val="2"/>
          <w:sz w:val="28"/>
          <w:szCs w:val="22"/>
          <w:lang w:val="en-US" w:eastAsia="zh-CN" w:bidi="ar-SA"/>
        </w:rPr>
        <w:t>利润和利润分配表（</w:t>
      </w:r>
      <w:r>
        <w:rPr>
          <w:rFonts w:hint="eastAsia" w:cs="Times New Roman"/>
          <w:b/>
          <w:bCs/>
          <w:color w:val="auto"/>
          <w:kern w:val="2"/>
          <w:sz w:val="28"/>
          <w:szCs w:val="22"/>
          <w:lang w:val="en-US" w:eastAsia="zh-CN" w:bidi="ar-SA"/>
        </w:rPr>
        <w:t>二</w:t>
      </w:r>
      <w:r>
        <w:rPr>
          <w:rFonts w:hint="default" w:ascii="Times New Roman" w:hAnsi="Times New Roman" w:eastAsia="仿宋_GB2312" w:cs="Times New Roman"/>
          <w:b/>
          <w:bCs/>
          <w:color w:val="auto"/>
          <w:kern w:val="2"/>
          <w:sz w:val="28"/>
          <w:szCs w:val="22"/>
          <w:lang w:val="en-US" w:eastAsia="zh-CN" w:bidi="ar-SA"/>
        </w:rPr>
        <w:t>）</w:t>
      </w:r>
    </w:p>
    <w:tbl>
      <w:tblPr>
        <w:tblStyle w:val="59"/>
        <w:tblW w:w="50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2838"/>
        <w:gridCol w:w="1162"/>
        <w:gridCol w:w="972"/>
        <w:gridCol w:w="972"/>
        <w:gridCol w:w="975"/>
        <w:gridCol w:w="975"/>
        <w:gridCol w:w="975"/>
        <w:gridCol w:w="975"/>
        <w:gridCol w:w="975"/>
        <w:gridCol w:w="975"/>
        <w:gridCol w:w="975"/>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2891.57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2840.40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2796.53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2745.36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2694.19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2643.02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2643.02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贴补收入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利润总额(1-2-3+4)</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2664.91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2716.08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2586.07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2637.24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2688.41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弥补以前年度亏损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应纳税所得额(5-6)</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2664.91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2716.08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2586.07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2637.24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2688.41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666.23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679.02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646.52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659.31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672.10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净利润(5-8)</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2037.06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1939.55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1977.93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2016.31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2054.69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2054.69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期初未分配利润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可供分配的利润（9+10）</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1998.69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2037.06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1939.55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1977.93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2016.31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2054.69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2054.69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提取法定盈余公积金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193.96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205.47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205.47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可供投资者分配的利润（11-12）</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1798.82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1833.36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1745.60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1780.14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1814.68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应付优先股股利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提取任意盈余公积金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应付普通股股利（13-14-15）</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1798.82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1833.36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1745.60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1780.14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1814.68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各投资方利润分配：</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未分配利润（13-14-15-17）</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1798.82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1833.36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1745.60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1780.14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1814.68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1849.22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70554.95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息税折旧摊销前利润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89071.55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w:t>
      </w:r>
      <w:r>
        <w:rPr>
          <w:rFonts w:hint="eastAsia" w:ascii="Times New Roman" w:hAnsi="Times New Roman" w:cs="Times New Roman"/>
          <w:b/>
          <w:bCs/>
          <w:color w:val="auto"/>
          <w:kern w:val="2"/>
          <w:sz w:val="28"/>
          <w:szCs w:val="22"/>
          <w:lang w:val="en-US" w:eastAsia="zh-CN" w:bidi="ar-SA"/>
        </w:rPr>
        <w:t>4</w:t>
      </w:r>
      <w:r>
        <w:rPr>
          <w:rFonts w:hint="eastAsia" w:ascii="Times New Roman" w:hAnsi="Times New Roman" w:eastAsia="仿宋_GB2312" w:cs="Times New Roman"/>
          <w:b/>
          <w:bCs/>
          <w:color w:val="auto"/>
          <w:kern w:val="2"/>
          <w:sz w:val="28"/>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eastAsia="仿宋_GB2312" w:cs="Times New Roman"/>
          <w:b/>
          <w:bCs/>
          <w:color w:val="auto"/>
          <w:kern w:val="2"/>
          <w:sz w:val="28"/>
          <w:szCs w:val="22"/>
          <w:lang w:val="en-US" w:eastAsia="zh-CN" w:bidi="ar-SA"/>
        </w:rPr>
        <w:t>利润和利润分配表（</w:t>
      </w:r>
      <w:r>
        <w:rPr>
          <w:rFonts w:hint="eastAsia" w:cs="Times New Roman"/>
          <w:b/>
          <w:bCs/>
          <w:color w:val="auto"/>
          <w:kern w:val="2"/>
          <w:sz w:val="28"/>
          <w:szCs w:val="22"/>
          <w:lang w:val="en-US" w:eastAsia="zh-CN" w:bidi="ar-SA"/>
        </w:rPr>
        <w:t>三</w:t>
      </w:r>
      <w:r>
        <w:rPr>
          <w:rFonts w:hint="default" w:ascii="Times New Roman" w:hAnsi="Times New Roman" w:eastAsia="仿宋_GB2312" w:cs="Times New Roman"/>
          <w:b/>
          <w:bCs/>
          <w:color w:val="auto"/>
          <w:kern w:val="2"/>
          <w:sz w:val="28"/>
          <w:szCs w:val="22"/>
          <w:lang w:val="en-US" w:eastAsia="zh-CN" w:bidi="ar-SA"/>
        </w:rPr>
        <w:t>）</w:t>
      </w:r>
    </w:p>
    <w:tbl>
      <w:tblPr>
        <w:tblStyle w:val="59"/>
        <w:tblW w:w="504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1"/>
        <w:gridCol w:w="2836"/>
        <w:gridCol w:w="1161"/>
        <w:gridCol w:w="971"/>
        <w:gridCol w:w="971"/>
        <w:gridCol w:w="974"/>
        <w:gridCol w:w="974"/>
        <w:gridCol w:w="974"/>
        <w:gridCol w:w="974"/>
        <w:gridCol w:w="974"/>
        <w:gridCol w:w="974"/>
        <w:gridCol w:w="977"/>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总成本费用</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78536.42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2651.08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2659.93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贴补收入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利润总额(1-2-3+4)</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弥补以前年度亏损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应纳税所得额(5-6)</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65976.74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净利润(5-8)</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期初未分配利润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可供分配的利润（9+10）</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1921.38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1790.79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提取法定盈余公积金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4948.26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192.14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179.08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可供投资者分配的利润（11-12）</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应付优先股股利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提取任意盈余公积金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应付普通股股利（13-14-15）</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各投资方利润分配：</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未分配利润（13-14-15-17）</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1729.24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1611.71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1665.53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70554.95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2561.84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2387.72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2467.46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息税折旧摊销前利润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89071.55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附表5：</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bookmarkStart w:id="62" w:name="_Toc10333"/>
      <w:r>
        <w:rPr>
          <w:rFonts w:hint="default" w:ascii="Times New Roman" w:hAnsi="Times New Roman" w:cs="Times New Roman"/>
          <w:b/>
          <w:bCs/>
          <w:color w:val="auto"/>
          <w:szCs w:val="22"/>
          <w:lang w:val="en-US" w:eastAsia="zh-CN"/>
        </w:rPr>
        <w:t>项目投资现金流量表（一）</w:t>
      </w:r>
      <w:bookmarkEnd w:id="62"/>
    </w:p>
    <w:tbl>
      <w:tblPr>
        <w:tblStyle w:val="5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7"/>
        <w:gridCol w:w="2929"/>
        <w:gridCol w:w="1137"/>
        <w:gridCol w:w="954"/>
        <w:gridCol w:w="954"/>
        <w:gridCol w:w="954"/>
        <w:gridCol w:w="954"/>
        <w:gridCol w:w="954"/>
        <w:gridCol w:w="954"/>
        <w:gridCol w:w="955"/>
        <w:gridCol w:w="955"/>
        <w:gridCol w:w="955"/>
        <w:gridCol w:w="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3633.46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4319.52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5039.17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5188.42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5337.68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5291.31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5448.03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3633.46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4319.52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5039.17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5188.42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5337.68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5291.31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5448.03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76183.98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1912.12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1925.15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1946.96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1951.48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1956.00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1975.72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2016.44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2022.68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19768.35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1911.03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1923.86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1945.45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1949.92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1954.40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1965.01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维持运营投资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所得税前净现金流量（1-2）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69303.20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1721.34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2394.37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3092.21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3236.94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3381.68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3315.59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3431.59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累计所得税前净现金流量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-19768.35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-18047.01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-15652.64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-12560.43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-9323.48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-5941.81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-2626.22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805.37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4387.45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调整所得税</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17638.74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433.26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643.91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680.09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663.57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692.57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730.19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所得税后净现金流量（3-5）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51664.46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1456.33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1961.10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2484.49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2593.04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2701.58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2652.02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2739.02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2851.88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累计所得税后净现金流量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-9884.18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-19768.35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-18312.02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-16350.92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-13866.43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-11273.39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-8571.81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-5919.79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-3180.77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-328.89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附表5：</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项目投资现金流量表（</w:t>
      </w:r>
      <w:r>
        <w:rPr>
          <w:rFonts w:hint="eastAsia" w:cs="Times New Roman"/>
          <w:b/>
          <w:bCs/>
          <w:color w:val="auto"/>
          <w:szCs w:val="22"/>
          <w:lang w:val="en-US" w:eastAsia="zh-CN"/>
        </w:rPr>
        <w:t>二</w:t>
      </w:r>
      <w:r>
        <w:rPr>
          <w:rFonts w:hint="default" w:ascii="Times New Roman" w:hAnsi="Times New Roman" w:cs="Times New Roman"/>
          <w:b/>
          <w:bCs/>
          <w:color w:val="auto"/>
          <w:szCs w:val="22"/>
          <w:lang w:val="en-US" w:eastAsia="zh-CN"/>
        </w:rPr>
        <w:t>）</w:t>
      </w:r>
    </w:p>
    <w:tbl>
      <w:tblPr>
        <w:tblStyle w:val="5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7"/>
        <w:gridCol w:w="2929"/>
        <w:gridCol w:w="1137"/>
        <w:gridCol w:w="954"/>
        <w:gridCol w:w="954"/>
        <w:gridCol w:w="954"/>
        <w:gridCol w:w="954"/>
        <w:gridCol w:w="954"/>
        <w:gridCol w:w="954"/>
        <w:gridCol w:w="955"/>
        <w:gridCol w:w="955"/>
        <w:gridCol w:w="955"/>
        <w:gridCol w:w="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76183.98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2022.68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2022.68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2027.21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2027.21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2027.21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2027.21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2027.21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2032.54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2032.54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2032.54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19768.35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维持运营投资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所得税前净现金流量（1-2）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69303.20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累计所得税前净现金流量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7969.52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11551.59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14952.48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18353.36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21754.25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25155.14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28556.03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31779.18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35002.33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38225.48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调整所得税</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17638.74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730.19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730.19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所得税后净现金流量（3-5）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51664.46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2851.88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2851.88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累计所得税后净现金流量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2522.99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5374.87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8090.86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10806.86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13522.85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16238.84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18954.84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21537.52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24120.21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26702.90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附表5：</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项目投资现金流量表（</w:t>
      </w:r>
      <w:r>
        <w:rPr>
          <w:rFonts w:hint="eastAsia" w:cs="Times New Roman"/>
          <w:b/>
          <w:bCs/>
          <w:color w:val="auto"/>
          <w:szCs w:val="22"/>
          <w:lang w:val="en-US" w:eastAsia="zh-CN"/>
        </w:rPr>
        <w:t>三</w:t>
      </w:r>
      <w:r>
        <w:rPr>
          <w:rFonts w:hint="default" w:ascii="Times New Roman" w:hAnsi="Times New Roman" w:cs="Times New Roman"/>
          <w:b/>
          <w:bCs/>
          <w:color w:val="auto"/>
          <w:szCs w:val="22"/>
          <w:lang w:val="en-US" w:eastAsia="zh-CN"/>
        </w:rPr>
        <w:t>）</w:t>
      </w:r>
    </w:p>
    <w:tbl>
      <w:tblPr>
        <w:tblStyle w:val="5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7"/>
        <w:gridCol w:w="2929"/>
        <w:gridCol w:w="1137"/>
        <w:gridCol w:w="954"/>
        <w:gridCol w:w="954"/>
        <w:gridCol w:w="954"/>
        <w:gridCol w:w="954"/>
        <w:gridCol w:w="954"/>
        <w:gridCol w:w="954"/>
        <w:gridCol w:w="955"/>
        <w:gridCol w:w="955"/>
        <w:gridCol w:w="955"/>
        <w:gridCol w:w="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76183.98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2032.54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2032.54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2038.70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2038.70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2038.70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2038.70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2038.70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2057.17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2057.17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2057.17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19768.35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维持运营投资</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所得税前净现金流量（1-2）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69303.20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3223.15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3049.03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3128.76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累计所得税前净现金流量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41448.63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44671.78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47720.80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50769.83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53818.86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56867.88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59916.91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63045.67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66174.44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69303.20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调整所得税</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17638.74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所得税后净现金流量（3-5）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51664.46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10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累计所得税后净现金流量</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29285.59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31868.28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34320.38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36772.47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39224.57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41676.67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44128.77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46640.66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49152.56 </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51664.46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bookmarkStart w:id="63" w:name="_Toc8429"/>
      <w:r>
        <w:rPr>
          <w:rFonts w:hint="default" w:ascii="Times New Roman" w:hAnsi="Times New Roman" w:cs="Times New Roman"/>
          <w:b/>
          <w:bCs/>
          <w:color w:val="auto"/>
          <w:szCs w:val="22"/>
          <w:lang w:val="en-US" w:eastAsia="zh-CN"/>
        </w:rPr>
        <w:t>项目资本金现金流量表（一）</w:t>
      </w:r>
      <w:bookmarkEnd w:id="63"/>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9"/>
        <w:gridCol w:w="2677"/>
        <w:gridCol w:w="1161"/>
        <w:gridCol w:w="973"/>
        <w:gridCol w:w="973"/>
        <w:gridCol w:w="976"/>
        <w:gridCol w:w="976"/>
        <w:gridCol w:w="976"/>
        <w:gridCol w:w="976"/>
        <w:gridCol w:w="976"/>
        <w:gridCol w:w="976"/>
        <w:gridCol w:w="976"/>
        <w:gridCol w:w="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3633.46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4319.52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5039.17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5188.42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5337.68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5291.31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5448.03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3633.46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4319.52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5039.17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5188.42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5337.68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5291.31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5448.03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97866.97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2936.83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3242.13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3085.08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3551.85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4023.93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4200.78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4192.14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4136.31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4167.65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4173.13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项目资本金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2936.83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3242.13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借款本金偿还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1050.00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1210.00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借款利息支付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610.60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591.25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559.00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513.85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461.39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409.36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358.19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1911.03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1923.86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1945.45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1949.92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1954.40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1965.01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1969.71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112.36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285.45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467.98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515.45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564.74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561.23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603.02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653.44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净现金流量（1-2）</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47620.20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-2936.83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-3242.13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548.38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767.66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1015.24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987.65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1145.54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1155.00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1280.38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1431.62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项目资本金现金流量表（</w:t>
      </w:r>
      <w:r>
        <w:rPr>
          <w:rFonts w:hint="eastAsia" w:cs="Times New Roman"/>
          <w:b/>
          <w:bCs/>
          <w:color w:val="auto"/>
          <w:szCs w:val="22"/>
          <w:lang w:val="en-US" w:eastAsia="zh-CN"/>
        </w:rPr>
        <w:t>二</w:t>
      </w:r>
      <w:r>
        <w:rPr>
          <w:rFonts w:hint="default" w:ascii="Times New Roman" w:hAnsi="Times New Roman" w:cs="Times New Roman"/>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9"/>
        <w:gridCol w:w="2677"/>
        <w:gridCol w:w="1161"/>
        <w:gridCol w:w="973"/>
        <w:gridCol w:w="973"/>
        <w:gridCol w:w="976"/>
        <w:gridCol w:w="976"/>
        <w:gridCol w:w="976"/>
        <w:gridCol w:w="976"/>
        <w:gridCol w:w="976"/>
        <w:gridCol w:w="976"/>
        <w:gridCol w:w="976"/>
        <w:gridCol w:w="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5604.75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5428.09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97866.97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4134.75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4096.38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4017.23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3978.86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3940.48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2673.00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2673.00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项目资本金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借款本金偿还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借款利息支付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255.85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204.68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153.51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102.34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51.17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1974.41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1981.71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48.26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45.49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666.23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679.02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646.52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659.31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684.90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净现金流量（1-2）</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47620.20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1469.99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1508.37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1410.86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1449.24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1487.62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2715.99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项目资本金现金流量表（</w:t>
      </w:r>
      <w:r>
        <w:rPr>
          <w:rFonts w:hint="eastAsia" w:cs="Times New Roman"/>
          <w:b/>
          <w:bCs/>
          <w:color w:val="auto"/>
          <w:szCs w:val="22"/>
          <w:lang w:val="en-US" w:eastAsia="zh-CN"/>
        </w:rPr>
        <w:t>三</w:t>
      </w:r>
      <w:r>
        <w:rPr>
          <w:rFonts w:hint="default" w:ascii="Times New Roman" w:hAnsi="Times New Roman" w:cs="Times New Roman"/>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9"/>
        <w:gridCol w:w="2677"/>
        <w:gridCol w:w="1161"/>
        <w:gridCol w:w="973"/>
        <w:gridCol w:w="973"/>
        <w:gridCol w:w="976"/>
        <w:gridCol w:w="976"/>
        <w:gridCol w:w="976"/>
        <w:gridCol w:w="976"/>
        <w:gridCol w:w="976"/>
        <w:gridCol w:w="976"/>
        <w:gridCol w:w="976"/>
        <w:gridCol w:w="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营业收入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5255.68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5087.73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回收资产余值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回收流动资金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现金流出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97866.97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2673.00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2673.00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2635.63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2635.63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2635.63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2635.63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2635.63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2674.04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2674.04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2674.04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项目资本金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借款本金偿还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借款利息支付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经营成本</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55441.61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1989.77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1998.62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2016.16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税金及附加</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974.01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42.76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40.08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16494.18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640.46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596.93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616.86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净现金流量（1-2）</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47620.20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2582.69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2452.10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2511.90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附表7：</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项目还本付息计划表（一）</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7"/>
        <w:gridCol w:w="3106"/>
        <w:gridCol w:w="1347"/>
        <w:gridCol w:w="1130"/>
        <w:gridCol w:w="1130"/>
        <w:gridCol w:w="1130"/>
        <w:gridCol w:w="1130"/>
        <w:gridCol w:w="1130"/>
        <w:gridCol w:w="1130"/>
        <w:gridCol w:w="1130"/>
        <w:gridCol w:w="1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一</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借款还本付息</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银行贷款</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期初本息余额</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10730.00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当期借款</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当期应计利息</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5188.81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457.95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610.60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591.25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559.00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513.85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461.39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当期还本金</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1210.00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当期付利息</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5188.81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152.65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457.95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610.60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591.25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559.00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513.85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461.39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期末借款余额</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10730.00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9520.00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二</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还本资金来源</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当期可还本的未分配利润</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19134.49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303.37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770.72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1263.54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1391.71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1524.81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1515.32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当期可还本的折旧费</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8596.99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当期可还本的摊销费</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其他还本资金</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以前年度结余可用于还本资金</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三</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指标计算</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息税前利润（EBIT）</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32925.61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1060.03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1733.06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2430.91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2575.64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2720.37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2654.29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其他还利息资金</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用于投资和弥补亏损的利润</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还利息</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610.60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591.25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559.00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513.85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461.39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409.36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还本金</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1050.00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1220.00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1210.00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息税折旧摊销前利润（EBITDA）</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1721.34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2394.37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3092.21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3236.94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3381.68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3315.59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其他还本资金</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112.36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285.45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467.98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515.45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564.74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561.23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用于投资的折旧摊销</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利息备付率</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165.76 </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4.35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5.90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偿债备付率</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22.43 </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1.63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1.57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1.69 </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附表7：</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项目还本付息计划表（</w:t>
      </w:r>
      <w:r>
        <w:rPr>
          <w:rFonts w:hint="eastAsia" w:cs="Times New Roman"/>
          <w:b/>
          <w:bCs/>
          <w:color w:val="auto"/>
          <w:szCs w:val="22"/>
          <w:lang w:val="en-US" w:eastAsia="zh-CN"/>
        </w:rPr>
        <w:t>二</w:t>
      </w:r>
      <w:r>
        <w:rPr>
          <w:rFonts w:hint="default" w:ascii="Times New Roman" w:hAnsi="Times New Roman" w:cs="Times New Roman"/>
          <w:b/>
          <w:bCs/>
          <w:color w:val="auto"/>
          <w:szCs w:val="22"/>
          <w:lang w:val="en-US" w:eastAsia="zh-CN"/>
        </w:rPr>
        <w:t>）</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0"/>
        <w:gridCol w:w="3373"/>
        <w:gridCol w:w="1460"/>
        <w:gridCol w:w="1227"/>
        <w:gridCol w:w="1227"/>
        <w:gridCol w:w="1227"/>
        <w:gridCol w:w="1230"/>
        <w:gridCol w:w="1230"/>
        <w:gridCol w:w="123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一</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借款还本付息</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银行贷款</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期初本息余额</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3570.00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当期借款</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当期应计利息</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5188.81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358.19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307.02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255.85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204.68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153.51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102.34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当期还本金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当期付利息</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5188.81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358.19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307.02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255.85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204.68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153.51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102.34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期末借款余额</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3570.00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二</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还本资金来源</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当期可还本的未分配利润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19134.49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1628.16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1764.28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1798.82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1833.36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1745.60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1780.14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1814.68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当期可还本的折旧费</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8596.99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当期可还本的摊销费</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其他还本资金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以前年度结余可用于还本资金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三</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指标计算</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息税前利润（EBIT）</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32925.61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2770.28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2920.76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2739.58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其他还利息资金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用于投资和弥补亏损的利润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还利息</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4578.21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358.19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307.02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255.85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204.68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153.51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102.34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还本金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息税折旧摊销前利润（EBITDA）</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3431.59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3582.07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其他还本资金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所得税</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603.02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653.44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666.23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679.02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646.52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659.31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用于投资的折旧摊销</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利息备付率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165.76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7.73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9.51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11.42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14.27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26.77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偿债备付率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22.43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1.96 </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2.08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2.05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2.12 </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2.20 </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附表8：</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资产负债表（一）</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5"/>
        <w:gridCol w:w="2591"/>
        <w:gridCol w:w="1123"/>
        <w:gridCol w:w="944"/>
        <w:gridCol w:w="944"/>
        <w:gridCol w:w="944"/>
        <w:gridCol w:w="944"/>
        <w:gridCol w:w="944"/>
        <w:gridCol w:w="944"/>
        <w:gridCol w:w="944"/>
        <w:gridCol w:w="944"/>
        <w:gridCol w:w="94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第4年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第5年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第6年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第7年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第8年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第9年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10036.83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20266.03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20372.38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20726.31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21052.65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21536.89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22030.58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22649.65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23419.96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流动资产总额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696669.00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2410.73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3178.40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4193.63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5181.28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6326.82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7481.82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8762.20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10193.82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货币资金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548.38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1316.05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2331.28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3318.93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4464.47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5619.47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6899.85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8331.47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548.38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1316.05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2331.28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3318.93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4464.47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5619.47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6899.85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8331.47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存货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55870.49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在建工程</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26691.08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8174.48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18516.60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249974.12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17855.29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17193.99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16532.68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15871.37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15210.07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14548.76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13887.45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13226.14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无形及其他资产净值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负债及所有者权益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10036.83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20266.03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20372.38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20726.31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21052.65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21536.89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22030.58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22649.65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23419.96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流动负债总额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短期借款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13750.00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11950.00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10730.00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9520.00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负债小计</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14200.00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13750.00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13000.00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11950.00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10730.00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9520.00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8330.00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7140.00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859764.20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2936.83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6516.03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7372.38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8776.31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10322.65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12016.89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13700.58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15509.65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17469.96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182126.42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2936.83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资本公积</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累计盈余公积金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67763.78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119.34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259.74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414.37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583.79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752.16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933.07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1129.10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累计未分配利润</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609874.01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303.37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1074.09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2337.63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3729.33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5254.14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6769.47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8397.63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10161.91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资产负债率（%）</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70.74%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69.68%</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67.85%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63.81%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57.66%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50.97%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44.20%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37.81%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31.52%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25.41%</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附表8：</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资产负债表（</w:t>
      </w:r>
      <w:r>
        <w:rPr>
          <w:rFonts w:hint="eastAsia" w:cs="Times New Roman"/>
          <w:b/>
          <w:bCs/>
          <w:color w:val="auto"/>
          <w:szCs w:val="22"/>
          <w:lang w:val="en-US" w:eastAsia="zh-CN"/>
        </w:rPr>
        <w:t>二</w:t>
      </w:r>
      <w:r>
        <w:rPr>
          <w:rFonts w:hint="default" w:ascii="Times New Roman" w:hAnsi="Times New Roman" w:cs="Times New Roman"/>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5"/>
        <w:gridCol w:w="2591"/>
        <w:gridCol w:w="1123"/>
        <w:gridCol w:w="944"/>
        <w:gridCol w:w="944"/>
        <w:gridCol w:w="944"/>
        <w:gridCol w:w="944"/>
        <w:gridCol w:w="944"/>
        <w:gridCol w:w="944"/>
        <w:gridCol w:w="944"/>
        <w:gridCol w:w="944"/>
        <w:gridCol w:w="94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第11年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第12年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第13年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第14年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第15年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第16年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第17年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第18年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第19年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24228.65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25075.71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25825.26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26613.19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27439.50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29494.19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31548.87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33470.25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35391.64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37313.02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流动资产总额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696669.00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11663.81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13172.18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14583.04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16032.28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17519.89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20235.89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22951.88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25534.57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28117.26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30699.95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货币资金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9801.46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11309.83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12720.69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14169.93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15657.54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18373.54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21089.53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23672.22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26254.91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28837.60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9801.46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11309.83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12720.69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14169.93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15657.54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18373.54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21089.53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23672.22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26254.91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28837.60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存货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55870.49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在建工程</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26691.08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249974.12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12564.84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11903.53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11242.22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10580.92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9919.61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9258.30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8596.99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7935.69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7274.38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无形及其他资产净值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负债及所有者权益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24228.65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25075.71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25825.26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26613.19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27439.50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29494.19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31548.87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33470.25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35391.64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37313.02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流动负债总额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短期借款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负债小计</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2380.00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859764.20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19468.65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21505.71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23445.26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25423.19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27439.50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29494.19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31548.87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33470.25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35391.64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37313.02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182126.42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资本公积</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累计盈余公积金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67763.78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1328.97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1532.68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1726.63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1924.42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2126.05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2331.52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2536.99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2729.13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2921.27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3113.41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累计未分配利润</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609874.01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11960.73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13794.08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15539.68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17319.82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19134.49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20983.71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22832.93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24562.17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26291.42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28020.66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资产负债率（%）</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19.65%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14.24%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9.22%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ind w:firstLine="200"/>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附表8：</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ascii="Times New Roman" w:hAnsi="Times New Roman" w:cs="Times New Roman"/>
          <w:b/>
          <w:bCs/>
          <w:color w:val="auto"/>
          <w:szCs w:val="22"/>
          <w:lang w:val="en-US" w:eastAsia="zh-CN"/>
        </w:rPr>
        <w:t>资产负债表（</w:t>
      </w:r>
      <w:r>
        <w:rPr>
          <w:rFonts w:hint="eastAsia" w:cs="Times New Roman"/>
          <w:b/>
          <w:bCs/>
          <w:color w:val="auto"/>
          <w:szCs w:val="22"/>
          <w:lang w:val="en-US" w:eastAsia="zh-CN"/>
        </w:rPr>
        <w:t>三</w:t>
      </w:r>
      <w:r>
        <w:rPr>
          <w:rFonts w:hint="default" w:ascii="Times New Roman" w:hAnsi="Times New Roman" w:cs="Times New Roman"/>
          <w:b/>
          <w:bCs/>
          <w:color w:val="auto"/>
          <w:szCs w:val="22"/>
          <w:lang w:val="en-US" w:eastAsia="zh-CN"/>
        </w:rPr>
        <w:t>）</w:t>
      </w:r>
    </w:p>
    <w:tbl>
      <w:tblPr>
        <w:tblStyle w:val="5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5"/>
        <w:gridCol w:w="2591"/>
        <w:gridCol w:w="1123"/>
        <w:gridCol w:w="944"/>
        <w:gridCol w:w="944"/>
        <w:gridCol w:w="944"/>
        <w:gridCol w:w="944"/>
        <w:gridCol w:w="944"/>
        <w:gridCol w:w="944"/>
        <w:gridCol w:w="944"/>
        <w:gridCol w:w="944"/>
        <w:gridCol w:w="94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项目名称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第21年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第22年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第23年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第24年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第25年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第26年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第27年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第28年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第29年</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第30年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39234.40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41155.78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42946.57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44737.36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46528.15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48318.94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50109.73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51960.32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53810.91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55661.51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流动资产总额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696669.00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33282.64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35865.32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38317.42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40769.52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43221.62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45673.71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48125.81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50637.71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53149.61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55661.51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货币资金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31420.29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34002.97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36455.07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38907.17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41359.27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43811.36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46263.46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48775.36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51287.26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53799.16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现金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累计盈余资金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640798.51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31420.29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34002.97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36455.07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38907.17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41359.27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43811.36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46263.46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48775.36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51287.26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53799.16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存货</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55870.49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1862.35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在建工程</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26691.08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固定资产净值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249974.12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5951.76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5290.46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4629.15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3967.84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3306.54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2645.23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1983.92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1322.61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661.31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无形及其他资产净值</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负债及所有者权益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973334.20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39234.40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41155.78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42946.57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44737.36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46528.15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48318.94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50109.73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51960.32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53810.91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55661.51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流动负债总额</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短期借款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应付账款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预收账款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其他</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建设投资借款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流动资金借款</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负债小计</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113570.00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所有者权益</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859764.20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39234.40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41155.78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42946.57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44737.36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46528.15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48318.94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50109.73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51960.32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53810.91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55661.51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182126.42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6178.95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资本公积</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累计盈余公积金</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67763.78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3305.54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3497.68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3676.76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3855.84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4034.92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4214.00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4393.08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4578.14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4763.20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4948.26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累计未分配利润</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609874.01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29749.90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31479.15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33090.86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34702.57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36314.28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37925.99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39537.70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41203.23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42868.77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44534.30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资产负债率（%）</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5.67 </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0.00%</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sectPr>
          <w:pgSz w:w="16838" w:h="11906" w:orient="landscape"/>
          <w:pgMar w:top="1417" w:right="1417" w:bottom="1417" w:left="1417" w:header="851" w:footer="1077" w:gutter="0"/>
          <w:pgNumType w:fmt="decimal"/>
          <w:cols w:space="425"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仿宋_GB2312" w:cs="Times New Roman"/>
          <w:b/>
          <w:bCs/>
          <w:color w:val="auto"/>
          <w:kern w:val="2"/>
          <w:sz w:val="28"/>
          <w:szCs w:val="22"/>
          <w:lang w:val="en-US" w:eastAsia="zh-CN" w:bidi="ar-SA"/>
        </w:rPr>
      </w:pPr>
      <w:r>
        <w:rPr>
          <w:rFonts w:hint="eastAsia" w:ascii="Times New Roman" w:hAnsi="Times New Roman" w:eastAsia="仿宋_GB2312" w:cs="Times New Roman"/>
          <w:b/>
          <w:bCs/>
          <w:color w:val="auto"/>
          <w:kern w:val="2"/>
          <w:sz w:val="28"/>
          <w:szCs w:val="22"/>
          <w:lang w:val="en-US" w:eastAsia="zh-CN" w:bidi="ar-SA"/>
        </w:rPr>
        <w:t>附</w:t>
      </w:r>
      <w:r>
        <w:rPr>
          <w:rFonts w:hint="eastAsia" w:cs="Times New Roman"/>
          <w:b/>
          <w:bCs/>
          <w:color w:val="auto"/>
          <w:kern w:val="2"/>
          <w:sz w:val="28"/>
          <w:szCs w:val="22"/>
          <w:lang w:val="en-US" w:eastAsia="zh-CN" w:bidi="ar-SA"/>
        </w:rPr>
        <w:t>件1</w:t>
      </w:r>
      <w:r>
        <w:rPr>
          <w:rFonts w:hint="eastAsia" w:ascii="Times New Roman" w:hAnsi="Times New Roman" w:eastAsia="仿宋_GB2312" w:cs="Times New Roman"/>
          <w:b/>
          <w:bCs/>
          <w:color w:val="auto"/>
          <w:kern w:val="2"/>
          <w:sz w:val="28"/>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eastAsia" w:cs="Times New Roman"/>
          <w:b/>
          <w:bCs/>
          <w:color w:val="auto"/>
          <w:szCs w:val="22"/>
          <w:lang w:val="en-US" w:eastAsia="zh-CN"/>
        </w:rPr>
        <w:t>改造路灯范围道路清单</w:t>
      </w:r>
    </w:p>
    <w:tbl>
      <w:tblPr>
        <w:tblStyle w:val="59"/>
        <w:tblW w:w="51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411"/>
        <w:gridCol w:w="1913"/>
        <w:gridCol w:w="3930"/>
        <w:gridCol w:w="990"/>
        <w:gridCol w:w="1038"/>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序号</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位置</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道路名称</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起止位置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起止长度</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（公里）</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灯杆数量（基）</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道路等级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5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合计</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301.67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15348.00 </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天元区</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泰山广场-珠江南路(泰山路)</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珠江南路-西环线(泰山路泰山西路段)</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西环线-湘芸路(泰山路泰山西路段)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长江南路-黄河路-珠江南路-喜悦花都（黄山路）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长江南路—滨江南路（黄山路）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西环线东辅道-规划150路（黄山西路）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0.74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天台路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长江广场—炎帝广场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韶山路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黄河北路—长江北路—滨江北路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嵩山路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黄河北路-长江北路-滨江北路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滨江北路-黄河北路-新泰小区（原昆仑山路）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黄河南路-珠江北路（昆仑山路三街区）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0.54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泰山路-衡山路（（原昆仑山路）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珠江南路—湘山路</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14.322</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427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湘山路—湘芸路</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滨江西路（珠江路-建宁大桥已建成道路）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滨江北路(万丰路-湖堤路）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0.353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珠江南路-建宁大桥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长江广场—东湖立交</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长江广场—中心医院</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中心医院-衡山路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滨江广场</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（长江路-滨江路）+（联谊路-海诚路）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滨江南路-天台路（黄河南路段）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黄河南路改造：天台路-黄山路（2016年路面拓宽，LED改造）（黄河南路段）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天台路-新东路（黄河北路段）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3.67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天台路-庐山路改造（黄河北路段）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庐山路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黄河路-珠江南路</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长江路-黄河路</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建宁大桥-东湖立交</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炎帝大道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西环-株洲西站</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株洲大道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东湖立交—京珠高速入口</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辅道路灯改造工程</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株洲大道LED亮化改造</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天易大道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京珠高速-高塘大禹</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537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滨江南路-庐山路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西环线-新东路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西环线西辅道-军分区（三、四街区）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军分区-神农大道（三、四街区）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神农大道-庐山路(二街区)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0.47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新东路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黄河北路-此路尽头</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污水处理厂~大石桥环路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旺城天悦段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0.32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规划13路-红星美凯龙（环线贯通匝道工程PPP项目）</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0.85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武广西客站前广场</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炎帝大道末端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湘芸中路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衡山路-西站南路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神农大道B、C段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泰山西路-黄河北路、黄河北路-长江北路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衡山路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湘芸路-西环线西辅道段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2.13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西环线西辅道-东辅道段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0.43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珠江南路-西环线辅道</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珠江南路-橡果路（原渌江路）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湘江大道一期</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王家坪立交-砖桥村</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11.20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987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栗合路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泰山西路-衡山路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0.98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凿石路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湘云路-西环线</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湘湾路（神农大道A段）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规划144路—滨江南路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0.692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规划60路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黄河北路-新闻路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新里程路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森林路-庐山春天路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西站南路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湘芸路-王家坪立交</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1.439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普兰特路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珠江南路-家家乐路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海天路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黄山路-衡山路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湘依路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泰山路-黄山路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秦淮路（原蓝盾小区路）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 四桥辅道-滨江路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天伦路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长江南路—黄河南路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滨江南路—长江南路（天伦东路）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泰西路（原六区规划路）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珠江南路-学园路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圆方路（原天台支路）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天台路—泰山路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银城路（原九区规划路）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泰山路-钻石怡园</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海城路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长江路与天台路交汇处-滨江路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联谊路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长江路与天台路交汇处-滨江路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牛家牌路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联谊路-长江北路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劳动路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长江北路-逸夫小学路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逸夫路-滨江路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0.245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金石路（原联谊支路）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长江北路-亲亲家园</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新闻路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黄河北路—重阳路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明珠路（原海创路）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长江北路-明珠花园-滨江北路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君山路（体育中心）</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滨江北路-长江北路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东平路（体育中心）</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湘山路-君山路加气站</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奥林匹克路（体育中心）</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长江北路-东平路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莲花路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长江北路—黄河北路（原长江北支路）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长江北路与规划02路路口处-规划02路路口与新东路路口处（原天元区规划道路02新建工程）</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长江北路-莲花小区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黄河北路-珠江北路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0.501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华都路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长江北支路-湘山路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香山社区路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江山路-智荟生物</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德政路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湘春路(嵩山路-和平路）小湖塘（长江北路-湘春路）为民支路（嵩山路-小湖塘路）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栗雨南路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炎帝大道-凿石路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衡山路-凿石路、炎帝大道-西站南路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1.785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新闻支路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新闻路-小区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0.246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大拇指路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庐山路-规划A路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新里程路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庐山路-规划A路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0.18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桃李苑路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庐山路-规划A路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长滨路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长江南路-滨江路（原河西中心片区12单元规划支路01）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0.477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泰黄支路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黄山西路-泰山路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0.32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大拇指路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森林路-庐山春天路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0.15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泰康路（规划四十二路）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西环线辅道—昆仑山路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桃李苑路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森林路—庐山春天路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0.20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学府支路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泰山西路—规划四十二路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63</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芦淞区</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白石港桥-中心广场（建设路建设中路段）</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中心广场-天元大桥（建设路建设南路段）</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沿江中、南路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彩虹桥-纺织路段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0.8</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纺织路-株洲大桥南匝道</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1.96</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芦淞大桥~株曲路口段（一水厂）</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0.66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株洲大桥南匝道至天元大桥段（湘江株洲城区河东段综合治理工程二期项目三标段道路大中修改造）</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2.56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天元大桥-月形巷</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株曲路—枫溪港（枫溪生态城湘江东岸综合整治一期工程（沿江南路））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1.41</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天元大桥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市一中正门口-泰山广场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建设中路-长江北路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红港路红港西路段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芦淞大桥下河东停车场-人民中路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株洲大桥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中心广场-长江广场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建宁大桥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南环线-西环线</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南环线</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京渌立交桥—建宁大桥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红卫桥头-红港桥头(人民中路段)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红卫桥-芦淞路(人民南路段)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石宋西路（金色地标）-建设南路</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2.625</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石宋桥-摩托车大市场</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摩托车大市场-东环(芦淞路延伸段)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石宋路石宋西路段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芦淞路铁桥-太子路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0.75</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株董路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芦淞路高家坳-南环线(原南方通道)</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南环线-三三一方向</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坚固立交</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中环大道南环线与枫溪大道立交四条匝道</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0.56</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枫溪大桥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天元区黄河南路-芦淞区江湾路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1.73</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人民路白石港桥（返修桥）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K0+157.892-K0+250</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0.07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白石港桥（彩虹桥）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K0+053.097-K1+357.601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铁东路南段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株洲南站-枫溪大道</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1.022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纺织路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沿江中路—黄家塘社区围墙处</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贺家土路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沿江中路-人民中路左侧围墙</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公园路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建设中路神农公园-人民中路-公园桥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体育路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四通路-人民中路-建设中路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七一路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人民中路-沿江中路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铁东路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铁西路涵洞-湘华路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解放街</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沿江南路-建设南路-芦淞路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87</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荷塘区</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一桥河东桥头-红旗广场(新华西路段)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2.97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红旗广场-430厂门口(新华东路段)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4.20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238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田心立交-红旗立交</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4.70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红旗立交</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东环线</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红旗立交—京渌立交桥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4.80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525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金钩山路—芦淞路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183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石宋路拓宽及建宁港排水整治（石宋桥-文化路）改造路灯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1.10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石宋路匝道(石宋路A、B匝道路灯新建)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0.15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合泰路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文化路-合泰涵洞</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1.45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文化路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新华西路-党校</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3.46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东环线-规划道路六（党校）</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0.37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新塘路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红旗路-玫瑰路（原桂花路）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桂花路-向阳路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1.05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向阳中路-北环路（新塘北路）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玫瑰路（原名桂花路）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新华东路-新塘路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向阳中路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向阳广场-新塘路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金山工业园</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向阳广场-金山工业园尽头</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2.20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人民中路-红旗中路路段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2.30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东环北路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东环路-金山路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金山路-新华东路（二期）</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1.38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新塘路-升龙路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0.60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水园路-升龙路、（向阳北路一标段）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0.60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悦舍路-金达路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0.51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大坪路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大坪路本段（次01路-次03路）次01路（大坪路-水仙路）次03路（大坪路-水仙路）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0.94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北环C段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新华东路-云龙大道</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3.646</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324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快速路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铁东路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新华路-石宋大道</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钻石路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新华路-601小区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0.80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茨菇塘路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新华西路-公园桥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 xml:space="preserve">1.73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67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107</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石峰区</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白石港桥-清水路(建设北路段)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清水路-清石广场(北路化校段)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清石广场</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化校前三岔口处</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清石路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清石广场-清石路跨铁路桥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0.98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53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110</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人民路人民北路段</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红港桥-田心北门</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111</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石峰大桥</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东湖立交-石峰大道</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112</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石峰大道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响石广场-田心立交(响田路段)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响石广场-石峰大桥(响石路段)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1.47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113</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红旗北路(原田龙路）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响田路-曹家巷</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114</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田林路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田心电子信息产业园区-新明社区警务室（原时代路）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向阳路-北环路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70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北环路-迎宾大道（二期新建工程）</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84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115</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联诚路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时代大道-北环路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1.56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105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时代大道-联诚路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0.26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116</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时代大道田林南北辅道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荷花家园-田心北</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2.56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117</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九郎山景观大道</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白马垅-秋瑾故居</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2.45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99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118</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白石港路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人民北路-白石港桥</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26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119</w:t>
            </w: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杉塘路</w:t>
            </w: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建设北路-金属路-人民北路</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38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p>
        </w:tc>
        <w:tc>
          <w:tcPr>
            <w:tcW w:w="20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建设北路-桥梁厂后门(杉塘西路段)</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0.4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13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仿宋_GB2312"/>
                <w:color w:val="auto"/>
                <w:sz w:val="18"/>
                <w:szCs w:val="18"/>
                <w:lang w:val="en-US" w:eastAsia="zh-CN"/>
              </w:rPr>
            </w:pPr>
            <w:r>
              <w:rPr>
                <w:rFonts w:hint="default" w:eastAsia="仿宋_GB2312"/>
                <w:color w:val="auto"/>
                <w:sz w:val="18"/>
                <w:szCs w:val="18"/>
                <w:lang w:val="en-US" w:eastAsia="zh-CN"/>
              </w:rPr>
              <w:t>次干道</w:t>
            </w:r>
          </w:p>
        </w:tc>
      </w:tr>
    </w:tbl>
    <w:p>
      <w:pPr>
        <w:rPr>
          <w:rFonts w:hint="default" w:eastAsia="仿宋_GB2312"/>
          <w:color w:val="auto"/>
          <w:sz w:val="18"/>
          <w:szCs w:val="18"/>
          <w:lang w:val="en-US" w:eastAsia="zh-CN"/>
        </w:rPr>
      </w:pPr>
      <w:r>
        <w:rPr>
          <w:rFonts w:hint="default" w:eastAsia="仿宋_GB2312"/>
          <w:color w:val="auto"/>
          <w:sz w:val="18"/>
          <w:szCs w:val="18"/>
          <w:lang w:val="en-US" w:eastAsia="zh-CN"/>
        </w:rPr>
        <w:br w:type="page"/>
      </w:r>
    </w:p>
    <w:p>
      <w:pPr>
        <w:ind w:left="0" w:leftChars="0" w:firstLine="0" w:firstLineChars="0"/>
        <w:jc w:val="left"/>
        <w:rPr>
          <w:rFonts w:hint="default" w:cs="Times New Roman"/>
          <w:b/>
          <w:bCs/>
          <w:color w:val="auto"/>
          <w:lang w:val="en-US" w:eastAsia="zh-CN"/>
        </w:rPr>
      </w:pPr>
      <w:r>
        <w:rPr>
          <w:rFonts w:hint="eastAsia" w:cs="Times New Roman"/>
          <w:b/>
          <w:bCs/>
          <w:color w:val="auto"/>
          <w:lang w:val="en-US" w:eastAsia="zh-CN"/>
        </w:rPr>
        <w:t>附件1：</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lang w:val="en-US" w:eastAsia="zh-CN"/>
        </w:rPr>
      </w:pPr>
      <w:r>
        <w:rPr>
          <w:rFonts w:hint="eastAsia" w:cs="Times New Roman"/>
          <w:b/>
          <w:bCs/>
          <w:color w:val="auto"/>
          <w:lang w:val="en-US" w:eastAsia="zh-CN"/>
        </w:rPr>
        <w:t>株洲市现有充电桩使用情况</w:t>
      </w:r>
    </w:p>
    <w:tbl>
      <w:tblPr>
        <w:tblStyle w:val="5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4"/>
        <w:gridCol w:w="5307"/>
        <w:gridCol w:w="656"/>
        <w:gridCol w:w="966"/>
        <w:gridCol w:w="659"/>
        <w:gridCol w:w="8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4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序号</w:t>
            </w:r>
          </w:p>
        </w:tc>
        <w:tc>
          <w:tcPr>
            <w:tcW w:w="28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充电站名称</w:t>
            </w:r>
          </w:p>
        </w:tc>
        <w:tc>
          <w:tcPr>
            <w:tcW w:w="87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直流桩</w:t>
            </w:r>
          </w:p>
        </w:tc>
        <w:tc>
          <w:tcPr>
            <w:tcW w:w="8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交流桩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28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数量</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使用率</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数量</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使用率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株洲珠江花园智能公交充电弓新建项目</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51.79%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中心医院智能公交充电弓新建项目</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32.96%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贝宁新能源株洲市方特东厢酒店充电站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7. 16%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贝宁新能源株洲市方特欢乐世界 C区停车场充电站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1.28%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株洲市仙庾岭镇镇政府充电站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42. 18%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23. 15%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株洲市公安局荷塘分局仙庾派出所充电站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7.04%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株洲仙庾岭耕食记充电站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30.48%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贝宁新能源株洲市龙头铺派出所充电站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37.68%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贝宁新能源株洲市云龙株百充电站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6.31%</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贝宁新能源教投商业街充电站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14.39%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93. 14%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贝宁新能源现代综合物流园充电站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株洲市荷塘区政务中心充电站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 430 巡警大队充电站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44.37%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贝宁新能源株洲市幼儿师范学校充电站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50.27%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株洲市九方中学充电站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49.89%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贝宁新能源田心东站充电站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2.64%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贝宁新能源株洲市广汇大厦前坪充电站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11.29%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株洲市石峰区沈家湾充电站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株洲市第三中学充电站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75.54%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株洲市天鹅湖公园充电站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0.67%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贝宁新能源庞大贝宁新能源汽车城店充电站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24.58%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株洲市省直中医院充电站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3.07%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株洲市幼儿园充电站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1.90%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贝宁新能源株洲市人大常委会充电站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37.85%</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株洲市大汉悦中心充电站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0.32%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贝宁新能源株洲市房产局充电站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13.46%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贝宁新能源株洲市百货大楼充电站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1. 17%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株洲市审计局充电站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35.04%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株洲市中级人民法院充电站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77.21%</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株洲市第十三中学充电站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18.23%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贝宁新能源株洲市气象局充电站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39.08%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株洲市第四中学充电站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16.67%</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贝宁新能源株洲市城管局充电站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24.73%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贝宁新能源株洲市荷塘区政府智能停车场充电站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25.36%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株洲市国投保安服务有限公司充电站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79.89%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株洲市党校充电站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23.04%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0. 12%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株洲市市政管理处充电站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39.96%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 1815 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北大资源充电站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贝宁新能源株洲市芦淞区政府会议中心前坪充电站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29.53%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贝宁新能源株洲市芦淞区政府大院停车场充电站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61.46%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贝宁新能源株洲市芦淞区政务服务中心充电站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20. 14%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贝宁新能源株洲市特殊教育学校新校区充电站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61.00%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贝宁新能源株洲市救助管理站充电站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14.88%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贝宁新能源株洲市南方中学体艺馆充电站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53.08%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贝宁新能源株洲市枫溪派出所充电站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36.52%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贝宁新能源株洲市芦淞区通用机场充电站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10.69%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株洲市芦淞区白关派出所充电站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株洲市芦淞区华亿庄园充电站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19.83%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贝宁新能源五桥西站充电站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16.82%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贝宁新能源株洲市交通运输局充电站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8.33%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株洲市国土局充电站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37.70%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贝宁新能源株洲市农委充电站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29.50%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79. 13%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贝宁新能源株洲市林业局充电站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17.62%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贝宁新能源株洲市人力资源和社会保障局充电站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14.50%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株洲市公共资源交易中心充电站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33.32%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株洲市天元区司法局充电站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51.82%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贝宁新能源株洲市住房和城乡建设</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14.44%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59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贝宁新能源株洲市水务局充电站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26.55%</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19. 16%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贝宁新能源株洲市公安局天元分局充电站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17.24%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贝宁新能源株洲市农办写字楼充电站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28.85%</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株洲市经济与信息化委员会充电站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22.29%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株洲市日报社充电站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0.29%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76.22%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贝宁新能源株洲市市政府充电站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32.86%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株洲市总工会充电站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株洲市发改委充电站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58.58%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贝宁新能源株洲市畜牧兽医水产局充电站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13.05%</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株洲市中医伤科医院充电站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21. 13%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69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贝宁新能源株洲市住房公积金管理中心充电站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8.73%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贝宁新能源株洲市环保局充电站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23.00%</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80.07%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株洲市教育局充电站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20.91%</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株洲市公安局充电站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29.51%</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贝宁新能源市民中心充电站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2.46%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贝宁新能源工大充电站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5.44%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贝宁新能源株洲市嵩山派出所充电站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21.21%</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76</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贝宁新能源栗雨湖休闲谷停车场充电站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77</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北汽股份株洲分公司新区充电站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78</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天元区政府充电站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17.76%</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79</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株洲市灯饰管理处充电站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53.53%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80</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贝宁新能源株洲市汽配园充电站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11.92%</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81</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株洲市二中充电站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35.23%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82</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贝宁新能源精创北汽售后服务充电站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3.74%</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40.32%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83</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株洲市庞大贝宁北汽新能源（汽博园形象店） 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1.49%</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98. 15%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84</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贝宁新能源动力谷充电站</w:t>
            </w: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11.58%</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14</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65.53%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85</w:t>
            </w:r>
          </w:p>
        </w:tc>
        <w:tc>
          <w:tcPr>
            <w:tcW w:w="2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p>
        </w:tc>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329</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22.33%</w:t>
            </w:r>
          </w:p>
        </w:tc>
        <w:tc>
          <w:tcPr>
            <w:tcW w:w="3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269</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35.42%</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bCs/>
          <w:color w:val="auto"/>
          <w:lang w:val="en-US" w:eastAsia="zh-CN"/>
        </w:rPr>
      </w:pPr>
    </w:p>
    <w:sectPr>
      <w:pgSz w:w="11906" w:h="16838"/>
      <w:pgMar w:top="1417" w:right="1417" w:bottom="1417" w:left="1417" w:header="851" w:footer="1077" w:gutter="0"/>
      <w:pgNumType w:fmt="decimal"/>
      <w:cols w:space="425"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5"/>
    </wne:keymap>
    <wne:keymap wne:kcmPrimary="0442">
      <wne:acd wne:acdName="acd6"/>
    </wne:keymap>
    <wne:keymap wne:kcmPrimary="0454">
      <wne:acd wne:acdName="acd7"/>
    </wne:keymap>
    <wne:keymap wne:kcmPrimary="0457">
      <wne:acd wne:acdName="acd8"/>
    </wne:keymap>
    <wne:keymap wne:kcmPrimary="0459">
      <wne:acd wne:acdName="acd9"/>
    </wne:keymap>
    <wne:keymap wne:kcmPrimary="045A">
      <wne:acd wne:acdName="acd10"/>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gBoiIVRN2gPXw==" wne:acdName="acd6" wne:fciIndexBasedOn="0065"/>
    <wne:acd wne:argValue="AQAAACIA" wne:acdName="acd7" wne:fciIndexBasedOn="0065"/>
    <wne:acd wne:argValue="AgDvUxR4N2gPXw==" wne:acdName="acd8" wne:fciIndexBasedOn="0065"/>
    <wne:acd wne:argValue="AQAAAB8A" wne:acdName="acd9" wne:fciIndexBasedOn="0065"/>
    <wne:acd wne:argValue="AQAAAA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Yu Mincho Light">
    <w:altName w:val="Yu Gothic"/>
    <w:panose1 w:val="00000000000000000000"/>
    <w:charset w:val="80"/>
    <w:family w:val="roman"/>
    <w:pitch w:val="default"/>
    <w:sig w:usb0="00000000" w:usb1="00000000" w:usb2="00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宋体-PUA">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Microsoft YaHei UI">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Century">
    <w:panose1 w:val="0204060405050502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TimesNewRomanPSMT">
    <w:altName w:val="Times New Roman"/>
    <w:panose1 w:val="00000000000000000000"/>
    <w:charset w:val="00"/>
    <w:family w:val="roman"/>
    <w:pitch w:val="default"/>
    <w:sig w:usb0="00000000" w:usb1="00000000" w:usb2="00000000" w:usb3="00000000" w:csb0="00000001" w:csb1="00000000"/>
  </w:font>
  <w:font w:name="Tw Cen MT Condensed">
    <w:altName w:val="Segoe Print"/>
    <w:panose1 w:val="020B0606020104020203"/>
    <w:charset w:val="00"/>
    <w:family w:val="swiss"/>
    <w:pitch w:val="default"/>
    <w:sig w:usb0="00000000" w:usb1="00000000" w:usb2="00000000" w:usb3="00000000" w:csb0="20000003" w:csb1="00000000"/>
  </w:font>
  <w:font w:name="方正兰亭黑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keepNext w:val="0"/>
      <w:keepLines w:val="0"/>
      <w:pageBreakBefore w:val="0"/>
      <w:widowControl w:val="0"/>
      <w:kinsoku/>
      <w:wordWrap/>
      <w:overflowPunct/>
      <w:topLinePunct w:val="0"/>
      <w:bidi w:val="0"/>
      <w:adjustRightInd/>
      <w:snapToGrid w:val="0"/>
      <w:spacing w:before="0" w:after="0"/>
      <w:ind w:left="0" w:leftChars="0" w:firstLine="0" w:firstLineChars="0"/>
      <w:jc w:val="center"/>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keepNext w:val="0"/>
                            <w:keepLines w:val="0"/>
                            <w:pageBreakBefore w:val="0"/>
                            <w:widowControl w:val="0"/>
                            <w:kinsoku/>
                            <w:wordWrap/>
                            <w:overflowPunct/>
                            <w:topLinePunct w:val="0"/>
                            <w:bidi w:val="0"/>
                            <w:adjustRightInd/>
                            <w:snapToGrid w:val="0"/>
                            <w:spacing w:before="0" w:after="0"/>
                            <w:ind w:left="0" w:leftChars="0" w:firstLine="0" w:firstLineChars="0"/>
                            <w:jc w:val="center"/>
                            <w:textAlignment w:val="auto"/>
                          </w:pPr>
                          <w:r>
                            <w:fldChar w:fldCharType="begin"/>
                          </w:r>
                          <w:r>
                            <w:instrText xml:space="preserve">PAGE   \* MERGEFORMAT</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keepNext w:val="0"/>
                      <w:keepLines w:val="0"/>
                      <w:pageBreakBefore w:val="0"/>
                      <w:widowControl w:val="0"/>
                      <w:kinsoku/>
                      <w:wordWrap/>
                      <w:overflowPunct/>
                      <w:topLinePunct w:val="0"/>
                      <w:bidi w:val="0"/>
                      <w:adjustRightInd/>
                      <w:snapToGrid w:val="0"/>
                      <w:spacing w:before="0" w:after="0"/>
                      <w:ind w:left="0" w:leftChars="0" w:firstLine="0" w:firstLineChars="0"/>
                      <w:jc w:val="center"/>
                      <w:textAlignment w:val="auto"/>
                    </w:pPr>
                    <w:r>
                      <w:fldChar w:fldCharType="begin"/>
                    </w:r>
                    <w:r>
                      <w:instrText xml:space="preserve">PAGE   \* MERGEFORMAT</w:instrText>
                    </w:r>
                    <w:r>
                      <w:fldChar w:fldCharType="separate"/>
                    </w:r>
                    <w:r>
                      <w:t>2</w:t>
                    </w:r>
                    <w:r>
                      <w:fldChar w:fldCharType="end"/>
                    </w:r>
                  </w:p>
                </w:txbxContent>
              </v:textbox>
            </v:shape>
          </w:pict>
        </mc:Fallback>
      </mc:AlternateContent>
    </w:r>
  </w:p>
  <w:p>
    <w:pPr>
      <w:spacing w:before="120"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single" w:color="auto" w:sz="4" w:space="1"/>
      </w:pBdr>
      <w:jc w:val="right"/>
      <w:rPr>
        <w:i/>
        <w:iCs/>
        <w:sz w:val="18"/>
        <w:szCs w:val="18"/>
      </w:rPr>
    </w:pPr>
    <w:r>
      <w:rPr>
        <w:rFonts w:hint="eastAsia"/>
        <w:i/>
        <w:iCs/>
        <w:sz w:val="18"/>
        <w:szCs w:val="18"/>
        <w:lang w:val="zh-CN"/>
      </w:rPr>
      <w:t>株洲市城市路灯综合服务经营权项目</w:t>
    </w:r>
    <w:r>
      <w:rPr>
        <w:rFonts w:hint="eastAsia"/>
        <w:i/>
        <w:iCs/>
        <w:sz w:val="18"/>
        <w:szCs w:val="18"/>
      </w:rPr>
      <w:t>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199661"/>
    <w:multiLevelType w:val="singleLevel"/>
    <w:tmpl w:val="D3199661"/>
    <w:lvl w:ilvl="0" w:tentative="0">
      <w:start w:val="1"/>
      <w:numFmt w:val="decimal"/>
      <w:suff w:val="nothing"/>
      <w:lvlText w:val="（%1）"/>
      <w:lvlJc w:val="left"/>
    </w:lvl>
  </w:abstractNum>
  <w:abstractNum w:abstractNumId="1">
    <w:nsid w:val="FDBB907F"/>
    <w:multiLevelType w:val="singleLevel"/>
    <w:tmpl w:val="FDBB907F"/>
    <w:lvl w:ilvl="0" w:tentative="0">
      <w:start w:val="1"/>
      <w:numFmt w:val="decimal"/>
      <w:suff w:val="nothing"/>
      <w:lvlText w:val="（%1）"/>
      <w:lvlJc w:val="left"/>
    </w:lvl>
  </w:abstractNum>
  <w:abstractNum w:abstractNumId="2">
    <w:nsid w:val="0000000A"/>
    <w:multiLevelType w:val="multilevel"/>
    <w:tmpl w:val="0000000A"/>
    <w:lvl w:ilvl="0" w:tentative="0">
      <w:start w:val="1"/>
      <w:numFmt w:val="chineseCounting"/>
      <w:pStyle w:val="457"/>
      <w:lvlText w:val="第%1条"/>
      <w:lvlJc w:val="left"/>
      <w:pPr>
        <w:tabs>
          <w:tab w:val="left" w:pos="1588"/>
        </w:tabs>
        <w:ind w:left="1588" w:hanging="1588"/>
      </w:pPr>
      <w:rPr>
        <w:rFonts w:hint="eastAsia" w:ascii="Calibri" w:hAnsi="Calibri" w:eastAsia="Calibri"/>
        <w:b w:val="0"/>
        <w:i w:val="0"/>
        <w:sz w:val="28"/>
      </w:rPr>
    </w:lvl>
    <w:lvl w:ilvl="1" w:tentative="0">
      <w:start w:val="1"/>
      <w:numFmt w:val="decimal"/>
      <w:lvlText w:val="%2、"/>
      <w:lvlJc w:val="left"/>
      <w:pPr>
        <w:tabs>
          <w:tab w:val="left" w:pos="1140"/>
        </w:tabs>
        <w:ind w:left="1140" w:hanging="720"/>
      </w:pPr>
      <w:rPr>
        <w:rFonts w:hint="eastAsia"/>
      </w:rPr>
    </w:lvl>
    <w:lvl w:ilvl="2" w:tentative="0">
      <w:start w:val="1"/>
      <w:numFmt w:val="lowerRoman"/>
      <w:pStyle w:val="182"/>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0C321D60"/>
    <w:multiLevelType w:val="singleLevel"/>
    <w:tmpl w:val="0C321D60"/>
    <w:lvl w:ilvl="0" w:tentative="0">
      <w:start w:val="1"/>
      <w:numFmt w:val="decimal"/>
      <w:suff w:val="nothing"/>
      <w:lvlText w:val="（%1）"/>
      <w:lvlJc w:val="left"/>
    </w:lvl>
  </w:abstractNum>
  <w:abstractNum w:abstractNumId="4">
    <w:nsid w:val="1F09807B"/>
    <w:multiLevelType w:val="singleLevel"/>
    <w:tmpl w:val="1F09807B"/>
    <w:lvl w:ilvl="0" w:tentative="0">
      <w:start w:val="1"/>
      <w:numFmt w:val="decimal"/>
      <w:suff w:val="nothing"/>
      <w:lvlText w:val="%1、"/>
      <w:lvlJc w:val="left"/>
    </w:lvl>
  </w:abstractNum>
  <w:abstractNum w:abstractNumId="5">
    <w:nsid w:val="21B8413A"/>
    <w:multiLevelType w:val="multilevel"/>
    <w:tmpl w:val="21B8413A"/>
    <w:lvl w:ilvl="0" w:tentative="0">
      <w:start w:val="1"/>
      <w:numFmt w:val="decimal"/>
      <w:pStyle w:val="343"/>
      <w:lvlText w:val="(%1)"/>
      <w:lvlJc w:val="left"/>
      <w:pPr>
        <w:tabs>
          <w:tab w:val="left" w:pos="0"/>
        </w:tabs>
        <w:ind w:left="510" w:hanging="453"/>
      </w:pPr>
      <w:rPr>
        <w:rFonts w:hint="eastAsia"/>
      </w:rPr>
    </w:lvl>
    <w:lvl w:ilvl="1" w:tentative="0">
      <w:start w:val="1"/>
      <w:numFmt w:val="bullet"/>
      <w:lvlText w:val=""/>
      <w:lvlJc w:val="left"/>
      <w:pPr>
        <w:tabs>
          <w:tab w:val="left" w:pos="840"/>
        </w:tabs>
        <w:ind w:left="840" w:hanging="420"/>
      </w:pPr>
      <w:rPr>
        <w:rFonts w:hint="default" w:ascii="Verdana" w:hAnsi="Verdana"/>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F271AD9"/>
    <w:multiLevelType w:val="multilevel"/>
    <w:tmpl w:val="2F271AD9"/>
    <w:lvl w:ilvl="0" w:tentative="0">
      <w:start w:val="1"/>
      <w:numFmt w:val="decimal"/>
      <w:pStyle w:val="2"/>
      <w:suff w:val="space"/>
      <w:lvlText w:val="第%1章"/>
      <w:lvlJc w:val="left"/>
      <w:pPr>
        <w:tabs>
          <w:tab w:val="left" w:pos="420"/>
        </w:tabs>
        <w:ind w:left="142" w:firstLine="0"/>
      </w:pPr>
      <w:rPr>
        <w:rFonts w:hint="eastAsia"/>
      </w:rPr>
    </w:lvl>
    <w:lvl w:ilvl="1" w:tentative="0">
      <w:start w:val="1"/>
      <w:numFmt w:val="decimal"/>
      <w:pStyle w:val="3"/>
      <w:isLgl/>
      <w:suff w:val="space"/>
      <w:lvlText w:val="%1.%2"/>
      <w:lvlJc w:val="left"/>
      <w:pPr>
        <w:tabs>
          <w:tab w:val="left" w:pos="0"/>
        </w:tabs>
        <w:ind w:left="284" w:hanging="284"/>
      </w:pPr>
      <w:rPr>
        <w:rFonts w:hint="default" w:ascii="Times New Roman" w:hAnsi="Times New Roman" w:eastAsia="仿宋_GB2312" w:cs="Times New Roman"/>
        <w:sz w:val="36"/>
        <w:szCs w:val="36"/>
      </w:rPr>
    </w:lvl>
    <w:lvl w:ilvl="2" w:tentative="0">
      <w:start w:val="1"/>
      <w:numFmt w:val="decimal"/>
      <w:pStyle w:val="4"/>
      <w:isLgl/>
      <w:suff w:val="space"/>
      <w:lvlText w:val="%1.%2.%3"/>
      <w:lvlJc w:val="left"/>
      <w:pPr>
        <w:tabs>
          <w:tab w:val="left" w:pos="0"/>
        </w:tabs>
        <w:ind w:left="284" w:firstLine="142"/>
      </w:pPr>
      <w:rPr>
        <w:rFonts w:hint="default"/>
        <w:color w:val="000000"/>
        <w:sz w:val="32"/>
        <w:szCs w:val="32"/>
      </w:rPr>
    </w:lvl>
    <w:lvl w:ilvl="3" w:tentative="0">
      <w:start w:val="1"/>
      <w:numFmt w:val="decimal"/>
      <w:pStyle w:val="5"/>
      <w:isLgl/>
      <w:suff w:val="space"/>
      <w:lvlText w:val="%4、"/>
      <w:lvlJc w:val="left"/>
      <w:pPr>
        <w:tabs>
          <w:tab w:val="left" w:pos="420"/>
        </w:tabs>
        <w:ind w:left="170" w:hanging="57"/>
      </w:pPr>
      <w:rPr>
        <w:rFonts w:hint="default" w:ascii="Times New Roman" w:hAnsi="Times New Roman" w:eastAsia="宋体" w:cs="Times New Roman"/>
        <w:sz w:val="28"/>
        <w:szCs w:val="24"/>
      </w:rPr>
    </w:lvl>
    <w:lvl w:ilvl="4" w:tentative="0">
      <w:start w:val="1"/>
      <w:numFmt w:val="decimal"/>
      <w:pStyle w:val="6"/>
      <w:suff w:val="nothing"/>
      <w:lvlText w:val="（%5）"/>
      <w:lvlJc w:val="left"/>
      <w:pPr>
        <w:tabs>
          <w:tab w:val="left" w:pos="420"/>
        </w:tabs>
        <w:ind w:left="0" w:firstLine="0"/>
      </w:pPr>
      <w:rPr>
        <w:rFonts w:hint="default" w:ascii="Times New Roman" w:hAnsi="Times New Roman" w:eastAsia="仿宋" w:cs="Times New Roman"/>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54596CC5"/>
    <w:multiLevelType w:val="singleLevel"/>
    <w:tmpl w:val="54596CC5"/>
    <w:lvl w:ilvl="0" w:tentative="0">
      <w:start w:val="1"/>
      <w:numFmt w:val="decimal"/>
      <w:suff w:val="nothing"/>
      <w:lvlText w:val="%1、"/>
      <w:lvlJc w:val="left"/>
    </w:lvl>
  </w:abstractNum>
  <w:abstractNum w:abstractNumId="8">
    <w:nsid w:val="563F0F34"/>
    <w:multiLevelType w:val="multilevel"/>
    <w:tmpl w:val="563F0F34"/>
    <w:lvl w:ilvl="0" w:tentative="0">
      <w:start w:val="1"/>
      <w:numFmt w:val="chineseCountingThousand"/>
      <w:pStyle w:val="78"/>
      <w:lvlText w:val="第%1章"/>
      <w:legacy w:legacy="1" w:legacySpace="0" w:legacyIndent="0"/>
      <w:lvlJc w:val="left"/>
      <w:rPr>
        <w:rFonts w:hint="eastAsia"/>
      </w:rPr>
    </w:lvl>
    <w:lvl w:ilvl="1" w:tentative="0">
      <w:start w:val="1"/>
      <w:numFmt w:val="none"/>
      <w:pStyle w:val="79"/>
      <w:suff w:val="nothing"/>
      <w:lvlText w:val=""/>
      <w:lvlJc w:val="left"/>
      <w:rPr>
        <w:rFonts w:hint="eastAsia"/>
      </w:rPr>
    </w:lvl>
    <w:lvl w:ilvl="2" w:tentative="0">
      <w:start w:val="1"/>
      <w:numFmt w:val="none"/>
      <w:pStyle w:val="80"/>
      <w:suff w:val="nothing"/>
      <w:lvlText w:val=""/>
      <w:lvlJc w:val="left"/>
      <w:rPr>
        <w:rFonts w:hint="eastAsia"/>
      </w:rPr>
    </w:lvl>
    <w:lvl w:ilvl="3" w:tentative="0">
      <w:start w:val="1"/>
      <w:numFmt w:val="upperLetter"/>
      <w:lvlText w:val="%4."/>
      <w:lvlJc w:val="left"/>
      <w:pPr>
        <w:tabs>
          <w:tab w:val="left" w:pos="420"/>
        </w:tabs>
        <w:ind w:left="420" w:hanging="420"/>
      </w:pPr>
      <w:rPr>
        <w:rFonts w:hint="eastAsia"/>
      </w:rPr>
    </w:lvl>
    <w:lvl w:ilvl="4" w:tentative="0">
      <w:start w:val="1"/>
      <w:numFmt w:val="none"/>
      <w:suff w:val="nothing"/>
      <w:lvlText w:val=""/>
      <w:lvlJc w:val="left"/>
      <w:rPr>
        <w:rFonts w:hint="eastAsia"/>
      </w:rPr>
    </w:lvl>
    <w:lvl w:ilvl="5" w:tentative="0">
      <w:start w:val="1"/>
      <w:numFmt w:val="none"/>
      <w:pStyle w:val="7"/>
      <w:suff w:val="nothing"/>
      <w:lvlText w:val=""/>
      <w:lvlJc w:val="left"/>
      <w:rPr>
        <w:rFonts w:hint="eastAsia"/>
      </w:rPr>
    </w:lvl>
    <w:lvl w:ilvl="6" w:tentative="0">
      <w:start w:val="1"/>
      <w:numFmt w:val="none"/>
      <w:pStyle w:val="8"/>
      <w:suff w:val="nothing"/>
      <w:lvlText w:val=""/>
      <w:lvlJc w:val="left"/>
      <w:rPr>
        <w:rFonts w:hint="eastAsia"/>
      </w:rPr>
    </w:lvl>
    <w:lvl w:ilvl="7" w:tentative="0">
      <w:start w:val="1"/>
      <w:numFmt w:val="none"/>
      <w:pStyle w:val="9"/>
      <w:suff w:val="nothing"/>
      <w:lvlText w:val=""/>
      <w:lvlJc w:val="left"/>
      <w:rPr>
        <w:rFonts w:hint="eastAsia"/>
      </w:rPr>
    </w:lvl>
    <w:lvl w:ilvl="8" w:tentative="0">
      <w:start w:val="1"/>
      <w:numFmt w:val="none"/>
      <w:pStyle w:val="10"/>
      <w:suff w:val="nothing"/>
      <w:lvlText w:val=""/>
      <w:lvlJc w:val="left"/>
      <w:rPr>
        <w:rFonts w:hint="eastAsia"/>
      </w:rPr>
    </w:lvl>
  </w:abstractNum>
  <w:num w:numId="1">
    <w:abstractNumId w:val="6"/>
  </w:num>
  <w:num w:numId="2">
    <w:abstractNumId w:val="8"/>
  </w:num>
  <w:num w:numId="3">
    <w:abstractNumId w:val="2"/>
  </w:num>
  <w:num w:numId="4">
    <w:abstractNumId w:val="5"/>
  </w:num>
  <w:num w:numId="5">
    <w:abstractNumId w:val="3"/>
  </w:num>
  <w:num w:numId="6">
    <w:abstractNumId w:val="0"/>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172A27"/>
    <w:rsid w:val="000004A3"/>
    <w:rsid w:val="000008A7"/>
    <w:rsid w:val="000009F9"/>
    <w:rsid w:val="00000D44"/>
    <w:rsid w:val="00000D45"/>
    <w:rsid w:val="0000184B"/>
    <w:rsid w:val="00001BCD"/>
    <w:rsid w:val="00002205"/>
    <w:rsid w:val="00002567"/>
    <w:rsid w:val="000025B7"/>
    <w:rsid w:val="00002D0D"/>
    <w:rsid w:val="00003F79"/>
    <w:rsid w:val="00004275"/>
    <w:rsid w:val="0000463E"/>
    <w:rsid w:val="00004D6E"/>
    <w:rsid w:val="00010124"/>
    <w:rsid w:val="00010A92"/>
    <w:rsid w:val="000115B2"/>
    <w:rsid w:val="00011B5A"/>
    <w:rsid w:val="00012D09"/>
    <w:rsid w:val="00012FBE"/>
    <w:rsid w:val="0001339E"/>
    <w:rsid w:val="000138D4"/>
    <w:rsid w:val="00014269"/>
    <w:rsid w:val="00014378"/>
    <w:rsid w:val="000152A1"/>
    <w:rsid w:val="00015A16"/>
    <w:rsid w:val="00015B54"/>
    <w:rsid w:val="00015CB7"/>
    <w:rsid w:val="00015E42"/>
    <w:rsid w:val="0001600A"/>
    <w:rsid w:val="0001693B"/>
    <w:rsid w:val="00016BFA"/>
    <w:rsid w:val="00016DFA"/>
    <w:rsid w:val="00016EE4"/>
    <w:rsid w:val="000177E3"/>
    <w:rsid w:val="00017949"/>
    <w:rsid w:val="00017F90"/>
    <w:rsid w:val="000209FD"/>
    <w:rsid w:val="000228C6"/>
    <w:rsid w:val="00022C6D"/>
    <w:rsid w:val="000230D9"/>
    <w:rsid w:val="00023367"/>
    <w:rsid w:val="000238EB"/>
    <w:rsid w:val="00024696"/>
    <w:rsid w:val="000247EC"/>
    <w:rsid w:val="00024EF7"/>
    <w:rsid w:val="0002576B"/>
    <w:rsid w:val="00025D6B"/>
    <w:rsid w:val="00026C30"/>
    <w:rsid w:val="00027B87"/>
    <w:rsid w:val="00027DC5"/>
    <w:rsid w:val="00030730"/>
    <w:rsid w:val="000309AC"/>
    <w:rsid w:val="00030B0B"/>
    <w:rsid w:val="00030BA9"/>
    <w:rsid w:val="00031538"/>
    <w:rsid w:val="00031736"/>
    <w:rsid w:val="00031B8E"/>
    <w:rsid w:val="00032178"/>
    <w:rsid w:val="00032263"/>
    <w:rsid w:val="00032736"/>
    <w:rsid w:val="00033432"/>
    <w:rsid w:val="00033580"/>
    <w:rsid w:val="000354D1"/>
    <w:rsid w:val="0003588C"/>
    <w:rsid w:val="00035D6E"/>
    <w:rsid w:val="00036FF8"/>
    <w:rsid w:val="00037C9F"/>
    <w:rsid w:val="00037E88"/>
    <w:rsid w:val="00040251"/>
    <w:rsid w:val="00041897"/>
    <w:rsid w:val="000418AE"/>
    <w:rsid w:val="00041DE5"/>
    <w:rsid w:val="00042650"/>
    <w:rsid w:val="00043085"/>
    <w:rsid w:val="00043ABD"/>
    <w:rsid w:val="000440D3"/>
    <w:rsid w:val="00044155"/>
    <w:rsid w:val="00044B3E"/>
    <w:rsid w:val="00044C9E"/>
    <w:rsid w:val="00045708"/>
    <w:rsid w:val="0004588F"/>
    <w:rsid w:val="00046685"/>
    <w:rsid w:val="00046CFA"/>
    <w:rsid w:val="00046DC1"/>
    <w:rsid w:val="00047103"/>
    <w:rsid w:val="00050302"/>
    <w:rsid w:val="0005106E"/>
    <w:rsid w:val="00051FD8"/>
    <w:rsid w:val="0005220D"/>
    <w:rsid w:val="0005222F"/>
    <w:rsid w:val="00052F0F"/>
    <w:rsid w:val="0005319B"/>
    <w:rsid w:val="0005380B"/>
    <w:rsid w:val="00054B88"/>
    <w:rsid w:val="00054C15"/>
    <w:rsid w:val="00055128"/>
    <w:rsid w:val="000557E2"/>
    <w:rsid w:val="00055B2F"/>
    <w:rsid w:val="000568C2"/>
    <w:rsid w:val="00057472"/>
    <w:rsid w:val="00057BF6"/>
    <w:rsid w:val="000608B5"/>
    <w:rsid w:val="000610DC"/>
    <w:rsid w:val="00061F26"/>
    <w:rsid w:val="00062071"/>
    <w:rsid w:val="00062179"/>
    <w:rsid w:val="000621E8"/>
    <w:rsid w:val="00063CDC"/>
    <w:rsid w:val="0006478C"/>
    <w:rsid w:val="000649CC"/>
    <w:rsid w:val="00065A62"/>
    <w:rsid w:val="00065E93"/>
    <w:rsid w:val="00066036"/>
    <w:rsid w:val="00066D6E"/>
    <w:rsid w:val="0006739D"/>
    <w:rsid w:val="00067867"/>
    <w:rsid w:val="000678AA"/>
    <w:rsid w:val="00070079"/>
    <w:rsid w:val="00070183"/>
    <w:rsid w:val="000704ED"/>
    <w:rsid w:val="00070F0C"/>
    <w:rsid w:val="00071784"/>
    <w:rsid w:val="00073EDF"/>
    <w:rsid w:val="000749E3"/>
    <w:rsid w:val="00074C31"/>
    <w:rsid w:val="000752FC"/>
    <w:rsid w:val="000759B5"/>
    <w:rsid w:val="00075EC1"/>
    <w:rsid w:val="000764B1"/>
    <w:rsid w:val="00077E0D"/>
    <w:rsid w:val="0008117A"/>
    <w:rsid w:val="000840DE"/>
    <w:rsid w:val="000842AC"/>
    <w:rsid w:val="000851B9"/>
    <w:rsid w:val="00085C57"/>
    <w:rsid w:val="00085E10"/>
    <w:rsid w:val="0008601E"/>
    <w:rsid w:val="0009001D"/>
    <w:rsid w:val="000902AA"/>
    <w:rsid w:val="000909AB"/>
    <w:rsid w:val="00090E68"/>
    <w:rsid w:val="0009102C"/>
    <w:rsid w:val="0009139B"/>
    <w:rsid w:val="00091FE1"/>
    <w:rsid w:val="000936A6"/>
    <w:rsid w:val="00093972"/>
    <w:rsid w:val="00094060"/>
    <w:rsid w:val="00094FE0"/>
    <w:rsid w:val="00095AF7"/>
    <w:rsid w:val="00095B83"/>
    <w:rsid w:val="00096802"/>
    <w:rsid w:val="00096B7E"/>
    <w:rsid w:val="000974A5"/>
    <w:rsid w:val="000A10F8"/>
    <w:rsid w:val="000A151F"/>
    <w:rsid w:val="000A1618"/>
    <w:rsid w:val="000A17DB"/>
    <w:rsid w:val="000A2345"/>
    <w:rsid w:val="000A2F88"/>
    <w:rsid w:val="000A3252"/>
    <w:rsid w:val="000A3415"/>
    <w:rsid w:val="000A3A11"/>
    <w:rsid w:val="000A3BF9"/>
    <w:rsid w:val="000A3F89"/>
    <w:rsid w:val="000A424A"/>
    <w:rsid w:val="000A458F"/>
    <w:rsid w:val="000A4D50"/>
    <w:rsid w:val="000A5B27"/>
    <w:rsid w:val="000A5C8F"/>
    <w:rsid w:val="000A64AC"/>
    <w:rsid w:val="000A678D"/>
    <w:rsid w:val="000A7012"/>
    <w:rsid w:val="000A7BE6"/>
    <w:rsid w:val="000B00D5"/>
    <w:rsid w:val="000B0196"/>
    <w:rsid w:val="000B0FDE"/>
    <w:rsid w:val="000B1393"/>
    <w:rsid w:val="000B162A"/>
    <w:rsid w:val="000B1A52"/>
    <w:rsid w:val="000B1D03"/>
    <w:rsid w:val="000B1D83"/>
    <w:rsid w:val="000B1FFE"/>
    <w:rsid w:val="000B2423"/>
    <w:rsid w:val="000B2BA1"/>
    <w:rsid w:val="000B311D"/>
    <w:rsid w:val="000B419F"/>
    <w:rsid w:val="000B4258"/>
    <w:rsid w:val="000B471B"/>
    <w:rsid w:val="000B5732"/>
    <w:rsid w:val="000B5E23"/>
    <w:rsid w:val="000B6046"/>
    <w:rsid w:val="000B63D7"/>
    <w:rsid w:val="000B70C7"/>
    <w:rsid w:val="000B7405"/>
    <w:rsid w:val="000C0406"/>
    <w:rsid w:val="000C04E7"/>
    <w:rsid w:val="000C1180"/>
    <w:rsid w:val="000C160A"/>
    <w:rsid w:val="000C1719"/>
    <w:rsid w:val="000C187F"/>
    <w:rsid w:val="000C1941"/>
    <w:rsid w:val="000C1C0E"/>
    <w:rsid w:val="000C210C"/>
    <w:rsid w:val="000C37C6"/>
    <w:rsid w:val="000C3BFD"/>
    <w:rsid w:val="000C3FE5"/>
    <w:rsid w:val="000C3FEB"/>
    <w:rsid w:val="000C45B4"/>
    <w:rsid w:val="000C5ADB"/>
    <w:rsid w:val="000C609E"/>
    <w:rsid w:val="000C6883"/>
    <w:rsid w:val="000C6A35"/>
    <w:rsid w:val="000C75D9"/>
    <w:rsid w:val="000C7FC5"/>
    <w:rsid w:val="000D0657"/>
    <w:rsid w:val="000D145A"/>
    <w:rsid w:val="000D1F5A"/>
    <w:rsid w:val="000D2A46"/>
    <w:rsid w:val="000D308D"/>
    <w:rsid w:val="000D3A3E"/>
    <w:rsid w:val="000D3CAD"/>
    <w:rsid w:val="000D4617"/>
    <w:rsid w:val="000D4673"/>
    <w:rsid w:val="000D4BC4"/>
    <w:rsid w:val="000D50DA"/>
    <w:rsid w:val="000D5DF9"/>
    <w:rsid w:val="000D71FB"/>
    <w:rsid w:val="000E0043"/>
    <w:rsid w:val="000E01EA"/>
    <w:rsid w:val="000E06BF"/>
    <w:rsid w:val="000E09D5"/>
    <w:rsid w:val="000E1489"/>
    <w:rsid w:val="000E16D0"/>
    <w:rsid w:val="000E172D"/>
    <w:rsid w:val="000E1C52"/>
    <w:rsid w:val="000E2A04"/>
    <w:rsid w:val="000E35C5"/>
    <w:rsid w:val="000E447F"/>
    <w:rsid w:val="000E4DDD"/>
    <w:rsid w:val="000E5AAB"/>
    <w:rsid w:val="000E5F78"/>
    <w:rsid w:val="000E689B"/>
    <w:rsid w:val="000E783E"/>
    <w:rsid w:val="000F0346"/>
    <w:rsid w:val="000F047B"/>
    <w:rsid w:val="000F1C64"/>
    <w:rsid w:val="000F1D9C"/>
    <w:rsid w:val="000F1DB1"/>
    <w:rsid w:val="000F2EFD"/>
    <w:rsid w:val="000F3A1D"/>
    <w:rsid w:val="000F4437"/>
    <w:rsid w:val="000F4972"/>
    <w:rsid w:val="000F49CA"/>
    <w:rsid w:val="000F5134"/>
    <w:rsid w:val="000F5620"/>
    <w:rsid w:val="000F5BB1"/>
    <w:rsid w:val="000F5F02"/>
    <w:rsid w:val="000F600E"/>
    <w:rsid w:val="000F6562"/>
    <w:rsid w:val="000F6BF0"/>
    <w:rsid w:val="000F799D"/>
    <w:rsid w:val="000F7CCE"/>
    <w:rsid w:val="00100019"/>
    <w:rsid w:val="001000D4"/>
    <w:rsid w:val="00100159"/>
    <w:rsid w:val="001001BF"/>
    <w:rsid w:val="00100687"/>
    <w:rsid w:val="001008FC"/>
    <w:rsid w:val="00100936"/>
    <w:rsid w:val="00100ABC"/>
    <w:rsid w:val="00100BE0"/>
    <w:rsid w:val="00100BED"/>
    <w:rsid w:val="0010154C"/>
    <w:rsid w:val="00101853"/>
    <w:rsid w:val="00101BAF"/>
    <w:rsid w:val="00102238"/>
    <w:rsid w:val="0010257D"/>
    <w:rsid w:val="0010276B"/>
    <w:rsid w:val="00102A62"/>
    <w:rsid w:val="00102C6B"/>
    <w:rsid w:val="00102F84"/>
    <w:rsid w:val="00103158"/>
    <w:rsid w:val="001038AD"/>
    <w:rsid w:val="00103930"/>
    <w:rsid w:val="001039D4"/>
    <w:rsid w:val="00103F38"/>
    <w:rsid w:val="00103F61"/>
    <w:rsid w:val="001047C8"/>
    <w:rsid w:val="001053AF"/>
    <w:rsid w:val="001055E6"/>
    <w:rsid w:val="001075A0"/>
    <w:rsid w:val="001103C6"/>
    <w:rsid w:val="00111787"/>
    <w:rsid w:val="00112107"/>
    <w:rsid w:val="00112BD2"/>
    <w:rsid w:val="00112C88"/>
    <w:rsid w:val="0011355D"/>
    <w:rsid w:val="0011358B"/>
    <w:rsid w:val="00113E85"/>
    <w:rsid w:val="00114073"/>
    <w:rsid w:val="00114C50"/>
    <w:rsid w:val="00114E36"/>
    <w:rsid w:val="001150D1"/>
    <w:rsid w:val="00115279"/>
    <w:rsid w:val="00116EF7"/>
    <w:rsid w:val="00116F13"/>
    <w:rsid w:val="0011724B"/>
    <w:rsid w:val="001174A8"/>
    <w:rsid w:val="00117602"/>
    <w:rsid w:val="00117CE9"/>
    <w:rsid w:val="00121071"/>
    <w:rsid w:val="00122461"/>
    <w:rsid w:val="00122962"/>
    <w:rsid w:val="00122BB6"/>
    <w:rsid w:val="001245CF"/>
    <w:rsid w:val="00125365"/>
    <w:rsid w:val="00125BC8"/>
    <w:rsid w:val="001264B8"/>
    <w:rsid w:val="0012665E"/>
    <w:rsid w:val="0012732C"/>
    <w:rsid w:val="00127A68"/>
    <w:rsid w:val="00127AB2"/>
    <w:rsid w:val="001304B2"/>
    <w:rsid w:val="0013194E"/>
    <w:rsid w:val="00131EA2"/>
    <w:rsid w:val="0013233C"/>
    <w:rsid w:val="00132BFD"/>
    <w:rsid w:val="00133316"/>
    <w:rsid w:val="001337CB"/>
    <w:rsid w:val="00133E2C"/>
    <w:rsid w:val="001353AF"/>
    <w:rsid w:val="00135959"/>
    <w:rsid w:val="00136210"/>
    <w:rsid w:val="00136375"/>
    <w:rsid w:val="00136B33"/>
    <w:rsid w:val="00136BE9"/>
    <w:rsid w:val="00136F4A"/>
    <w:rsid w:val="00136F5C"/>
    <w:rsid w:val="0013705C"/>
    <w:rsid w:val="001379FD"/>
    <w:rsid w:val="001402B2"/>
    <w:rsid w:val="00141DB9"/>
    <w:rsid w:val="00142A9F"/>
    <w:rsid w:val="00143FB3"/>
    <w:rsid w:val="00144AB5"/>
    <w:rsid w:val="001460CA"/>
    <w:rsid w:val="001467EF"/>
    <w:rsid w:val="0014682A"/>
    <w:rsid w:val="00146C31"/>
    <w:rsid w:val="00146D3D"/>
    <w:rsid w:val="00146D5E"/>
    <w:rsid w:val="00146F44"/>
    <w:rsid w:val="0014718D"/>
    <w:rsid w:val="00147468"/>
    <w:rsid w:val="00150C9D"/>
    <w:rsid w:val="001513A9"/>
    <w:rsid w:val="001523E1"/>
    <w:rsid w:val="00152552"/>
    <w:rsid w:val="00152FC2"/>
    <w:rsid w:val="00153286"/>
    <w:rsid w:val="001532E4"/>
    <w:rsid w:val="001533A8"/>
    <w:rsid w:val="00153FDE"/>
    <w:rsid w:val="0015437C"/>
    <w:rsid w:val="00154C11"/>
    <w:rsid w:val="00154C43"/>
    <w:rsid w:val="00155185"/>
    <w:rsid w:val="0015524F"/>
    <w:rsid w:val="0015652E"/>
    <w:rsid w:val="00157578"/>
    <w:rsid w:val="00160044"/>
    <w:rsid w:val="00160AA6"/>
    <w:rsid w:val="00161339"/>
    <w:rsid w:val="00161524"/>
    <w:rsid w:val="001617F9"/>
    <w:rsid w:val="00161DC4"/>
    <w:rsid w:val="00162AEC"/>
    <w:rsid w:val="00163D3B"/>
    <w:rsid w:val="0016447B"/>
    <w:rsid w:val="00165C73"/>
    <w:rsid w:val="00167052"/>
    <w:rsid w:val="001673F5"/>
    <w:rsid w:val="0017012E"/>
    <w:rsid w:val="0017038A"/>
    <w:rsid w:val="00170A7C"/>
    <w:rsid w:val="0017211F"/>
    <w:rsid w:val="00172123"/>
    <w:rsid w:val="00172A27"/>
    <w:rsid w:val="00173D93"/>
    <w:rsid w:val="00174209"/>
    <w:rsid w:val="00174A8D"/>
    <w:rsid w:val="0017500A"/>
    <w:rsid w:val="00175517"/>
    <w:rsid w:val="001756AD"/>
    <w:rsid w:val="00175876"/>
    <w:rsid w:val="001767AB"/>
    <w:rsid w:val="001772ED"/>
    <w:rsid w:val="00177638"/>
    <w:rsid w:val="00177C2D"/>
    <w:rsid w:val="00180AC4"/>
    <w:rsid w:val="001812C0"/>
    <w:rsid w:val="001817B2"/>
    <w:rsid w:val="001817CA"/>
    <w:rsid w:val="00181EEC"/>
    <w:rsid w:val="001822AA"/>
    <w:rsid w:val="0018239C"/>
    <w:rsid w:val="001834B5"/>
    <w:rsid w:val="00183611"/>
    <w:rsid w:val="00183A4E"/>
    <w:rsid w:val="00183FD8"/>
    <w:rsid w:val="00184DA6"/>
    <w:rsid w:val="00185C12"/>
    <w:rsid w:val="00186491"/>
    <w:rsid w:val="00186A9F"/>
    <w:rsid w:val="00186E40"/>
    <w:rsid w:val="00187582"/>
    <w:rsid w:val="00191283"/>
    <w:rsid w:val="0019192E"/>
    <w:rsid w:val="00191EEF"/>
    <w:rsid w:val="00192088"/>
    <w:rsid w:val="00192661"/>
    <w:rsid w:val="00192713"/>
    <w:rsid w:val="00192B06"/>
    <w:rsid w:val="0019300C"/>
    <w:rsid w:val="001931FE"/>
    <w:rsid w:val="001934D7"/>
    <w:rsid w:val="0019383E"/>
    <w:rsid w:val="001938DD"/>
    <w:rsid w:val="001942D6"/>
    <w:rsid w:val="00194327"/>
    <w:rsid w:val="001951D1"/>
    <w:rsid w:val="001951E1"/>
    <w:rsid w:val="001959DB"/>
    <w:rsid w:val="00195D5A"/>
    <w:rsid w:val="00195E43"/>
    <w:rsid w:val="001962A9"/>
    <w:rsid w:val="001973F6"/>
    <w:rsid w:val="0019744A"/>
    <w:rsid w:val="00197694"/>
    <w:rsid w:val="001979AB"/>
    <w:rsid w:val="001A11FF"/>
    <w:rsid w:val="001A1248"/>
    <w:rsid w:val="001A13B6"/>
    <w:rsid w:val="001A1905"/>
    <w:rsid w:val="001A246C"/>
    <w:rsid w:val="001A2BDD"/>
    <w:rsid w:val="001A5051"/>
    <w:rsid w:val="001A58D0"/>
    <w:rsid w:val="001A6D54"/>
    <w:rsid w:val="001A6EE9"/>
    <w:rsid w:val="001A70D7"/>
    <w:rsid w:val="001A772C"/>
    <w:rsid w:val="001A7FB7"/>
    <w:rsid w:val="001B0163"/>
    <w:rsid w:val="001B02A5"/>
    <w:rsid w:val="001B030A"/>
    <w:rsid w:val="001B08F9"/>
    <w:rsid w:val="001B302E"/>
    <w:rsid w:val="001B3ABA"/>
    <w:rsid w:val="001B3DFA"/>
    <w:rsid w:val="001B4242"/>
    <w:rsid w:val="001B4EA0"/>
    <w:rsid w:val="001B5F95"/>
    <w:rsid w:val="001B6500"/>
    <w:rsid w:val="001B6EE3"/>
    <w:rsid w:val="001B774F"/>
    <w:rsid w:val="001C0833"/>
    <w:rsid w:val="001C09B2"/>
    <w:rsid w:val="001C0B80"/>
    <w:rsid w:val="001C1CF5"/>
    <w:rsid w:val="001C1ECC"/>
    <w:rsid w:val="001C1F63"/>
    <w:rsid w:val="001C2355"/>
    <w:rsid w:val="001C2466"/>
    <w:rsid w:val="001C2F9A"/>
    <w:rsid w:val="001C3273"/>
    <w:rsid w:val="001C433E"/>
    <w:rsid w:val="001C47E5"/>
    <w:rsid w:val="001C4BE4"/>
    <w:rsid w:val="001C5196"/>
    <w:rsid w:val="001C51A4"/>
    <w:rsid w:val="001C5386"/>
    <w:rsid w:val="001C59B7"/>
    <w:rsid w:val="001C5BDB"/>
    <w:rsid w:val="001C661D"/>
    <w:rsid w:val="001C67F9"/>
    <w:rsid w:val="001C6CF6"/>
    <w:rsid w:val="001C74F7"/>
    <w:rsid w:val="001D0912"/>
    <w:rsid w:val="001D09A8"/>
    <w:rsid w:val="001D0B45"/>
    <w:rsid w:val="001D0CF0"/>
    <w:rsid w:val="001D1C24"/>
    <w:rsid w:val="001D2E4B"/>
    <w:rsid w:val="001D2E4C"/>
    <w:rsid w:val="001D33A9"/>
    <w:rsid w:val="001D3B0B"/>
    <w:rsid w:val="001D3CA2"/>
    <w:rsid w:val="001D3FFD"/>
    <w:rsid w:val="001D40E7"/>
    <w:rsid w:val="001D42A1"/>
    <w:rsid w:val="001D4726"/>
    <w:rsid w:val="001D4C53"/>
    <w:rsid w:val="001D5129"/>
    <w:rsid w:val="001D5344"/>
    <w:rsid w:val="001D5612"/>
    <w:rsid w:val="001D5C56"/>
    <w:rsid w:val="001D5EEF"/>
    <w:rsid w:val="001D6445"/>
    <w:rsid w:val="001D6E1A"/>
    <w:rsid w:val="001D7065"/>
    <w:rsid w:val="001D76E1"/>
    <w:rsid w:val="001D7988"/>
    <w:rsid w:val="001D7CC1"/>
    <w:rsid w:val="001E04B0"/>
    <w:rsid w:val="001E0F16"/>
    <w:rsid w:val="001E137B"/>
    <w:rsid w:val="001E167E"/>
    <w:rsid w:val="001E2656"/>
    <w:rsid w:val="001E2A5A"/>
    <w:rsid w:val="001E2FAC"/>
    <w:rsid w:val="001E3142"/>
    <w:rsid w:val="001E339E"/>
    <w:rsid w:val="001E3B54"/>
    <w:rsid w:val="001E3B96"/>
    <w:rsid w:val="001E3C46"/>
    <w:rsid w:val="001E3E64"/>
    <w:rsid w:val="001E49D6"/>
    <w:rsid w:val="001E4A76"/>
    <w:rsid w:val="001E4B85"/>
    <w:rsid w:val="001E4D2C"/>
    <w:rsid w:val="001E4E52"/>
    <w:rsid w:val="001E4FAF"/>
    <w:rsid w:val="001E527E"/>
    <w:rsid w:val="001E5F71"/>
    <w:rsid w:val="001E601E"/>
    <w:rsid w:val="001F0365"/>
    <w:rsid w:val="001F0762"/>
    <w:rsid w:val="001F0C8E"/>
    <w:rsid w:val="001F1D2E"/>
    <w:rsid w:val="001F2348"/>
    <w:rsid w:val="001F24C1"/>
    <w:rsid w:val="001F27C5"/>
    <w:rsid w:val="001F2CB7"/>
    <w:rsid w:val="001F35AA"/>
    <w:rsid w:val="001F47D6"/>
    <w:rsid w:val="001F5827"/>
    <w:rsid w:val="001F5FC3"/>
    <w:rsid w:val="001F69EC"/>
    <w:rsid w:val="001F6F18"/>
    <w:rsid w:val="001F7237"/>
    <w:rsid w:val="001F74AA"/>
    <w:rsid w:val="001F7773"/>
    <w:rsid w:val="001F7C37"/>
    <w:rsid w:val="00200710"/>
    <w:rsid w:val="00200F67"/>
    <w:rsid w:val="002014C3"/>
    <w:rsid w:val="00201A5D"/>
    <w:rsid w:val="002022B0"/>
    <w:rsid w:val="002026DB"/>
    <w:rsid w:val="00203E7E"/>
    <w:rsid w:val="0020411C"/>
    <w:rsid w:val="00204240"/>
    <w:rsid w:val="00204F5D"/>
    <w:rsid w:val="00205806"/>
    <w:rsid w:val="00205987"/>
    <w:rsid w:val="00206CE4"/>
    <w:rsid w:val="00207F9C"/>
    <w:rsid w:val="002101B2"/>
    <w:rsid w:val="00210B1D"/>
    <w:rsid w:val="00211442"/>
    <w:rsid w:val="00213999"/>
    <w:rsid w:val="00213DEB"/>
    <w:rsid w:val="00215F53"/>
    <w:rsid w:val="002168D6"/>
    <w:rsid w:val="002203AB"/>
    <w:rsid w:val="00220689"/>
    <w:rsid w:val="002208AE"/>
    <w:rsid w:val="00220A79"/>
    <w:rsid w:val="00220EAB"/>
    <w:rsid w:val="00220F5A"/>
    <w:rsid w:val="0022136B"/>
    <w:rsid w:val="002224AE"/>
    <w:rsid w:val="002228C6"/>
    <w:rsid w:val="002228E1"/>
    <w:rsid w:val="00222E1A"/>
    <w:rsid w:val="002231D0"/>
    <w:rsid w:val="002231F6"/>
    <w:rsid w:val="002232C6"/>
    <w:rsid w:val="0022383F"/>
    <w:rsid w:val="00223850"/>
    <w:rsid w:val="0022391F"/>
    <w:rsid w:val="00223AAF"/>
    <w:rsid w:val="002246EC"/>
    <w:rsid w:val="002248D1"/>
    <w:rsid w:val="00224CA3"/>
    <w:rsid w:val="00224F15"/>
    <w:rsid w:val="00224F98"/>
    <w:rsid w:val="00225CCE"/>
    <w:rsid w:val="00225EBA"/>
    <w:rsid w:val="00226BD0"/>
    <w:rsid w:val="00227811"/>
    <w:rsid w:val="00227880"/>
    <w:rsid w:val="00230367"/>
    <w:rsid w:val="00230914"/>
    <w:rsid w:val="00230C0A"/>
    <w:rsid w:val="00230D9B"/>
    <w:rsid w:val="00230ED2"/>
    <w:rsid w:val="00231BDC"/>
    <w:rsid w:val="002323DF"/>
    <w:rsid w:val="00232656"/>
    <w:rsid w:val="00232A52"/>
    <w:rsid w:val="00232ED6"/>
    <w:rsid w:val="002336F2"/>
    <w:rsid w:val="002342B1"/>
    <w:rsid w:val="00234F4D"/>
    <w:rsid w:val="00235606"/>
    <w:rsid w:val="00235701"/>
    <w:rsid w:val="002365A1"/>
    <w:rsid w:val="0023672B"/>
    <w:rsid w:val="00237571"/>
    <w:rsid w:val="00241279"/>
    <w:rsid w:val="00241552"/>
    <w:rsid w:val="0024184E"/>
    <w:rsid w:val="00241D87"/>
    <w:rsid w:val="00242605"/>
    <w:rsid w:val="00242AC1"/>
    <w:rsid w:val="002431DA"/>
    <w:rsid w:val="00244263"/>
    <w:rsid w:val="0024477B"/>
    <w:rsid w:val="00244C98"/>
    <w:rsid w:val="0024522F"/>
    <w:rsid w:val="002457D0"/>
    <w:rsid w:val="00246015"/>
    <w:rsid w:val="002465D0"/>
    <w:rsid w:val="00246B22"/>
    <w:rsid w:val="00246D88"/>
    <w:rsid w:val="0025066E"/>
    <w:rsid w:val="00250751"/>
    <w:rsid w:val="00250967"/>
    <w:rsid w:val="00250F7A"/>
    <w:rsid w:val="00251055"/>
    <w:rsid w:val="002515A3"/>
    <w:rsid w:val="002518C4"/>
    <w:rsid w:val="00251F11"/>
    <w:rsid w:val="0025218E"/>
    <w:rsid w:val="00252ADA"/>
    <w:rsid w:val="00252DD7"/>
    <w:rsid w:val="0025346B"/>
    <w:rsid w:val="002536C3"/>
    <w:rsid w:val="00253FF1"/>
    <w:rsid w:val="002544C3"/>
    <w:rsid w:val="0025457F"/>
    <w:rsid w:val="002548AF"/>
    <w:rsid w:val="00254E48"/>
    <w:rsid w:val="002552D5"/>
    <w:rsid w:val="002562DE"/>
    <w:rsid w:val="00256340"/>
    <w:rsid w:val="00256F28"/>
    <w:rsid w:val="00257655"/>
    <w:rsid w:val="002577DD"/>
    <w:rsid w:val="00257954"/>
    <w:rsid w:val="00260AAD"/>
    <w:rsid w:val="00262044"/>
    <w:rsid w:val="00263994"/>
    <w:rsid w:val="00263E7B"/>
    <w:rsid w:val="00264397"/>
    <w:rsid w:val="00264A7B"/>
    <w:rsid w:val="002650F7"/>
    <w:rsid w:val="002661CE"/>
    <w:rsid w:val="00266A60"/>
    <w:rsid w:val="0026746C"/>
    <w:rsid w:val="0027055E"/>
    <w:rsid w:val="00270A60"/>
    <w:rsid w:val="00270D8E"/>
    <w:rsid w:val="0027158D"/>
    <w:rsid w:val="00271B41"/>
    <w:rsid w:val="00271EF1"/>
    <w:rsid w:val="0027293F"/>
    <w:rsid w:val="00272A3C"/>
    <w:rsid w:val="00272AB6"/>
    <w:rsid w:val="002737B3"/>
    <w:rsid w:val="00273DCE"/>
    <w:rsid w:val="00274F7B"/>
    <w:rsid w:val="002751B6"/>
    <w:rsid w:val="00275C10"/>
    <w:rsid w:val="00276327"/>
    <w:rsid w:val="00276AF9"/>
    <w:rsid w:val="00277110"/>
    <w:rsid w:val="00277DD2"/>
    <w:rsid w:val="00277F03"/>
    <w:rsid w:val="002801CD"/>
    <w:rsid w:val="00280A04"/>
    <w:rsid w:val="00280F26"/>
    <w:rsid w:val="00280F76"/>
    <w:rsid w:val="00281081"/>
    <w:rsid w:val="0028190E"/>
    <w:rsid w:val="00282029"/>
    <w:rsid w:val="002823F5"/>
    <w:rsid w:val="00282D22"/>
    <w:rsid w:val="0028353C"/>
    <w:rsid w:val="00284061"/>
    <w:rsid w:val="00284813"/>
    <w:rsid w:val="002848B0"/>
    <w:rsid w:val="00284DB5"/>
    <w:rsid w:val="00284E2B"/>
    <w:rsid w:val="00284E2E"/>
    <w:rsid w:val="00284F68"/>
    <w:rsid w:val="00285B26"/>
    <w:rsid w:val="00285BE7"/>
    <w:rsid w:val="00286321"/>
    <w:rsid w:val="0028643C"/>
    <w:rsid w:val="00286DDD"/>
    <w:rsid w:val="00286E1B"/>
    <w:rsid w:val="00286F27"/>
    <w:rsid w:val="002878F9"/>
    <w:rsid w:val="00287B95"/>
    <w:rsid w:val="00287CD2"/>
    <w:rsid w:val="00287E98"/>
    <w:rsid w:val="002900C6"/>
    <w:rsid w:val="00290691"/>
    <w:rsid w:val="002906E0"/>
    <w:rsid w:val="0029113E"/>
    <w:rsid w:val="002911A5"/>
    <w:rsid w:val="00291EB2"/>
    <w:rsid w:val="00292831"/>
    <w:rsid w:val="00292A31"/>
    <w:rsid w:val="00292CCF"/>
    <w:rsid w:val="00295020"/>
    <w:rsid w:val="00295445"/>
    <w:rsid w:val="0029549B"/>
    <w:rsid w:val="00297110"/>
    <w:rsid w:val="002A081E"/>
    <w:rsid w:val="002A0868"/>
    <w:rsid w:val="002A09B9"/>
    <w:rsid w:val="002A1B44"/>
    <w:rsid w:val="002A1CEA"/>
    <w:rsid w:val="002A23C0"/>
    <w:rsid w:val="002A28C7"/>
    <w:rsid w:val="002A344E"/>
    <w:rsid w:val="002A36FC"/>
    <w:rsid w:val="002A3E00"/>
    <w:rsid w:val="002A3E91"/>
    <w:rsid w:val="002A4826"/>
    <w:rsid w:val="002A537C"/>
    <w:rsid w:val="002A5465"/>
    <w:rsid w:val="002A5987"/>
    <w:rsid w:val="002A5CBA"/>
    <w:rsid w:val="002A629C"/>
    <w:rsid w:val="002A6998"/>
    <w:rsid w:val="002A6D58"/>
    <w:rsid w:val="002A76DF"/>
    <w:rsid w:val="002B0D6C"/>
    <w:rsid w:val="002B0E75"/>
    <w:rsid w:val="002B18DD"/>
    <w:rsid w:val="002B21C2"/>
    <w:rsid w:val="002B21CD"/>
    <w:rsid w:val="002B237F"/>
    <w:rsid w:val="002B2C45"/>
    <w:rsid w:val="002B3CC8"/>
    <w:rsid w:val="002B3D40"/>
    <w:rsid w:val="002B4DB1"/>
    <w:rsid w:val="002B50AA"/>
    <w:rsid w:val="002B5349"/>
    <w:rsid w:val="002B6DB0"/>
    <w:rsid w:val="002B7505"/>
    <w:rsid w:val="002B78DF"/>
    <w:rsid w:val="002B7B5B"/>
    <w:rsid w:val="002C028C"/>
    <w:rsid w:val="002C0CAB"/>
    <w:rsid w:val="002C10AD"/>
    <w:rsid w:val="002C1201"/>
    <w:rsid w:val="002C1497"/>
    <w:rsid w:val="002C1995"/>
    <w:rsid w:val="002C28F3"/>
    <w:rsid w:val="002C3772"/>
    <w:rsid w:val="002C39B2"/>
    <w:rsid w:val="002C43B2"/>
    <w:rsid w:val="002C4864"/>
    <w:rsid w:val="002C48FE"/>
    <w:rsid w:val="002C5221"/>
    <w:rsid w:val="002C57EC"/>
    <w:rsid w:val="002C69F2"/>
    <w:rsid w:val="002C73A2"/>
    <w:rsid w:val="002C7433"/>
    <w:rsid w:val="002D09C2"/>
    <w:rsid w:val="002D10C4"/>
    <w:rsid w:val="002D1EF1"/>
    <w:rsid w:val="002D208D"/>
    <w:rsid w:val="002D2E06"/>
    <w:rsid w:val="002D33E5"/>
    <w:rsid w:val="002D3956"/>
    <w:rsid w:val="002D4232"/>
    <w:rsid w:val="002D42F4"/>
    <w:rsid w:val="002D45C2"/>
    <w:rsid w:val="002D4E52"/>
    <w:rsid w:val="002D520B"/>
    <w:rsid w:val="002D55FA"/>
    <w:rsid w:val="002D59DF"/>
    <w:rsid w:val="002D62BE"/>
    <w:rsid w:val="002D69A1"/>
    <w:rsid w:val="002D7332"/>
    <w:rsid w:val="002E007A"/>
    <w:rsid w:val="002E0082"/>
    <w:rsid w:val="002E08FF"/>
    <w:rsid w:val="002E1246"/>
    <w:rsid w:val="002E167D"/>
    <w:rsid w:val="002E2042"/>
    <w:rsid w:val="002E2043"/>
    <w:rsid w:val="002E2F0B"/>
    <w:rsid w:val="002E3675"/>
    <w:rsid w:val="002E3698"/>
    <w:rsid w:val="002E40FF"/>
    <w:rsid w:val="002E44E3"/>
    <w:rsid w:val="002E5886"/>
    <w:rsid w:val="002E5FFB"/>
    <w:rsid w:val="002E61DA"/>
    <w:rsid w:val="002E6371"/>
    <w:rsid w:val="002E63BD"/>
    <w:rsid w:val="002E6921"/>
    <w:rsid w:val="002E69B0"/>
    <w:rsid w:val="002E79CE"/>
    <w:rsid w:val="002F0118"/>
    <w:rsid w:val="002F02C3"/>
    <w:rsid w:val="002F0875"/>
    <w:rsid w:val="002F0BE4"/>
    <w:rsid w:val="002F0F98"/>
    <w:rsid w:val="002F15A5"/>
    <w:rsid w:val="002F2095"/>
    <w:rsid w:val="002F260A"/>
    <w:rsid w:val="002F2722"/>
    <w:rsid w:val="002F28B1"/>
    <w:rsid w:val="002F2CA4"/>
    <w:rsid w:val="002F2DD9"/>
    <w:rsid w:val="002F3E04"/>
    <w:rsid w:val="002F4956"/>
    <w:rsid w:val="002F5BB7"/>
    <w:rsid w:val="002F6957"/>
    <w:rsid w:val="002F6CDF"/>
    <w:rsid w:val="002F73FE"/>
    <w:rsid w:val="002F74C1"/>
    <w:rsid w:val="00300061"/>
    <w:rsid w:val="003001CC"/>
    <w:rsid w:val="0030072C"/>
    <w:rsid w:val="0030095F"/>
    <w:rsid w:val="00301A71"/>
    <w:rsid w:val="00301D40"/>
    <w:rsid w:val="00302296"/>
    <w:rsid w:val="00302E4A"/>
    <w:rsid w:val="0030334E"/>
    <w:rsid w:val="003033FB"/>
    <w:rsid w:val="00303D57"/>
    <w:rsid w:val="003047A9"/>
    <w:rsid w:val="00304B86"/>
    <w:rsid w:val="00304BED"/>
    <w:rsid w:val="00304EB4"/>
    <w:rsid w:val="00305145"/>
    <w:rsid w:val="0030543F"/>
    <w:rsid w:val="00306084"/>
    <w:rsid w:val="003064F5"/>
    <w:rsid w:val="003070AA"/>
    <w:rsid w:val="0030742E"/>
    <w:rsid w:val="00307FA3"/>
    <w:rsid w:val="00310A40"/>
    <w:rsid w:val="00310AF8"/>
    <w:rsid w:val="0031107C"/>
    <w:rsid w:val="00311CB2"/>
    <w:rsid w:val="003123F5"/>
    <w:rsid w:val="00312984"/>
    <w:rsid w:val="00313959"/>
    <w:rsid w:val="00314CF9"/>
    <w:rsid w:val="00315316"/>
    <w:rsid w:val="00315587"/>
    <w:rsid w:val="00315866"/>
    <w:rsid w:val="0031652D"/>
    <w:rsid w:val="003171FD"/>
    <w:rsid w:val="00317353"/>
    <w:rsid w:val="00317BE3"/>
    <w:rsid w:val="003202CD"/>
    <w:rsid w:val="00321361"/>
    <w:rsid w:val="00324536"/>
    <w:rsid w:val="00324538"/>
    <w:rsid w:val="00324FB2"/>
    <w:rsid w:val="00325166"/>
    <w:rsid w:val="00325505"/>
    <w:rsid w:val="00325C21"/>
    <w:rsid w:val="00326014"/>
    <w:rsid w:val="00326D84"/>
    <w:rsid w:val="0032757C"/>
    <w:rsid w:val="00330B7E"/>
    <w:rsid w:val="003314D1"/>
    <w:rsid w:val="00331EA6"/>
    <w:rsid w:val="00332418"/>
    <w:rsid w:val="00332888"/>
    <w:rsid w:val="00333A58"/>
    <w:rsid w:val="00333AD6"/>
    <w:rsid w:val="003344A5"/>
    <w:rsid w:val="0033457B"/>
    <w:rsid w:val="0033602B"/>
    <w:rsid w:val="00336414"/>
    <w:rsid w:val="003367A8"/>
    <w:rsid w:val="003406B0"/>
    <w:rsid w:val="00340704"/>
    <w:rsid w:val="00340F57"/>
    <w:rsid w:val="00341C42"/>
    <w:rsid w:val="003421ED"/>
    <w:rsid w:val="0034238F"/>
    <w:rsid w:val="00343068"/>
    <w:rsid w:val="003433BD"/>
    <w:rsid w:val="0034357A"/>
    <w:rsid w:val="00343A25"/>
    <w:rsid w:val="0034441F"/>
    <w:rsid w:val="00344BCD"/>
    <w:rsid w:val="00344C13"/>
    <w:rsid w:val="0034507B"/>
    <w:rsid w:val="0034572F"/>
    <w:rsid w:val="00345F87"/>
    <w:rsid w:val="00346AD2"/>
    <w:rsid w:val="00347447"/>
    <w:rsid w:val="00350B4B"/>
    <w:rsid w:val="00350C3C"/>
    <w:rsid w:val="00350E22"/>
    <w:rsid w:val="0035182B"/>
    <w:rsid w:val="00351937"/>
    <w:rsid w:val="00351CD3"/>
    <w:rsid w:val="00353138"/>
    <w:rsid w:val="00354B5A"/>
    <w:rsid w:val="003557B4"/>
    <w:rsid w:val="0035586C"/>
    <w:rsid w:val="00356B44"/>
    <w:rsid w:val="003577F5"/>
    <w:rsid w:val="00357D52"/>
    <w:rsid w:val="00360078"/>
    <w:rsid w:val="0036123F"/>
    <w:rsid w:val="0036137E"/>
    <w:rsid w:val="00361462"/>
    <w:rsid w:val="00361E8C"/>
    <w:rsid w:val="00362A40"/>
    <w:rsid w:val="00363B91"/>
    <w:rsid w:val="00364316"/>
    <w:rsid w:val="0036450D"/>
    <w:rsid w:val="0036465B"/>
    <w:rsid w:val="0036472C"/>
    <w:rsid w:val="00364FDD"/>
    <w:rsid w:val="00365EDD"/>
    <w:rsid w:val="00366690"/>
    <w:rsid w:val="003666A6"/>
    <w:rsid w:val="00366CF4"/>
    <w:rsid w:val="0036700E"/>
    <w:rsid w:val="00367807"/>
    <w:rsid w:val="003679AA"/>
    <w:rsid w:val="00367CA2"/>
    <w:rsid w:val="00367D6F"/>
    <w:rsid w:val="0037083E"/>
    <w:rsid w:val="00371A33"/>
    <w:rsid w:val="003721B9"/>
    <w:rsid w:val="00372F60"/>
    <w:rsid w:val="00372FC4"/>
    <w:rsid w:val="00373406"/>
    <w:rsid w:val="00373E5E"/>
    <w:rsid w:val="003749BB"/>
    <w:rsid w:val="00374E27"/>
    <w:rsid w:val="00375AC7"/>
    <w:rsid w:val="00376212"/>
    <w:rsid w:val="00376BDF"/>
    <w:rsid w:val="00376C09"/>
    <w:rsid w:val="00376FDA"/>
    <w:rsid w:val="003773BF"/>
    <w:rsid w:val="00377AAF"/>
    <w:rsid w:val="003805D6"/>
    <w:rsid w:val="003810EB"/>
    <w:rsid w:val="00381265"/>
    <w:rsid w:val="00381783"/>
    <w:rsid w:val="00381922"/>
    <w:rsid w:val="00382944"/>
    <w:rsid w:val="00383501"/>
    <w:rsid w:val="00383529"/>
    <w:rsid w:val="003835CA"/>
    <w:rsid w:val="0038366D"/>
    <w:rsid w:val="003838F0"/>
    <w:rsid w:val="00384371"/>
    <w:rsid w:val="003846BE"/>
    <w:rsid w:val="00384890"/>
    <w:rsid w:val="003848CF"/>
    <w:rsid w:val="00384AB2"/>
    <w:rsid w:val="00385087"/>
    <w:rsid w:val="003850EC"/>
    <w:rsid w:val="00385121"/>
    <w:rsid w:val="003852E2"/>
    <w:rsid w:val="00385A73"/>
    <w:rsid w:val="003869AC"/>
    <w:rsid w:val="00386EEA"/>
    <w:rsid w:val="00386F8E"/>
    <w:rsid w:val="00387000"/>
    <w:rsid w:val="0038716C"/>
    <w:rsid w:val="00387E6E"/>
    <w:rsid w:val="00390368"/>
    <w:rsid w:val="00390B03"/>
    <w:rsid w:val="00391530"/>
    <w:rsid w:val="00391A8C"/>
    <w:rsid w:val="00391B7D"/>
    <w:rsid w:val="00391D72"/>
    <w:rsid w:val="00391D9E"/>
    <w:rsid w:val="00391F22"/>
    <w:rsid w:val="00391FF7"/>
    <w:rsid w:val="0039223F"/>
    <w:rsid w:val="003925C8"/>
    <w:rsid w:val="00392DD2"/>
    <w:rsid w:val="00393240"/>
    <w:rsid w:val="00393D0A"/>
    <w:rsid w:val="00393DB3"/>
    <w:rsid w:val="00393EA5"/>
    <w:rsid w:val="0039411E"/>
    <w:rsid w:val="00394773"/>
    <w:rsid w:val="003957E4"/>
    <w:rsid w:val="00395E0A"/>
    <w:rsid w:val="00395F36"/>
    <w:rsid w:val="00396AA0"/>
    <w:rsid w:val="003A0DC5"/>
    <w:rsid w:val="003A0E90"/>
    <w:rsid w:val="003A0FDD"/>
    <w:rsid w:val="003A14C2"/>
    <w:rsid w:val="003A227D"/>
    <w:rsid w:val="003A2D89"/>
    <w:rsid w:val="003A3AA4"/>
    <w:rsid w:val="003A45B5"/>
    <w:rsid w:val="003A656C"/>
    <w:rsid w:val="003A6777"/>
    <w:rsid w:val="003A6E66"/>
    <w:rsid w:val="003A7345"/>
    <w:rsid w:val="003A7366"/>
    <w:rsid w:val="003A7C0A"/>
    <w:rsid w:val="003B08DC"/>
    <w:rsid w:val="003B0F73"/>
    <w:rsid w:val="003B141A"/>
    <w:rsid w:val="003B295F"/>
    <w:rsid w:val="003B2B97"/>
    <w:rsid w:val="003B3C97"/>
    <w:rsid w:val="003B3D75"/>
    <w:rsid w:val="003B3E17"/>
    <w:rsid w:val="003B40DD"/>
    <w:rsid w:val="003B4D39"/>
    <w:rsid w:val="003B4D96"/>
    <w:rsid w:val="003B60CC"/>
    <w:rsid w:val="003B75F5"/>
    <w:rsid w:val="003C017C"/>
    <w:rsid w:val="003C0670"/>
    <w:rsid w:val="003C0BE5"/>
    <w:rsid w:val="003C1630"/>
    <w:rsid w:val="003C1AA7"/>
    <w:rsid w:val="003C1B3D"/>
    <w:rsid w:val="003C22F7"/>
    <w:rsid w:val="003C25AC"/>
    <w:rsid w:val="003C2CA6"/>
    <w:rsid w:val="003C2FF7"/>
    <w:rsid w:val="003C33C4"/>
    <w:rsid w:val="003C344A"/>
    <w:rsid w:val="003C36A2"/>
    <w:rsid w:val="003C3F50"/>
    <w:rsid w:val="003C3FCD"/>
    <w:rsid w:val="003C417E"/>
    <w:rsid w:val="003C46BE"/>
    <w:rsid w:val="003C4701"/>
    <w:rsid w:val="003C4833"/>
    <w:rsid w:val="003C518F"/>
    <w:rsid w:val="003C5194"/>
    <w:rsid w:val="003C598C"/>
    <w:rsid w:val="003C5F13"/>
    <w:rsid w:val="003C6668"/>
    <w:rsid w:val="003C695A"/>
    <w:rsid w:val="003C6C40"/>
    <w:rsid w:val="003C705B"/>
    <w:rsid w:val="003C7764"/>
    <w:rsid w:val="003D0132"/>
    <w:rsid w:val="003D0287"/>
    <w:rsid w:val="003D0798"/>
    <w:rsid w:val="003D08C4"/>
    <w:rsid w:val="003D0AA0"/>
    <w:rsid w:val="003D1FE2"/>
    <w:rsid w:val="003D2123"/>
    <w:rsid w:val="003D3112"/>
    <w:rsid w:val="003D31D3"/>
    <w:rsid w:val="003D33D0"/>
    <w:rsid w:val="003D388B"/>
    <w:rsid w:val="003D43B1"/>
    <w:rsid w:val="003D48E2"/>
    <w:rsid w:val="003D4D51"/>
    <w:rsid w:val="003D4ECD"/>
    <w:rsid w:val="003D5F35"/>
    <w:rsid w:val="003D67BD"/>
    <w:rsid w:val="003D6FD3"/>
    <w:rsid w:val="003D79E9"/>
    <w:rsid w:val="003D7F61"/>
    <w:rsid w:val="003E2446"/>
    <w:rsid w:val="003E2552"/>
    <w:rsid w:val="003E26B6"/>
    <w:rsid w:val="003E2DC5"/>
    <w:rsid w:val="003E3954"/>
    <w:rsid w:val="003E39B2"/>
    <w:rsid w:val="003E3ABE"/>
    <w:rsid w:val="003E3D64"/>
    <w:rsid w:val="003E4CDE"/>
    <w:rsid w:val="003E5CD5"/>
    <w:rsid w:val="003E70B3"/>
    <w:rsid w:val="003E719E"/>
    <w:rsid w:val="003E738E"/>
    <w:rsid w:val="003E74F1"/>
    <w:rsid w:val="003E7E07"/>
    <w:rsid w:val="003F0432"/>
    <w:rsid w:val="003F0BFF"/>
    <w:rsid w:val="003F0F38"/>
    <w:rsid w:val="003F2A74"/>
    <w:rsid w:val="003F2B3E"/>
    <w:rsid w:val="003F3426"/>
    <w:rsid w:val="003F3752"/>
    <w:rsid w:val="003F400A"/>
    <w:rsid w:val="003F453A"/>
    <w:rsid w:val="003F5560"/>
    <w:rsid w:val="003F5B0F"/>
    <w:rsid w:val="003F60F8"/>
    <w:rsid w:val="003F6B35"/>
    <w:rsid w:val="003F6C50"/>
    <w:rsid w:val="003F6FC1"/>
    <w:rsid w:val="003F7810"/>
    <w:rsid w:val="0040054E"/>
    <w:rsid w:val="0040098B"/>
    <w:rsid w:val="00401887"/>
    <w:rsid w:val="00402D47"/>
    <w:rsid w:val="00402EB2"/>
    <w:rsid w:val="00403BB2"/>
    <w:rsid w:val="00403EED"/>
    <w:rsid w:val="00404109"/>
    <w:rsid w:val="004047EE"/>
    <w:rsid w:val="00404E34"/>
    <w:rsid w:val="0040639E"/>
    <w:rsid w:val="00406761"/>
    <w:rsid w:val="0040706B"/>
    <w:rsid w:val="004077C4"/>
    <w:rsid w:val="00407DD8"/>
    <w:rsid w:val="00407FDD"/>
    <w:rsid w:val="0041045C"/>
    <w:rsid w:val="004105A2"/>
    <w:rsid w:val="00410CF5"/>
    <w:rsid w:val="0041113A"/>
    <w:rsid w:val="0041181F"/>
    <w:rsid w:val="00413000"/>
    <w:rsid w:val="00413799"/>
    <w:rsid w:val="004137B2"/>
    <w:rsid w:val="0041392A"/>
    <w:rsid w:val="00414894"/>
    <w:rsid w:val="00414D58"/>
    <w:rsid w:val="0041518E"/>
    <w:rsid w:val="00415733"/>
    <w:rsid w:val="00415C0B"/>
    <w:rsid w:val="00415F9A"/>
    <w:rsid w:val="004160C4"/>
    <w:rsid w:val="00417699"/>
    <w:rsid w:val="004178DD"/>
    <w:rsid w:val="00420860"/>
    <w:rsid w:val="00420970"/>
    <w:rsid w:val="00420D48"/>
    <w:rsid w:val="00420DE0"/>
    <w:rsid w:val="00421EAE"/>
    <w:rsid w:val="00421F87"/>
    <w:rsid w:val="004226A2"/>
    <w:rsid w:val="00422B48"/>
    <w:rsid w:val="00422D20"/>
    <w:rsid w:val="00423074"/>
    <w:rsid w:val="00423B96"/>
    <w:rsid w:val="00423C22"/>
    <w:rsid w:val="00423EA3"/>
    <w:rsid w:val="0042420C"/>
    <w:rsid w:val="00424226"/>
    <w:rsid w:val="00424286"/>
    <w:rsid w:val="0042470D"/>
    <w:rsid w:val="00424EE2"/>
    <w:rsid w:val="0042649C"/>
    <w:rsid w:val="004269E9"/>
    <w:rsid w:val="00426A95"/>
    <w:rsid w:val="00426B5B"/>
    <w:rsid w:val="0043000B"/>
    <w:rsid w:val="00430824"/>
    <w:rsid w:val="00430B0A"/>
    <w:rsid w:val="00430FFB"/>
    <w:rsid w:val="00431B63"/>
    <w:rsid w:val="00431D7A"/>
    <w:rsid w:val="00432092"/>
    <w:rsid w:val="00432946"/>
    <w:rsid w:val="004341A9"/>
    <w:rsid w:val="0043443E"/>
    <w:rsid w:val="0043473C"/>
    <w:rsid w:val="0043562D"/>
    <w:rsid w:val="00435C0B"/>
    <w:rsid w:val="00436214"/>
    <w:rsid w:val="00436F47"/>
    <w:rsid w:val="00437045"/>
    <w:rsid w:val="004372A5"/>
    <w:rsid w:val="00437812"/>
    <w:rsid w:val="0044060F"/>
    <w:rsid w:val="00440DAA"/>
    <w:rsid w:val="00441288"/>
    <w:rsid w:val="00441B1C"/>
    <w:rsid w:val="00442F4A"/>
    <w:rsid w:val="0044305F"/>
    <w:rsid w:val="00443477"/>
    <w:rsid w:val="00443B85"/>
    <w:rsid w:val="00444431"/>
    <w:rsid w:val="00444C52"/>
    <w:rsid w:val="004459A2"/>
    <w:rsid w:val="00445ECC"/>
    <w:rsid w:val="00446382"/>
    <w:rsid w:val="00446464"/>
    <w:rsid w:val="00446F1E"/>
    <w:rsid w:val="004475C7"/>
    <w:rsid w:val="00447E6A"/>
    <w:rsid w:val="00447E6F"/>
    <w:rsid w:val="0045033A"/>
    <w:rsid w:val="004508D4"/>
    <w:rsid w:val="00450949"/>
    <w:rsid w:val="00452490"/>
    <w:rsid w:val="00452F31"/>
    <w:rsid w:val="00453A5F"/>
    <w:rsid w:val="00453CB4"/>
    <w:rsid w:val="00453CCF"/>
    <w:rsid w:val="004542B3"/>
    <w:rsid w:val="0045466A"/>
    <w:rsid w:val="00454698"/>
    <w:rsid w:val="00454758"/>
    <w:rsid w:val="00454C48"/>
    <w:rsid w:val="00454C8D"/>
    <w:rsid w:val="004555F4"/>
    <w:rsid w:val="00455DB5"/>
    <w:rsid w:val="00455E53"/>
    <w:rsid w:val="004560C9"/>
    <w:rsid w:val="00456852"/>
    <w:rsid w:val="00457260"/>
    <w:rsid w:val="00457BB7"/>
    <w:rsid w:val="00457E63"/>
    <w:rsid w:val="00457E7C"/>
    <w:rsid w:val="00457EEA"/>
    <w:rsid w:val="00460259"/>
    <w:rsid w:val="004603CB"/>
    <w:rsid w:val="0046064B"/>
    <w:rsid w:val="00460B31"/>
    <w:rsid w:val="00460D5B"/>
    <w:rsid w:val="00460FF8"/>
    <w:rsid w:val="00461A0C"/>
    <w:rsid w:val="0046245B"/>
    <w:rsid w:val="00462F67"/>
    <w:rsid w:val="004632F3"/>
    <w:rsid w:val="0046376E"/>
    <w:rsid w:val="00465831"/>
    <w:rsid w:val="0046608C"/>
    <w:rsid w:val="004660E4"/>
    <w:rsid w:val="004665FB"/>
    <w:rsid w:val="00466744"/>
    <w:rsid w:val="00466CF6"/>
    <w:rsid w:val="00467DB2"/>
    <w:rsid w:val="004712D5"/>
    <w:rsid w:val="004716B4"/>
    <w:rsid w:val="00472160"/>
    <w:rsid w:val="004724C1"/>
    <w:rsid w:val="00472761"/>
    <w:rsid w:val="00472767"/>
    <w:rsid w:val="00473286"/>
    <w:rsid w:val="00473B2E"/>
    <w:rsid w:val="00473FCE"/>
    <w:rsid w:val="00475CDC"/>
    <w:rsid w:val="004763AC"/>
    <w:rsid w:val="00476A12"/>
    <w:rsid w:val="00476D77"/>
    <w:rsid w:val="00476DFB"/>
    <w:rsid w:val="004770CE"/>
    <w:rsid w:val="00477ACD"/>
    <w:rsid w:val="00477F31"/>
    <w:rsid w:val="00480E73"/>
    <w:rsid w:val="004815D5"/>
    <w:rsid w:val="004815DD"/>
    <w:rsid w:val="004815E5"/>
    <w:rsid w:val="00483064"/>
    <w:rsid w:val="004835BD"/>
    <w:rsid w:val="00484AED"/>
    <w:rsid w:val="00484B55"/>
    <w:rsid w:val="00485ABA"/>
    <w:rsid w:val="00486C8E"/>
    <w:rsid w:val="00487284"/>
    <w:rsid w:val="0048773A"/>
    <w:rsid w:val="00487D9E"/>
    <w:rsid w:val="004904B6"/>
    <w:rsid w:val="00490CD5"/>
    <w:rsid w:val="00491A81"/>
    <w:rsid w:val="00492D10"/>
    <w:rsid w:val="0049334D"/>
    <w:rsid w:val="00493359"/>
    <w:rsid w:val="00494D5D"/>
    <w:rsid w:val="00494DBD"/>
    <w:rsid w:val="004954C4"/>
    <w:rsid w:val="004955AC"/>
    <w:rsid w:val="0049583F"/>
    <w:rsid w:val="00496897"/>
    <w:rsid w:val="00496BA7"/>
    <w:rsid w:val="00496CDA"/>
    <w:rsid w:val="00496D5F"/>
    <w:rsid w:val="00496E3A"/>
    <w:rsid w:val="004A01DB"/>
    <w:rsid w:val="004A1857"/>
    <w:rsid w:val="004A1AFD"/>
    <w:rsid w:val="004A22A4"/>
    <w:rsid w:val="004A2CE8"/>
    <w:rsid w:val="004A3382"/>
    <w:rsid w:val="004A380E"/>
    <w:rsid w:val="004A3F01"/>
    <w:rsid w:val="004A4277"/>
    <w:rsid w:val="004A49E8"/>
    <w:rsid w:val="004A4DEA"/>
    <w:rsid w:val="004A4E83"/>
    <w:rsid w:val="004A6ACA"/>
    <w:rsid w:val="004A6B25"/>
    <w:rsid w:val="004A6FCD"/>
    <w:rsid w:val="004A78BC"/>
    <w:rsid w:val="004A7A86"/>
    <w:rsid w:val="004B17C2"/>
    <w:rsid w:val="004B1C97"/>
    <w:rsid w:val="004B2175"/>
    <w:rsid w:val="004B2EA3"/>
    <w:rsid w:val="004B5BFF"/>
    <w:rsid w:val="004B66ED"/>
    <w:rsid w:val="004C0F80"/>
    <w:rsid w:val="004C136D"/>
    <w:rsid w:val="004C148D"/>
    <w:rsid w:val="004C1A64"/>
    <w:rsid w:val="004C2466"/>
    <w:rsid w:val="004C2BE3"/>
    <w:rsid w:val="004C2D16"/>
    <w:rsid w:val="004C2E79"/>
    <w:rsid w:val="004C3102"/>
    <w:rsid w:val="004C328A"/>
    <w:rsid w:val="004C32FB"/>
    <w:rsid w:val="004C3905"/>
    <w:rsid w:val="004C3D2C"/>
    <w:rsid w:val="004C5F70"/>
    <w:rsid w:val="004C67F5"/>
    <w:rsid w:val="004C6BF3"/>
    <w:rsid w:val="004C6EF8"/>
    <w:rsid w:val="004C7382"/>
    <w:rsid w:val="004C7799"/>
    <w:rsid w:val="004C7AAB"/>
    <w:rsid w:val="004C7B35"/>
    <w:rsid w:val="004D140B"/>
    <w:rsid w:val="004D15F7"/>
    <w:rsid w:val="004D2019"/>
    <w:rsid w:val="004D2285"/>
    <w:rsid w:val="004D34A6"/>
    <w:rsid w:val="004D3AA5"/>
    <w:rsid w:val="004D3BA6"/>
    <w:rsid w:val="004D3BB2"/>
    <w:rsid w:val="004D3FE3"/>
    <w:rsid w:val="004D4EC9"/>
    <w:rsid w:val="004D5717"/>
    <w:rsid w:val="004D7B6D"/>
    <w:rsid w:val="004E0844"/>
    <w:rsid w:val="004E0D4C"/>
    <w:rsid w:val="004E0DD4"/>
    <w:rsid w:val="004E0DE5"/>
    <w:rsid w:val="004E169D"/>
    <w:rsid w:val="004E296B"/>
    <w:rsid w:val="004E2D8E"/>
    <w:rsid w:val="004E32BB"/>
    <w:rsid w:val="004E3641"/>
    <w:rsid w:val="004E3BC1"/>
    <w:rsid w:val="004E4B16"/>
    <w:rsid w:val="004E5F8C"/>
    <w:rsid w:val="004E638D"/>
    <w:rsid w:val="004E7CA4"/>
    <w:rsid w:val="004E7F61"/>
    <w:rsid w:val="004F14DA"/>
    <w:rsid w:val="004F1548"/>
    <w:rsid w:val="004F1DAA"/>
    <w:rsid w:val="004F2912"/>
    <w:rsid w:val="004F3039"/>
    <w:rsid w:val="004F3434"/>
    <w:rsid w:val="004F35AC"/>
    <w:rsid w:val="004F376E"/>
    <w:rsid w:val="004F3CAB"/>
    <w:rsid w:val="004F3D65"/>
    <w:rsid w:val="004F4121"/>
    <w:rsid w:val="004F4DD1"/>
    <w:rsid w:val="004F5196"/>
    <w:rsid w:val="004F5477"/>
    <w:rsid w:val="004F55BB"/>
    <w:rsid w:val="004F5D5E"/>
    <w:rsid w:val="004F5DFA"/>
    <w:rsid w:val="004F6A11"/>
    <w:rsid w:val="004F6D80"/>
    <w:rsid w:val="004F700D"/>
    <w:rsid w:val="005000B2"/>
    <w:rsid w:val="005003DC"/>
    <w:rsid w:val="005003FE"/>
    <w:rsid w:val="00500EAD"/>
    <w:rsid w:val="00500F0B"/>
    <w:rsid w:val="00501BB1"/>
    <w:rsid w:val="00501CA6"/>
    <w:rsid w:val="0050206C"/>
    <w:rsid w:val="00502B2D"/>
    <w:rsid w:val="00502BA7"/>
    <w:rsid w:val="005039BD"/>
    <w:rsid w:val="005047F8"/>
    <w:rsid w:val="00505082"/>
    <w:rsid w:val="0050537F"/>
    <w:rsid w:val="0050557C"/>
    <w:rsid w:val="00505BA7"/>
    <w:rsid w:val="00505F1C"/>
    <w:rsid w:val="00505F3C"/>
    <w:rsid w:val="0050615D"/>
    <w:rsid w:val="0050656D"/>
    <w:rsid w:val="005065E8"/>
    <w:rsid w:val="005070AB"/>
    <w:rsid w:val="00507601"/>
    <w:rsid w:val="00507A6E"/>
    <w:rsid w:val="005108AD"/>
    <w:rsid w:val="00511115"/>
    <w:rsid w:val="00511A28"/>
    <w:rsid w:val="00512053"/>
    <w:rsid w:val="00512253"/>
    <w:rsid w:val="00512591"/>
    <w:rsid w:val="005127BB"/>
    <w:rsid w:val="005141E5"/>
    <w:rsid w:val="0051583A"/>
    <w:rsid w:val="00516485"/>
    <w:rsid w:val="005165E3"/>
    <w:rsid w:val="0051699E"/>
    <w:rsid w:val="00516A89"/>
    <w:rsid w:val="00516B2D"/>
    <w:rsid w:val="00516FF1"/>
    <w:rsid w:val="005178EF"/>
    <w:rsid w:val="005203B0"/>
    <w:rsid w:val="00520AE3"/>
    <w:rsid w:val="0052183E"/>
    <w:rsid w:val="00521876"/>
    <w:rsid w:val="00521F0A"/>
    <w:rsid w:val="005226D3"/>
    <w:rsid w:val="0052337C"/>
    <w:rsid w:val="00524524"/>
    <w:rsid w:val="00524983"/>
    <w:rsid w:val="00524FED"/>
    <w:rsid w:val="00525047"/>
    <w:rsid w:val="005253B0"/>
    <w:rsid w:val="00525DC6"/>
    <w:rsid w:val="00527496"/>
    <w:rsid w:val="005275E5"/>
    <w:rsid w:val="0053003F"/>
    <w:rsid w:val="005303AE"/>
    <w:rsid w:val="00530E4A"/>
    <w:rsid w:val="00531251"/>
    <w:rsid w:val="00531491"/>
    <w:rsid w:val="0053160B"/>
    <w:rsid w:val="00531CB6"/>
    <w:rsid w:val="00531D6D"/>
    <w:rsid w:val="0053382C"/>
    <w:rsid w:val="005339A4"/>
    <w:rsid w:val="00533F0B"/>
    <w:rsid w:val="005346EF"/>
    <w:rsid w:val="00534F36"/>
    <w:rsid w:val="0053556E"/>
    <w:rsid w:val="005358D1"/>
    <w:rsid w:val="00535BFC"/>
    <w:rsid w:val="005365EB"/>
    <w:rsid w:val="00537C2D"/>
    <w:rsid w:val="00540A30"/>
    <w:rsid w:val="0054161D"/>
    <w:rsid w:val="00541EC4"/>
    <w:rsid w:val="0054247E"/>
    <w:rsid w:val="00542592"/>
    <w:rsid w:val="005432AB"/>
    <w:rsid w:val="00543427"/>
    <w:rsid w:val="00543676"/>
    <w:rsid w:val="00543B57"/>
    <w:rsid w:val="00543B8C"/>
    <w:rsid w:val="00543D13"/>
    <w:rsid w:val="00544B67"/>
    <w:rsid w:val="00544CE0"/>
    <w:rsid w:val="005452C9"/>
    <w:rsid w:val="00545B86"/>
    <w:rsid w:val="005465E5"/>
    <w:rsid w:val="005469D7"/>
    <w:rsid w:val="0054736F"/>
    <w:rsid w:val="00547373"/>
    <w:rsid w:val="00550C42"/>
    <w:rsid w:val="005513C2"/>
    <w:rsid w:val="0055365A"/>
    <w:rsid w:val="005540F5"/>
    <w:rsid w:val="00554531"/>
    <w:rsid w:val="0055528D"/>
    <w:rsid w:val="00555B27"/>
    <w:rsid w:val="00555E63"/>
    <w:rsid w:val="00555E7E"/>
    <w:rsid w:val="00556CB5"/>
    <w:rsid w:val="00556D65"/>
    <w:rsid w:val="005571F4"/>
    <w:rsid w:val="005610CF"/>
    <w:rsid w:val="0056163A"/>
    <w:rsid w:val="00561D62"/>
    <w:rsid w:val="005621D6"/>
    <w:rsid w:val="00562691"/>
    <w:rsid w:val="00566307"/>
    <w:rsid w:val="005667EB"/>
    <w:rsid w:val="005669D3"/>
    <w:rsid w:val="00566C34"/>
    <w:rsid w:val="00566FA9"/>
    <w:rsid w:val="0056700E"/>
    <w:rsid w:val="00567113"/>
    <w:rsid w:val="0056711E"/>
    <w:rsid w:val="00567980"/>
    <w:rsid w:val="005703CC"/>
    <w:rsid w:val="005706BF"/>
    <w:rsid w:val="005707FA"/>
    <w:rsid w:val="00571206"/>
    <w:rsid w:val="005715D3"/>
    <w:rsid w:val="00571B97"/>
    <w:rsid w:val="00572A17"/>
    <w:rsid w:val="00573042"/>
    <w:rsid w:val="005731CC"/>
    <w:rsid w:val="0057346E"/>
    <w:rsid w:val="00573F11"/>
    <w:rsid w:val="0057583D"/>
    <w:rsid w:val="005758B1"/>
    <w:rsid w:val="00575EE4"/>
    <w:rsid w:val="005768ED"/>
    <w:rsid w:val="00576B82"/>
    <w:rsid w:val="00576E30"/>
    <w:rsid w:val="005775E4"/>
    <w:rsid w:val="00577648"/>
    <w:rsid w:val="00577B09"/>
    <w:rsid w:val="00577D1F"/>
    <w:rsid w:val="00580FD1"/>
    <w:rsid w:val="0058268F"/>
    <w:rsid w:val="00583956"/>
    <w:rsid w:val="00584149"/>
    <w:rsid w:val="005842D0"/>
    <w:rsid w:val="005845EB"/>
    <w:rsid w:val="00585A6E"/>
    <w:rsid w:val="00585BD5"/>
    <w:rsid w:val="0058643E"/>
    <w:rsid w:val="00586ABE"/>
    <w:rsid w:val="00586CA1"/>
    <w:rsid w:val="00586E19"/>
    <w:rsid w:val="0058703B"/>
    <w:rsid w:val="005877D1"/>
    <w:rsid w:val="0059040C"/>
    <w:rsid w:val="005908DF"/>
    <w:rsid w:val="005909BA"/>
    <w:rsid w:val="00590CA9"/>
    <w:rsid w:val="00590CAE"/>
    <w:rsid w:val="0059115F"/>
    <w:rsid w:val="0059119D"/>
    <w:rsid w:val="0059191B"/>
    <w:rsid w:val="0059217E"/>
    <w:rsid w:val="005923A6"/>
    <w:rsid w:val="00592ED5"/>
    <w:rsid w:val="00592ED9"/>
    <w:rsid w:val="005939D4"/>
    <w:rsid w:val="005939ED"/>
    <w:rsid w:val="00593B4C"/>
    <w:rsid w:val="005940B8"/>
    <w:rsid w:val="00594B7E"/>
    <w:rsid w:val="00596690"/>
    <w:rsid w:val="00596808"/>
    <w:rsid w:val="005974E3"/>
    <w:rsid w:val="0059771F"/>
    <w:rsid w:val="005977EC"/>
    <w:rsid w:val="005A0745"/>
    <w:rsid w:val="005A0FB1"/>
    <w:rsid w:val="005A1377"/>
    <w:rsid w:val="005A1937"/>
    <w:rsid w:val="005A1947"/>
    <w:rsid w:val="005A25B3"/>
    <w:rsid w:val="005A2BEA"/>
    <w:rsid w:val="005A2FBE"/>
    <w:rsid w:val="005A3926"/>
    <w:rsid w:val="005A4CDF"/>
    <w:rsid w:val="005A4D7A"/>
    <w:rsid w:val="005A59EF"/>
    <w:rsid w:val="005A639D"/>
    <w:rsid w:val="005A7029"/>
    <w:rsid w:val="005A732D"/>
    <w:rsid w:val="005A7375"/>
    <w:rsid w:val="005A7CB6"/>
    <w:rsid w:val="005B01CF"/>
    <w:rsid w:val="005B0EBA"/>
    <w:rsid w:val="005B1458"/>
    <w:rsid w:val="005B18A3"/>
    <w:rsid w:val="005B20C4"/>
    <w:rsid w:val="005B2A4F"/>
    <w:rsid w:val="005B2B6B"/>
    <w:rsid w:val="005B2D88"/>
    <w:rsid w:val="005B36E5"/>
    <w:rsid w:val="005B3B71"/>
    <w:rsid w:val="005B3D9C"/>
    <w:rsid w:val="005B5060"/>
    <w:rsid w:val="005B5110"/>
    <w:rsid w:val="005B520C"/>
    <w:rsid w:val="005B5DE4"/>
    <w:rsid w:val="005B60A7"/>
    <w:rsid w:val="005B6330"/>
    <w:rsid w:val="005B7026"/>
    <w:rsid w:val="005B73E0"/>
    <w:rsid w:val="005B7981"/>
    <w:rsid w:val="005C049A"/>
    <w:rsid w:val="005C0691"/>
    <w:rsid w:val="005C14BD"/>
    <w:rsid w:val="005C1877"/>
    <w:rsid w:val="005C1DD9"/>
    <w:rsid w:val="005C2194"/>
    <w:rsid w:val="005C3044"/>
    <w:rsid w:val="005C506A"/>
    <w:rsid w:val="005C561E"/>
    <w:rsid w:val="005C5ECD"/>
    <w:rsid w:val="005C5F43"/>
    <w:rsid w:val="005C64AA"/>
    <w:rsid w:val="005C6703"/>
    <w:rsid w:val="005C70BE"/>
    <w:rsid w:val="005C7927"/>
    <w:rsid w:val="005C7DD0"/>
    <w:rsid w:val="005D0BA3"/>
    <w:rsid w:val="005D0CA2"/>
    <w:rsid w:val="005D189C"/>
    <w:rsid w:val="005D19D5"/>
    <w:rsid w:val="005D2123"/>
    <w:rsid w:val="005D39B3"/>
    <w:rsid w:val="005D5611"/>
    <w:rsid w:val="005D715C"/>
    <w:rsid w:val="005D7332"/>
    <w:rsid w:val="005D7481"/>
    <w:rsid w:val="005E16C4"/>
    <w:rsid w:val="005E202F"/>
    <w:rsid w:val="005E22B4"/>
    <w:rsid w:val="005E28C0"/>
    <w:rsid w:val="005E349F"/>
    <w:rsid w:val="005E3642"/>
    <w:rsid w:val="005E45D7"/>
    <w:rsid w:val="005E4A7B"/>
    <w:rsid w:val="005E53AF"/>
    <w:rsid w:val="005E58F9"/>
    <w:rsid w:val="005E5E03"/>
    <w:rsid w:val="005E6478"/>
    <w:rsid w:val="005E66AC"/>
    <w:rsid w:val="005E7517"/>
    <w:rsid w:val="005E7B5A"/>
    <w:rsid w:val="005F09D6"/>
    <w:rsid w:val="005F1348"/>
    <w:rsid w:val="005F1A96"/>
    <w:rsid w:val="005F2B5D"/>
    <w:rsid w:val="005F37C1"/>
    <w:rsid w:val="005F38E3"/>
    <w:rsid w:val="005F4538"/>
    <w:rsid w:val="005F4CAE"/>
    <w:rsid w:val="005F4E33"/>
    <w:rsid w:val="005F4EFE"/>
    <w:rsid w:val="005F5179"/>
    <w:rsid w:val="005F5318"/>
    <w:rsid w:val="005F55E1"/>
    <w:rsid w:val="005F5974"/>
    <w:rsid w:val="005F7028"/>
    <w:rsid w:val="005F715E"/>
    <w:rsid w:val="005F7C5A"/>
    <w:rsid w:val="006017DA"/>
    <w:rsid w:val="00601B0E"/>
    <w:rsid w:val="00602D77"/>
    <w:rsid w:val="00603B58"/>
    <w:rsid w:val="0060501C"/>
    <w:rsid w:val="0060548E"/>
    <w:rsid w:val="00605ED0"/>
    <w:rsid w:val="00606084"/>
    <w:rsid w:val="00607101"/>
    <w:rsid w:val="006105E8"/>
    <w:rsid w:val="00611A1F"/>
    <w:rsid w:val="006128AF"/>
    <w:rsid w:val="00613B7F"/>
    <w:rsid w:val="006141B0"/>
    <w:rsid w:val="006145E6"/>
    <w:rsid w:val="006158B3"/>
    <w:rsid w:val="00615BC6"/>
    <w:rsid w:val="00620197"/>
    <w:rsid w:val="00620519"/>
    <w:rsid w:val="006206E8"/>
    <w:rsid w:val="00620E61"/>
    <w:rsid w:val="006213D7"/>
    <w:rsid w:val="00622098"/>
    <w:rsid w:val="00622574"/>
    <w:rsid w:val="006230B9"/>
    <w:rsid w:val="00623E41"/>
    <w:rsid w:val="00623FC1"/>
    <w:rsid w:val="00625EAE"/>
    <w:rsid w:val="00626156"/>
    <w:rsid w:val="00626A2F"/>
    <w:rsid w:val="006275F3"/>
    <w:rsid w:val="0063012A"/>
    <w:rsid w:val="0063146B"/>
    <w:rsid w:val="00631501"/>
    <w:rsid w:val="00631636"/>
    <w:rsid w:val="00631694"/>
    <w:rsid w:val="00631A64"/>
    <w:rsid w:val="00631CA5"/>
    <w:rsid w:val="006321E9"/>
    <w:rsid w:val="006328D8"/>
    <w:rsid w:val="00633579"/>
    <w:rsid w:val="00633F55"/>
    <w:rsid w:val="006341EB"/>
    <w:rsid w:val="00634A38"/>
    <w:rsid w:val="00634F2C"/>
    <w:rsid w:val="006353B1"/>
    <w:rsid w:val="00635982"/>
    <w:rsid w:val="00636C46"/>
    <w:rsid w:val="00637111"/>
    <w:rsid w:val="00637114"/>
    <w:rsid w:val="00637D80"/>
    <w:rsid w:val="006400A7"/>
    <w:rsid w:val="00640110"/>
    <w:rsid w:val="00640D85"/>
    <w:rsid w:val="006413F0"/>
    <w:rsid w:val="006438AE"/>
    <w:rsid w:val="00643DE1"/>
    <w:rsid w:val="00643FBF"/>
    <w:rsid w:val="00645D3D"/>
    <w:rsid w:val="006460C4"/>
    <w:rsid w:val="00647CED"/>
    <w:rsid w:val="00647F9D"/>
    <w:rsid w:val="00652D35"/>
    <w:rsid w:val="00653691"/>
    <w:rsid w:val="00653CB3"/>
    <w:rsid w:val="00653F49"/>
    <w:rsid w:val="00653FFF"/>
    <w:rsid w:val="00654476"/>
    <w:rsid w:val="006547BF"/>
    <w:rsid w:val="00654DC2"/>
    <w:rsid w:val="006557FE"/>
    <w:rsid w:val="00655878"/>
    <w:rsid w:val="00655B4F"/>
    <w:rsid w:val="00655D9A"/>
    <w:rsid w:val="00656343"/>
    <w:rsid w:val="006565D4"/>
    <w:rsid w:val="00657975"/>
    <w:rsid w:val="00657C0B"/>
    <w:rsid w:val="00657E2A"/>
    <w:rsid w:val="0066006F"/>
    <w:rsid w:val="0066066A"/>
    <w:rsid w:val="006607D5"/>
    <w:rsid w:val="006608FA"/>
    <w:rsid w:val="00660942"/>
    <w:rsid w:val="00660A6F"/>
    <w:rsid w:val="00660CAA"/>
    <w:rsid w:val="00661163"/>
    <w:rsid w:val="006612DB"/>
    <w:rsid w:val="00663001"/>
    <w:rsid w:val="00663358"/>
    <w:rsid w:val="006639DE"/>
    <w:rsid w:val="00663EDE"/>
    <w:rsid w:val="0066407B"/>
    <w:rsid w:val="00665F40"/>
    <w:rsid w:val="0066641B"/>
    <w:rsid w:val="00666BED"/>
    <w:rsid w:val="006674E2"/>
    <w:rsid w:val="00667A68"/>
    <w:rsid w:val="00670682"/>
    <w:rsid w:val="006715E7"/>
    <w:rsid w:val="00672EB6"/>
    <w:rsid w:val="006730C4"/>
    <w:rsid w:val="00673244"/>
    <w:rsid w:val="0067342B"/>
    <w:rsid w:val="00674AEF"/>
    <w:rsid w:val="006752A2"/>
    <w:rsid w:val="006769D2"/>
    <w:rsid w:val="00676D2A"/>
    <w:rsid w:val="00677641"/>
    <w:rsid w:val="00677C50"/>
    <w:rsid w:val="00680771"/>
    <w:rsid w:val="00680F65"/>
    <w:rsid w:val="006816E6"/>
    <w:rsid w:val="00682B16"/>
    <w:rsid w:val="00682FE7"/>
    <w:rsid w:val="00683237"/>
    <w:rsid w:val="006839F9"/>
    <w:rsid w:val="00683B4F"/>
    <w:rsid w:val="00683E80"/>
    <w:rsid w:val="00685510"/>
    <w:rsid w:val="00685530"/>
    <w:rsid w:val="00685782"/>
    <w:rsid w:val="00685CEB"/>
    <w:rsid w:val="00685D13"/>
    <w:rsid w:val="00685E96"/>
    <w:rsid w:val="00685F91"/>
    <w:rsid w:val="00686264"/>
    <w:rsid w:val="00686377"/>
    <w:rsid w:val="00686839"/>
    <w:rsid w:val="0069016D"/>
    <w:rsid w:val="00690FE3"/>
    <w:rsid w:val="006911B7"/>
    <w:rsid w:val="006913B0"/>
    <w:rsid w:val="006914CC"/>
    <w:rsid w:val="0069153B"/>
    <w:rsid w:val="006919D0"/>
    <w:rsid w:val="00691ACC"/>
    <w:rsid w:val="00693343"/>
    <w:rsid w:val="00693504"/>
    <w:rsid w:val="006935FB"/>
    <w:rsid w:val="00693BE9"/>
    <w:rsid w:val="00693FF2"/>
    <w:rsid w:val="006948C7"/>
    <w:rsid w:val="00694C2F"/>
    <w:rsid w:val="00694E31"/>
    <w:rsid w:val="00695080"/>
    <w:rsid w:val="00695BD5"/>
    <w:rsid w:val="00696B2C"/>
    <w:rsid w:val="006976AB"/>
    <w:rsid w:val="006A0604"/>
    <w:rsid w:val="006A0BCA"/>
    <w:rsid w:val="006A10B8"/>
    <w:rsid w:val="006A10F4"/>
    <w:rsid w:val="006A18D4"/>
    <w:rsid w:val="006A2061"/>
    <w:rsid w:val="006A211F"/>
    <w:rsid w:val="006A26BD"/>
    <w:rsid w:val="006A2A86"/>
    <w:rsid w:val="006A2EB1"/>
    <w:rsid w:val="006A35CF"/>
    <w:rsid w:val="006A3E83"/>
    <w:rsid w:val="006A4346"/>
    <w:rsid w:val="006A4FA0"/>
    <w:rsid w:val="006A5987"/>
    <w:rsid w:val="006A62B3"/>
    <w:rsid w:val="006A726A"/>
    <w:rsid w:val="006A782D"/>
    <w:rsid w:val="006A7BA7"/>
    <w:rsid w:val="006A7E15"/>
    <w:rsid w:val="006B084F"/>
    <w:rsid w:val="006B0E85"/>
    <w:rsid w:val="006B1619"/>
    <w:rsid w:val="006B1AF6"/>
    <w:rsid w:val="006B2029"/>
    <w:rsid w:val="006B207F"/>
    <w:rsid w:val="006B230A"/>
    <w:rsid w:val="006B2353"/>
    <w:rsid w:val="006B51AA"/>
    <w:rsid w:val="006B56F4"/>
    <w:rsid w:val="006B632D"/>
    <w:rsid w:val="006B653D"/>
    <w:rsid w:val="006B7041"/>
    <w:rsid w:val="006B7604"/>
    <w:rsid w:val="006C0F27"/>
    <w:rsid w:val="006C19A0"/>
    <w:rsid w:val="006C290D"/>
    <w:rsid w:val="006C3132"/>
    <w:rsid w:val="006C394F"/>
    <w:rsid w:val="006C3BF7"/>
    <w:rsid w:val="006C3E03"/>
    <w:rsid w:val="006C5581"/>
    <w:rsid w:val="006C7A36"/>
    <w:rsid w:val="006D0017"/>
    <w:rsid w:val="006D0528"/>
    <w:rsid w:val="006D078D"/>
    <w:rsid w:val="006D0AB0"/>
    <w:rsid w:val="006D1272"/>
    <w:rsid w:val="006D1D33"/>
    <w:rsid w:val="006D1F47"/>
    <w:rsid w:val="006D24AF"/>
    <w:rsid w:val="006D269B"/>
    <w:rsid w:val="006D2E75"/>
    <w:rsid w:val="006D2F1B"/>
    <w:rsid w:val="006D40F5"/>
    <w:rsid w:val="006D4930"/>
    <w:rsid w:val="006D4959"/>
    <w:rsid w:val="006D4B65"/>
    <w:rsid w:val="006D4EF6"/>
    <w:rsid w:val="006D55F1"/>
    <w:rsid w:val="006D5D3A"/>
    <w:rsid w:val="006D68C2"/>
    <w:rsid w:val="006D6FE8"/>
    <w:rsid w:val="006E0709"/>
    <w:rsid w:val="006E0ACF"/>
    <w:rsid w:val="006E120E"/>
    <w:rsid w:val="006E141E"/>
    <w:rsid w:val="006E1F9D"/>
    <w:rsid w:val="006E206E"/>
    <w:rsid w:val="006E29BB"/>
    <w:rsid w:val="006E3B2F"/>
    <w:rsid w:val="006E3EF2"/>
    <w:rsid w:val="006E478C"/>
    <w:rsid w:val="006E4951"/>
    <w:rsid w:val="006E5880"/>
    <w:rsid w:val="006E6D5C"/>
    <w:rsid w:val="006E7557"/>
    <w:rsid w:val="006F030F"/>
    <w:rsid w:val="006F0363"/>
    <w:rsid w:val="006F10D8"/>
    <w:rsid w:val="006F188C"/>
    <w:rsid w:val="006F2EC7"/>
    <w:rsid w:val="006F2FB7"/>
    <w:rsid w:val="006F57D4"/>
    <w:rsid w:val="006F5D12"/>
    <w:rsid w:val="006F5DFD"/>
    <w:rsid w:val="006F5E5D"/>
    <w:rsid w:val="006F5FFA"/>
    <w:rsid w:val="006F6013"/>
    <w:rsid w:val="006F63E9"/>
    <w:rsid w:val="006F6722"/>
    <w:rsid w:val="006F68CD"/>
    <w:rsid w:val="006F7C84"/>
    <w:rsid w:val="00701200"/>
    <w:rsid w:val="0070127B"/>
    <w:rsid w:val="007017B4"/>
    <w:rsid w:val="0070199F"/>
    <w:rsid w:val="0070216E"/>
    <w:rsid w:val="007023DF"/>
    <w:rsid w:val="00702677"/>
    <w:rsid w:val="00703497"/>
    <w:rsid w:val="00703E44"/>
    <w:rsid w:val="007055FA"/>
    <w:rsid w:val="007066E4"/>
    <w:rsid w:val="0070687F"/>
    <w:rsid w:val="007068C8"/>
    <w:rsid w:val="00706B66"/>
    <w:rsid w:val="00707403"/>
    <w:rsid w:val="00707FEB"/>
    <w:rsid w:val="007104E5"/>
    <w:rsid w:val="00710DFE"/>
    <w:rsid w:val="007112E5"/>
    <w:rsid w:val="007115F4"/>
    <w:rsid w:val="00711D96"/>
    <w:rsid w:val="00712A81"/>
    <w:rsid w:val="00712CFD"/>
    <w:rsid w:val="007133CF"/>
    <w:rsid w:val="007136A3"/>
    <w:rsid w:val="00713881"/>
    <w:rsid w:val="00715D37"/>
    <w:rsid w:val="00715ED7"/>
    <w:rsid w:val="00716488"/>
    <w:rsid w:val="00716664"/>
    <w:rsid w:val="0071695D"/>
    <w:rsid w:val="00716F94"/>
    <w:rsid w:val="00717286"/>
    <w:rsid w:val="00717C14"/>
    <w:rsid w:val="0072134A"/>
    <w:rsid w:val="007214A8"/>
    <w:rsid w:val="007219EA"/>
    <w:rsid w:val="0072229B"/>
    <w:rsid w:val="007224E2"/>
    <w:rsid w:val="00723175"/>
    <w:rsid w:val="0072361A"/>
    <w:rsid w:val="00723910"/>
    <w:rsid w:val="0072496B"/>
    <w:rsid w:val="00725523"/>
    <w:rsid w:val="00725708"/>
    <w:rsid w:val="00726037"/>
    <w:rsid w:val="00726065"/>
    <w:rsid w:val="007262E4"/>
    <w:rsid w:val="007265D9"/>
    <w:rsid w:val="00726B89"/>
    <w:rsid w:val="0072704A"/>
    <w:rsid w:val="00727432"/>
    <w:rsid w:val="00727704"/>
    <w:rsid w:val="00727B03"/>
    <w:rsid w:val="00730135"/>
    <w:rsid w:val="0073065A"/>
    <w:rsid w:val="007323AF"/>
    <w:rsid w:val="00732687"/>
    <w:rsid w:val="00732713"/>
    <w:rsid w:val="007328EB"/>
    <w:rsid w:val="00733BC4"/>
    <w:rsid w:val="00734041"/>
    <w:rsid w:val="00734B5B"/>
    <w:rsid w:val="00735000"/>
    <w:rsid w:val="0073583B"/>
    <w:rsid w:val="00735DA3"/>
    <w:rsid w:val="0073604A"/>
    <w:rsid w:val="007360F8"/>
    <w:rsid w:val="0073751C"/>
    <w:rsid w:val="00740103"/>
    <w:rsid w:val="00740C89"/>
    <w:rsid w:val="0074118D"/>
    <w:rsid w:val="0074204D"/>
    <w:rsid w:val="00742DFD"/>
    <w:rsid w:val="0074320E"/>
    <w:rsid w:val="007439A3"/>
    <w:rsid w:val="00743A23"/>
    <w:rsid w:val="0074409F"/>
    <w:rsid w:val="007453F2"/>
    <w:rsid w:val="00746E11"/>
    <w:rsid w:val="00747136"/>
    <w:rsid w:val="007501AE"/>
    <w:rsid w:val="007508FD"/>
    <w:rsid w:val="0075166A"/>
    <w:rsid w:val="007526E3"/>
    <w:rsid w:val="00752C9D"/>
    <w:rsid w:val="0075308A"/>
    <w:rsid w:val="00753854"/>
    <w:rsid w:val="00753A9E"/>
    <w:rsid w:val="0075425F"/>
    <w:rsid w:val="00754386"/>
    <w:rsid w:val="0075476D"/>
    <w:rsid w:val="007556B6"/>
    <w:rsid w:val="00755ADC"/>
    <w:rsid w:val="0075643B"/>
    <w:rsid w:val="007569DC"/>
    <w:rsid w:val="00756C16"/>
    <w:rsid w:val="00757982"/>
    <w:rsid w:val="00761BB3"/>
    <w:rsid w:val="00761BDC"/>
    <w:rsid w:val="007620CC"/>
    <w:rsid w:val="0076461E"/>
    <w:rsid w:val="00764744"/>
    <w:rsid w:val="00765C0D"/>
    <w:rsid w:val="00766222"/>
    <w:rsid w:val="00767123"/>
    <w:rsid w:val="007677D7"/>
    <w:rsid w:val="00767BDB"/>
    <w:rsid w:val="00767DD8"/>
    <w:rsid w:val="007701EF"/>
    <w:rsid w:val="007708C0"/>
    <w:rsid w:val="00770C3D"/>
    <w:rsid w:val="00770C6D"/>
    <w:rsid w:val="00770D18"/>
    <w:rsid w:val="00771020"/>
    <w:rsid w:val="007722CD"/>
    <w:rsid w:val="00773D0F"/>
    <w:rsid w:val="00773E4F"/>
    <w:rsid w:val="00774897"/>
    <w:rsid w:val="00774DD2"/>
    <w:rsid w:val="00775D61"/>
    <w:rsid w:val="00775E97"/>
    <w:rsid w:val="00776721"/>
    <w:rsid w:val="00777115"/>
    <w:rsid w:val="007776D8"/>
    <w:rsid w:val="007778A7"/>
    <w:rsid w:val="00777C2A"/>
    <w:rsid w:val="00777DA9"/>
    <w:rsid w:val="00780E12"/>
    <w:rsid w:val="00781225"/>
    <w:rsid w:val="00782166"/>
    <w:rsid w:val="00782BAC"/>
    <w:rsid w:val="00782F22"/>
    <w:rsid w:val="00782FB1"/>
    <w:rsid w:val="00783A9A"/>
    <w:rsid w:val="0078404E"/>
    <w:rsid w:val="00784956"/>
    <w:rsid w:val="00784BFF"/>
    <w:rsid w:val="00784E31"/>
    <w:rsid w:val="007859FA"/>
    <w:rsid w:val="00786CB1"/>
    <w:rsid w:val="00790340"/>
    <w:rsid w:val="00790B29"/>
    <w:rsid w:val="0079130C"/>
    <w:rsid w:val="007919E4"/>
    <w:rsid w:val="00791B12"/>
    <w:rsid w:val="00793592"/>
    <w:rsid w:val="0079474B"/>
    <w:rsid w:val="00794C4E"/>
    <w:rsid w:val="007958A0"/>
    <w:rsid w:val="00795F3D"/>
    <w:rsid w:val="00796608"/>
    <w:rsid w:val="007967F4"/>
    <w:rsid w:val="00796C8C"/>
    <w:rsid w:val="00797511"/>
    <w:rsid w:val="00797AE4"/>
    <w:rsid w:val="00797D64"/>
    <w:rsid w:val="007A0EB7"/>
    <w:rsid w:val="007A2106"/>
    <w:rsid w:val="007A52FA"/>
    <w:rsid w:val="007A57C3"/>
    <w:rsid w:val="007A5C94"/>
    <w:rsid w:val="007A68F6"/>
    <w:rsid w:val="007A6EDD"/>
    <w:rsid w:val="007A700C"/>
    <w:rsid w:val="007A7D7C"/>
    <w:rsid w:val="007B04A6"/>
    <w:rsid w:val="007B0756"/>
    <w:rsid w:val="007B179B"/>
    <w:rsid w:val="007B1A99"/>
    <w:rsid w:val="007B1B6F"/>
    <w:rsid w:val="007B22B0"/>
    <w:rsid w:val="007B26B8"/>
    <w:rsid w:val="007B347E"/>
    <w:rsid w:val="007B368E"/>
    <w:rsid w:val="007B3BDC"/>
    <w:rsid w:val="007B402D"/>
    <w:rsid w:val="007B4116"/>
    <w:rsid w:val="007B4CD8"/>
    <w:rsid w:val="007B65EB"/>
    <w:rsid w:val="007B6855"/>
    <w:rsid w:val="007B690A"/>
    <w:rsid w:val="007B6B7F"/>
    <w:rsid w:val="007B6BC3"/>
    <w:rsid w:val="007B77EF"/>
    <w:rsid w:val="007B7FAB"/>
    <w:rsid w:val="007C0777"/>
    <w:rsid w:val="007C24A5"/>
    <w:rsid w:val="007C2F63"/>
    <w:rsid w:val="007C35AF"/>
    <w:rsid w:val="007C3DD0"/>
    <w:rsid w:val="007C411D"/>
    <w:rsid w:val="007C4250"/>
    <w:rsid w:val="007C5B51"/>
    <w:rsid w:val="007C6029"/>
    <w:rsid w:val="007C6F3A"/>
    <w:rsid w:val="007C79B5"/>
    <w:rsid w:val="007D09A3"/>
    <w:rsid w:val="007D193F"/>
    <w:rsid w:val="007D1CAD"/>
    <w:rsid w:val="007D2270"/>
    <w:rsid w:val="007D33B7"/>
    <w:rsid w:val="007D387B"/>
    <w:rsid w:val="007D3AC0"/>
    <w:rsid w:val="007D3EFB"/>
    <w:rsid w:val="007D4C05"/>
    <w:rsid w:val="007D4E01"/>
    <w:rsid w:val="007D510A"/>
    <w:rsid w:val="007D5A59"/>
    <w:rsid w:val="007D5AAC"/>
    <w:rsid w:val="007D5F83"/>
    <w:rsid w:val="007D6A8D"/>
    <w:rsid w:val="007D7308"/>
    <w:rsid w:val="007D7513"/>
    <w:rsid w:val="007E032A"/>
    <w:rsid w:val="007E052A"/>
    <w:rsid w:val="007E0DBA"/>
    <w:rsid w:val="007E1B37"/>
    <w:rsid w:val="007E263D"/>
    <w:rsid w:val="007E296B"/>
    <w:rsid w:val="007E36F4"/>
    <w:rsid w:val="007E452E"/>
    <w:rsid w:val="007E47D4"/>
    <w:rsid w:val="007E499C"/>
    <w:rsid w:val="007E4D29"/>
    <w:rsid w:val="007E52AD"/>
    <w:rsid w:val="007E5807"/>
    <w:rsid w:val="007E5ED5"/>
    <w:rsid w:val="007E667B"/>
    <w:rsid w:val="007E698E"/>
    <w:rsid w:val="007E711A"/>
    <w:rsid w:val="007E7794"/>
    <w:rsid w:val="007F011B"/>
    <w:rsid w:val="007F01EC"/>
    <w:rsid w:val="007F02DA"/>
    <w:rsid w:val="007F03D6"/>
    <w:rsid w:val="007F0759"/>
    <w:rsid w:val="007F094C"/>
    <w:rsid w:val="007F0CF4"/>
    <w:rsid w:val="007F10F1"/>
    <w:rsid w:val="007F1830"/>
    <w:rsid w:val="007F24CE"/>
    <w:rsid w:val="007F2F10"/>
    <w:rsid w:val="007F33B5"/>
    <w:rsid w:val="007F42F5"/>
    <w:rsid w:val="007F5482"/>
    <w:rsid w:val="007F5A71"/>
    <w:rsid w:val="007F61F5"/>
    <w:rsid w:val="007F64EB"/>
    <w:rsid w:val="007F6574"/>
    <w:rsid w:val="007F6AAD"/>
    <w:rsid w:val="007F6C02"/>
    <w:rsid w:val="007F7883"/>
    <w:rsid w:val="00800461"/>
    <w:rsid w:val="008005F9"/>
    <w:rsid w:val="00800ABA"/>
    <w:rsid w:val="00800EE1"/>
    <w:rsid w:val="00801461"/>
    <w:rsid w:val="008016E1"/>
    <w:rsid w:val="0080177D"/>
    <w:rsid w:val="00802AD7"/>
    <w:rsid w:val="00802E22"/>
    <w:rsid w:val="0080336F"/>
    <w:rsid w:val="008036CF"/>
    <w:rsid w:val="00804567"/>
    <w:rsid w:val="008045A0"/>
    <w:rsid w:val="00804BD9"/>
    <w:rsid w:val="008059FA"/>
    <w:rsid w:val="00805E0C"/>
    <w:rsid w:val="00805E95"/>
    <w:rsid w:val="008064BE"/>
    <w:rsid w:val="0080672F"/>
    <w:rsid w:val="00806B6A"/>
    <w:rsid w:val="00807887"/>
    <w:rsid w:val="00807D04"/>
    <w:rsid w:val="008119A2"/>
    <w:rsid w:val="0081273E"/>
    <w:rsid w:val="00812E97"/>
    <w:rsid w:val="008135C1"/>
    <w:rsid w:val="00813DE2"/>
    <w:rsid w:val="00814990"/>
    <w:rsid w:val="00814AA7"/>
    <w:rsid w:val="00814B12"/>
    <w:rsid w:val="00814C2B"/>
    <w:rsid w:val="00814CCF"/>
    <w:rsid w:val="00817994"/>
    <w:rsid w:val="00817C0F"/>
    <w:rsid w:val="00817FD7"/>
    <w:rsid w:val="0082009C"/>
    <w:rsid w:val="00820563"/>
    <w:rsid w:val="0082068D"/>
    <w:rsid w:val="00820C3A"/>
    <w:rsid w:val="00821255"/>
    <w:rsid w:val="00822798"/>
    <w:rsid w:val="008236F5"/>
    <w:rsid w:val="00824126"/>
    <w:rsid w:val="008251F0"/>
    <w:rsid w:val="0082525B"/>
    <w:rsid w:val="008255E3"/>
    <w:rsid w:val="008259AB"/>
    <w:rsid w:val="00826630"/>
    <w:rsid w:val="008274B8"/>
    <w:rsid w:val="00827B8B"/>
    <w:rsid w:val="008306B4"/>
    <w:rsid w:val="00830C00"/>
    <w:rsid w:val="00830C9D"/>
    <w:rsid w:val="00830E2D"/>
    <w:rsid w:val="0083123F"/>
    <w:rsid w:val="008326E2"/>
    <w:rsid w:val="008328FB"/>
    <w:rsid w:val="00832A64"/>
    <w:rsid w:val="00832BD1"/>
    <w:rsid w:val="00832CF2"/>
    <w:rsid w:val="0083369E"/>
    <w:rsid w:val="008338E5"/>
    <w:rsid w:val="00835215"/>
    <w:rsid w:val="00835525"/>
    <w:rsid w:val="00835690"/>
    <w:rsid w:val="00835A8F"/>
    <w:rsid w:val="00836525"/>
    <w:rsid w:val="0084065C"/>
    <w:rsid w:val="008407AC"/>
    <w:rsid w:val="00840E26"/>
    <w:rsid w:val="00841119"/>
    <w:rsid w:val="008414C5"/>
    <w:rsid w:val="00841E2E"/>
    <w:rsid w:val="00842808"/>
    <w:rsid w:val="0084289A"/>
    <w:rsid w:val="00843283"/>
    <w:rsid w:val="00843418"/>
    <w:rsid w:val="0084412B"/>
    <w:rsid w:val="008446E3"/>
    <w:rsid w:val="008449C6"/>
    <w:rsid w:val="00844C01"/>
    <w:rsid w:val="008451A2"/>
    <w:rsid w:val="00845693"/>
    <w:rsid w:val="00845777"/>
    <w:rsid w:val="0084592D"/>
    <w:rsid w:val="0084787F"/>
    <w:rsid w:val="00850B71"/>
    <w:rsid w:val="00850EED"/>
    <w:rsid w:val="00851507"/>
    <w:rsid w:val="008516A2"/>
    <w:rsid w:val="0085190E"/>
    <w:rsid w:val="008521BE"/>
    <w:rsid w:val="008533C9"/>
    <w:rsid w:val="00853CD0"/>
    <w:rsid w:val="008541FC"/>
    <w:rsid w:val="0085433A"/>
    <w:rsid w:val="008558BD"/>
    <w:rsid w:val="008559F8"/>
    <w:rsid w:val="00856931"/>
    <w:rsid w:val="00856BBB"/>
    <w:rsid w:val="00856FC8"/>
    <w:rsid w:val="00857399"/>
    <w:rsid w:val="008601B8"/>
    <w:rsid w:val="00860A1A"/>
    <w:rsid w:val="00860CD9"/>
    <w:rsid w:val="00860CF3"/>
    <w:rsid w:val="00860D76"/>
    <w:rsid w:val="00862F68"/>
    <w:rsid w:val="00863042"/>
    <w:rsid w:val="00863213"/>
    <w:rsid w:val="00863376"/>
    <w:rsid w:val="008641AB"/>
    <w:rsid w:val="008642A7"/>
    <w:rsid w:val="0086480E"/>
    <w:rsid w:val="00864AA5"/>
    <w:rsid w:val="00864CC4"/>
    <w:rsid w:val="00865A97"/>
    <w:rsid w:val="008668F9"/>
    <w:rsid w:val="0086719D"/>
    <w:rsid w:val="00867516"/>
    <w:rsid w:val="00867F6D"/>
    <w:rsid w:val="0087062D"/>
    <w:rsid w:val="00870899"/>
    <w:rsid w:val="008709C0"/>
    <w:rsid w:val="008726BD"/>
    <w:rsid w:val="00872C71"/>
    <w:rsid w:val="00872FDF"/>
    <w:rsid w:val="00872FEF"/>
    <w:rsid w:val="0087302B"/>
    <w:rsid w:val="008730EB"/>
    <w:rsid w:val="008735B0"/>
    <w:rsid w:val="00873973"/>
    <w:rsid w:val="00873C78"/>
    <w:rsid w:val="00873F24"/>
    <w:rsid w:val="00874080"/>
    <w:rsid w:val="00874416"/>
    <w:rsid w:val="008748BF"/>
    <w:rsid w:val="0087493A"/>
    <w:rsid w:val="00875A9E"/>
    <w:rsid w:val="00876944"/>
    <w:rsid w:val="00876C22"/>
    <w:rsid w:val="00876CE4"/>
    <w:rsid w:val="00876F68"/>
    <w:rsid w:val="00877D51"/>
    <w:rsid w:val="00877E03"/>
    <w:rsid w:val="00877F8F"/>
    <w:rsid w:val="008805B5"/>
    <w:rsid w:val="0088065E"/>
    <w:rsid w:val="0088066D"/>
    <w:rsid w:val="00881024"/>
    <w:rsid w:val="00882133"/>
    <w:rsid w:val="00882750"/>
    <w:rsid w:val="00883ABC"/>
    <w:rsid w:val="008849DC"/>
    <w:rsid w:val="00885693"/>
    <w:rsid w:val="00885AB5"/>
    <w:rsid w:val="00885CC2"/>
    <w:rsid w:val="008864B4"/>
    <w:rsid w:val="008866F1"/>
    <w:rsid w:val="008879C9"/>
    <w:rsid w:val="00890642"/>
    <w:rsid w:val="00890885"/>
    <w:rsid w:val="00891149"/>
    <w:rsid w:val="008916B9"/>
    <w:rsid w:val="0089196E"/>
    <w:rsid w:val="00891A12"/>
    <w:rsid w:val="00892254"/>
    <w:rsid w:val="00892269"/>
    <w:rsid w:val="008927AA"/>
    <w:rsid w:val="0089284B"/>
    <w:rsid w:val="0089323A"/>
    <w:rsid w:val="00893857"/>
    <w:rsid w:val="0089568D"/>
    <w:rsid w:val="008959B4"/>
    <w:rsid w:val="00895D77"/>
    <w:rsid w:val="008961CB"/>
    <w:rsid w:val="0089642C"/>
    <w:rsid w:val="00896AE9"/>
    <w:rsid w:val="0089745B"/>
    <w:rsid w:val="00897E3D"/>
    <w:rsid w:val="00897EA9"/>
    <w:rsid w:val="008A00B9"/>
    <w:rsid w:val="008A08CE"/>
    <w:rsid w:val="008A090D"/>
    <w:rsid w:val="008A0B58"/>
    <w:rsid w:val="008A0E4F"/>
    <w:rsid w:val="008A0F77"/>
    <w:rsid w:val="008A10D0"/>
    <w:rsid w:val="008A2204"/>
    <w:rsid w:val="008A2A79"/>
    <w:rsid w:val="008A31ED"/>
    <w:rsid w:val="008A3CED"/>
    <w:rsid w:val="008A4342"/>
    <w:rsid w:val="008A4641"/>
    <w:rsid w:val="008A5A87"/>
    <w:rsid w:val="008A5AD8"/>
    <w:rsid w:val="008A61EC"/>
    <w:rsid w:val="008A67A9"/>
    <w:rsid w:val="008A68A3"/>
    <w:rsid w:val="008A6D6C"/>
    <w:rsid w:val="008A6DC6"/>
    <w:rsid w:val="008A6EC3"/>
    <w:rsid w:val="008A6FFF"/>
    <w:rsid w:val="008A727E"/>
    <w:rsid w:val="008A7368"/>
    <w:rsid w:val="008A7863"/>
    <w:rsid w:val="008A7B15"/>
    <w:rsid w:val="008A7E75"/>
    <w:rsid w:val="008B09F2"/>
    <w:rsid w:val="008B0AA6"/>
    <w:rsid w:val="008B0DEA"/>
    <w:rsid w:val="008B13DF"/>
    <w:rsid w:val="008B15CD"/>
    <w:rsid w:val="008B1A25"/>
    <w:rsid w:val="008B38FB"/>
    <w:rsid w:val="008B3E52"/>
    <w:rsid w:val="008B404B"/>
    <w:rsid w:val="008B4D54"/>
    <w:rsid w:val="008B4D67"/>
    <w:rsid w:val="008B4DEB"/>
    <w:rsid w:val="008B5057"/>
    <w:rsid w:val="008B547F"/>
    <w:rsid w:val="008B5490"/>
    <w:rsid w:val="008B5A62"/>
    <w:rsid w:val="008B608E"/>
    <w:rsid w:val="008B6762"/>
    <w:rsid w:val="008B6AA2"/>
    <w:rsid w:val="008B7D40"/>
    <w:rsid w:val="008C0004"/>
    <w:rsid w:val="008C0EB6"/>
    <w:rsid w:val="008C1171"/>
    <w:rsid w:val="008C1359"/>
    <w:rsid w:val="008C15CC"/>
    <w:rsid w:val="008C1936"/>
    <w:rsid w:val="008C2577"/>
    <w:rsid w:val="008C25FF"/>
    <w:rsid w:val="008C2708"/>
    <w:rsid w:val="008C2747"/>
    <w:rsid w:val="008C2814"/>
    <w:rsid w:val="008C306B"/>
    <w:rsid w:val="008C32A9"/>
    <w:rsid w:val="008C3BF5"/>
    <w:rsid w:val="008C3D35"/>
    <w:rsid w:val="008C3DB7"/>
    <w:rsid w:val="008C6B7D"/>
    <w:rsid w:val="008C6C7E"/>
    <w:rsid w:val="008C6DB5"/>
    <w:rsid w:val="008C74F2"/>
    <w:rsid w:val="008C7AD5"/>
    <w:rsid w:val="008D0578"/>
    <w:rsid w:val="008D05C1"/>
    <w:rsid w:val="008D0872"/>
    <w:rsid w:val="008D0C1E"/>
    <w:rsid w:val="008D0E79"/>
    <w:rsid w:val="008D14DB"/>
    <w:rsid w:val="008D2959"/>
    <w:rsid w:val="008D2D93"/>
    <w:rsid w:val="008D315F"/>
    <w:rsid w:val="008D35CD"/>
    <w:rsid w:val="008D36B2"/>
    <w:rsid w:val="008D41CD"/>
    <w:rsid w:val="008D52EE"/>
    <w:rsid w:val="008D5E07"/>
    <w:rsid w:val="008D6450"/>
    <w:rsid w:val="008D6A57"/>
    <w:rsid w:val="008D6D7E"/>
    <w:rsid w:val="008D700E"/>
    <w:rsid w:val="008D708B"/>
    <w:rsid w:val="008D7B5A"/>
    <w:rsid w:val="008D7CA0"/>
    <w:rsid w:val="008E0254"/>
    <w:rsid w:val="008E038B"/>
    <w:rsid w:val="008E0B76"/>
    <w:rsid w:val="008E181B"/>
    <w:rsid w:val="008E2D6B"/>
    <w:rsid w:val="008E3693"/>
    <w:rsid w:val="008E3B0F"/>
    <w:rsid w:val="008E4CFB"/>
    <w:rsid w:val="008E5393"/>
    <w:rsid w:val="008E5490"/>
    <w:rsid w:val="008E5A4F"/>
    <w:rsid w:val="008E5FBE"/>
    <w:rsid w:val="008E6DEF"/>
    <w:rsid w:val="008E789E"/>
    <w:rsid w:val="008E7E35"/>
    <w:rsid w:val="008F0148"/>
    <w:rsid w:val="008F0243"/>
    <w:rsid w:val="008F094A"/>
    <w:rsid w:val="008F0B37"/>
    <w:rsid w:val="008F0F15"/>
    <w:rsid w:val="008F0F59"/>
    <w:rsid w:val="008F1530"/>
    <w:rsid w:val="008F15B8"/>
    <w:rsid w:val="008F26DF"/>
    <w:rsid w:val="008F2C77"/>
    <w:rsid w:val="008F329C"/>
    <w:rsid w:val="008F371C"/>
    <w:rsid w:val="008F3DA3"/>
    <w:rsid w:val="008F417F"/>
    <w:rsid w:val="008F5116"/>
    <w:rsid w:val="008F57CB"/>
    <w:rsid w:val="008F5B03"/>
    <w:rsid w:val="008F5C37"/>
    <w:rsid w:val="008F667E"/>
    <w:rsid w:val="008F7135"/>
    <w:rsid w:val="009008C2"/>
    <w:rsid w:val="00900BE8"/>
    <w:rsid w:val="00901518"/>
    <w:rsid w:val="00901A48"/>
    <w:rsid w:val="009026FC"/>
    <w:rsid w:val="00903406"/>
    <w:rsid w:val="00904F0C"/>
    <w:rsid w:val="00905D34"/>
    <w:rsid w:val="00905DD4"/>
    <w:rsid w:val="00906023"/>
    <w:rsid w:val="00906D39"/>
    <w:rsid w:val="00907330"/>
    <w:rsid w:val="0090748D"/>
    <w:rsid w:val="0090760F"/>
    <w:rsid w:val="009077B5"/>
    <w:rsid w:val="00907CCF"/>
    <w:rsid w:val="009106D6"/>
    <w:rsid w:val="009109D0"/>
    <w:rsid w:val="00910FD5"/>
    <w:rsid w:val="00911E82"/>
    <w:rsid w:val="00912844"/>
    <w:rsid w:val="00913733"/>
    <w:rsid w:val="0091394D"/>
    <w:rsid w:val="00913C09"/>
    <w:rsid w:val="00913D2F"/>
    <w:rsid w:val="009141FC"/>
    <w:rsid w:val="00914B7C"/>
    <w:rsid w:val="00916099"/>
    <w:rsid w:val="009200AB"/>
    <w:rsid w:val="0092060C"/>
    <w:rsid w:val="00920641"/>
    <w:rsid w:val="00920732"/>
    <w:rsid w:val="009207EE"/>
    <w:rsid w:val="009219D2"/>
    <w:rsid w:val="009230D2"/>
    <w:rsid w:val="00923852"/>
    <w:rsid w:val="0092447D"/>
    <w:rsid w:val="0092517B"/>
    <w:rsid w:val="00925D8B"/>
    <w:rsid w:val="00927843"/>
    <w:rsid w:val="00927CCF"/>
    <w:rsid w:val="00930577"/>
    <w:rsid w:val="00931103"/>
    <w:rsid w:val="0093115D"/>
    <w:rsid w:val="009316BE"/>
    <w:rsid w:val="00931BE0"/>
    <w:rsid w:val="00932758"/>
    <w:rsid w:val="00932B54"/>
    <w:rsid w:val="00933324"/>
    <w:rsid w:val="00933CF9"/>
    <w:rsid w:val="00933D8F"/>
    <w:rsid w:val="009343AE"/>
    <w:rsid w:val="009344A7"/>
    <w:rsid w:val="009345A0"/>
    <w:rsid w:val="009347ED"/>
    <w:rsid w:val="00934B1F"/>
    <w:rsid w:val="009357AE"/>
    <w:rsid w:val="00935D3F"/>
    <w:rsid w:val="00935DF5"/>
    <w:rsid w:val="00936018"/>
    <w:rsid w:val="0093616F"/>
    <w:rsid w:val="00936967"/>
    <w:rsid w:val="00936BAE"/>
    <w:rsid w:val="00937010"/>
    <w:rsid w:val="00941174"/>
    <w:rsid w:val="00942C20"/>
    <w:rsid w:val="00943512"/>
    <w:rsid w:val="00943FE1"/>
    <w:rsid w:val="0094499C"/>
    <w:rsid w:val="0094505B"/>
    <w:rsid w:val="0094586E"/>
    <w:rsid w:val="00946E52"/>
    <w:rsid w:val="00946E96"/>
    <w:rsid w:val="0094742A"/>
    <w:rsid w:val="00947664"/>
    <w:rsid w:val="00950052"/>
    <w:rsid w:val="00950AE0"/>
    <w:rsid w:val="00950C29"/>
    <w:rsid w:val="0095145A"/>
    <w:rsid w:val="00951B81"/>
    <w:rsid w:val="0095255B"/>
    <w:rsid w:val="009535A7"/>
    <w:rsid w:val="00953613"/>
    <w:rsid w:val="00953629"/>
    <w:rsid w:val="009538C1"/>
    <w:rsid w:val="00953D62"/>
    <w:rsid w:val="00954AB5"/>
    <w:rsid w:val="009550A0"/>
    <w:rsid w:val="00955A6F"/>
    <w:rsid w:val="00956884"/>
    <w:rsid w:val="00956A16"/>
    <w:rsid w:val="00956A18"/>
    <w:rsid w:val="00956F65"/>
    <w:rsid w:val="00957F9D"/>
    <w:rsid w:val="00960187"/>
    <w:rsid w:val="00960D73"/>
    <w:rsid w:val="009615E1"/>
    <w:rsid w:val="00962688"/>
    <w:rsid w:val="00962D2A"/>
    <w:rsid w:val="00962FCB"/>
    <w:rsid w:val="0096311B"/>
    <w:rsid w:val="00963648"/>
    <w:rsid w:val="00963E16"/>
    <w:rsid w:val="0096458A"/>
    <w:rsid w:val="0096499C"/>
    <w:rsid w:val="009651C8"/>
    <w:rsid w:val="00965388"/>
    <w:rsid w:val="00966D7F"/>
    <w:rsid w:val="00966E32"/>
    <w:rsid w:val="009673FE"/>
    <w:rsid w:val="009677AE"/>
    <w:rsid w:val="00967997"/>
    <w:rsid w:val="00967AE6"/>
    <w:rsid w:val="009703E6"/>
    <w:rsid w:val="0097065E"/>
    <w:rsid w:val="00970DF1"/>
    <w:rsid w:val="009715A3"/>
    <w:rsid w:val="009720EC"/>
    <w:rsid w:val="0097233D"/>
    <w:rsid w:val="00972353"/>
    <w:rsid w:val="00972C30"/>
    <w:rsid w:val="00972DC9"/>
    <w:rsid w:val="00973730"/>
    <w:rsid w:val="00973AEC"/>
    <w:rsid w:val="00973E6F"/>
    <w:rsid w:val="00975B34"/>
    <w:rsid w:val="0097681D"/>
    <w:rsid w:val="00976BB1"/>
    <w:rsid w:val="00976F3A"/>
    <w:rsid w:val="00977179"/>
    <w:rsid w:val="0097773B"/>
    <w:rsid w:val="0097782A"/>
    <w:rsid w:val="00977926"/>
    <w:rsid w:val="009813DB"/>
    <w:rsid w:val="00981A37"/>
    <w:rsid w:val="00982573"/>
    <w:rsid w:val="00982D0B"/>
    <w:rsid w:val="009832EA"/>
    <w:rsid w:val="00983EA8"/>
    <w:rsid w:val="00984133"/>
    <w:rsid w:val="00984D20"/>
    <w:rsid w:val="00985E75"/>
    <w:rsid w:val="00985EAC"/>
    <w:rsid w:val="0098619D"/>
    <w:rsid w:val="00987717"/>
    <w:rsid w:val="00987DFC"/>
    <w:rsid w:val="009904FA"/>
    <w:rsid w:val="0099058D"/>
    <w:rsid w:val="00990AEC"/>
    <w:rsid w:val="0099103B"/>
    <w:rsid w:val="00992032"/>
    <w:rsid w:val="009923AB"/>
    <w:rsid w:val="0099326D"/>
    <w:rsid w:val="009934AF"/>
    <w:rsid w:val="00994636"/>
    <w:rsid w:val="0099632F"/>
    <w:rsid w:val="00996373"/>
    <w:rsid w:val="00996402"/>
    <w:rsid w:val="00996A51"/>
    <w:rsid w:val="00996F07"/>
    <w:rsid w:val="009974DB"/>
    <w:rsid w:val="0099758C"/>
    <w:rsid w:val="009A0911"/>
    <w:rsid w:val="009A0AC8"/>
    <w:rsid w:val="009A0BEE"/>
    <w:rsid w:val="009A3B43"/>
    <w:rsid w:val="009A3BE5"/>
    <w:rsid w:val="009A4595"/>
    <w:rsid w:val="009A472F"/>
    <w:rsid w:val="009A4B43"/>
    <w:rsid w:val="009A4D18"/>
    <w:rsid w:val="009A5063"/>
    <w:rsid w:val="009A6533"/>
    <w:rsid w:val="009B0F50"/>
    <w:rsid w:val="009B1413"/>
    <w:rsid w:val="009B1CF5"/>
    <w:rsid w:val="009B2189"/>
    <w:rsid w:val="009B22BC"/>
    <w:rsid w:val="009B24D7"/>
    <w:rsid w:val="009B28CA"/>
    <w:rsid w:val="009B3D82"/>
    <w:rsid w:val="009B3E47"/>
    <w:rsid w:val="009B43C4"/>
    <w:rsid w:val="009B4814"/>
    <w:rsid w:val="009B4BC4"/>
    <w:rsid w:val="009B506C"/>
    <w:rsid w:val="009B56D2"/>
    <w:rsid w:val="009B571F"/>
    <w:rsid w:val="009B5875"/>
    <w:rsid w:val="009B596E"/>
    <w:rsid w:val="009B63E1"/>
    <w:rsid w:val="009B6933"/>
    <w:rsid w:val="009B6A7C"/>
    <w:rsid w:val="009B6D4A"/>
    <w:rsid w:val="009C0F66"/>
    <w:rsid w:val="009C1977"/>
    <w:rsid w:val="009C2719"/>
    <w:rsid w:val="009C33BC"/>
    <w:rsid w:val="009C3834"/>
    <w:rsid w:val="009C4196"/>
    <w:rsid w:val="009C46FB"/>
    <w:rsid w:val="009C4B9B"/>
    <w:rsid w:val="009C5B1B"/>
    <w:rsid w:val="009C62B0"/>
    <w:rsid w:val="009C6464"/>
    <w:rsid w:val="009C6A59"/>
    <w:rsid w:val="009C6F34"/>
    <w:rsid w:val="009C7209"/>
    <w:rsid w:val="009C788D"/>
    <w:rsid w:val="009D0084"/>
    <w:rsid w:val="009D078C"/>
    <w:rsid w:val="009D18E0"/>
    <w:rsid w:val="009D1E6C"/>
    <w:rsid w:val="009D1F87"/>
    <w:rsid w:val="009D1FA0"/>
    <w:rsid w:val="009D212D"/>
    <w:rsid w:val="009D25E0"/>
    <w:rsid w:val="009D30AE"/>
    <w:rsid w:val="009D3477"/>
    <w:rsid w:val="009D368D"/>
    <w:rsid w:val="009D3A3C"/>
    <w:rsid w:val="009D6759"/>
    <w:rsid w:val="009D6E8F"/>
    <w:rsid w:val="009D7097"/>
    <w:rsid w:val="009E0519"/>
    <w:rsid w:val="009E05E7"/>
    <w:rsid w:val="009E06BC"/>
    <w:rsid w:val="009E09EF"/>
    <w:rsid w:val="009E0B9A"/>
    <w:rsid w:val="009E0BF1"/>
    <w:rsid w:val="009E10EA"/>
    <w:rsid w:val="009E1172"/>
    <w:rsid w:val="009E1FB5"/>
    <w:rsid w:val="009E237C"/>
    <w:rsid w:val="009E23CE"/>
    <w:rsid w:val="009E27C1"/>
    <w:rsid w:val="009E28C8"/>
    <w:rsid w:val="009E2F14"/>
    <w:rsid w:val="009E30A7"/>
    <w:rsid w:val="009E3EBD"/>
    <w:rsid w:val="009E3F7C"/>
    <w:rsid w:val="009E422D"/>
    <w:rsid w:val="009E4C23"/>
    <w:rsid w:val="009E4F22"/>
    <w:rsid w:val="009E4FC3"/>
    <w:rsid w:val="009E52AC"/>
    <w:rsid w:val="009E534D"/>
    <w:rsid w:val="009E5711"/>
    <w:rsid w:val="009E5E01"/>
    <w:rsid w:val="009E6387"/>
    <w:rsid w:val="009E657D"/>
    <w:rsid w:val="009E6906"/>
    <w:rsid w:val="009E6AAD"/>
    <w:rsid w:val="009E6B85"/>
    <w:rsid w:val="009E7195"/>
    <w:rsid w:val="009E7895"/>
    <w:rsid w:val="009E7901"/>
    <w:rsid w:val="009E7DC4"/>
    <w:rsid w:val="009F12F9"/>
    <w:rsid w:val="009F1969"/>
    <w:rsid w:val="009F2E30"/>
    <w:rsid w:val="009F44F8"/>
    <w:rsid w:val="009F5243"/>
    <w:rsid w:val="009F582B"/>
    <w:rsid w:val="009F589D"/>
    <w:rsid w:val="009F5BD5"/>
    <w:rsid w:val="009F5DE2"/>
    <w:rsid w:val="009F7126"/>
    <w:rsid w:val="009F723D"/>
    <w:rsid w:val="009F7FD2"/>
    <w:rsid w:val="00A001C3"/>
    <w:rsid w:val="00A0097B"/>
    <w:rsid w:val="00A01860"/>
    <w:rsid w:val="00A01A55"/>
    <w:rsid w:val="00A02B02"/>
    <w:rsid w:val="00A02DC1"/>
    <w:rsid w:val="00A0340C"/>
    <w:rsid w:val="00A03EC9"/>
    <w:rsid w:val="00A04252"/>
    <w:rsid w:val="00A064ED"/>
    <w:rsid w:val="00A066F6"/>
    <w:rsid w:val="00A072A8"/>
    <w:rsid w:val="00A079FC"/>
    <w:rsid w:val="00A07C05"/>
    <w:rsid w:val="00A10696"/>
    <w:rsid w:val="00A10BE6"/>
    <w:rsid w:val="00A1158C"/>
    <w:rsid w:val="00A12AB1"/>
    <w:rsid w:val="00A14544"/>
    <w:rsid w:val="00A14E30"/>
    <w:rsid w:val="00A1504A"/>
    <w:rsid w:val="00A159AB"/>
    <w:rsid w:val="00A15DB1"/>
    <w:rsid w:val="00A16351"/>
    <w:rsid w:val="00A16772"/>
    <w:rsid w:val="00A16E9D"/>
    <w:rsid w:val="00A177D6"/>
    <w:rsid w:val="00A179C2"/>
    <w:rsid w:val="00A207D8"/>
    <w:rsid w:val="00A21149"/>
    <w:rsid w:val="00A214C6"/>
    <w:rsid w:val="00A2195A"/>
    <w:rsid w:val="00A21E0F"/>
    <w:rsid w:val="00A2426E"/>
    <w:rsid w:val="00A253C6"/>
    <w:rsid w:val="00A2574F"/>
    <w:rsid w:val="00A25789"/>
    <w:rsid w:val="00A26080"/>
    <w:rsid w:val="00A267BE"/>
    <w:rsid w:val="00A2682E"/>
    <w:rsid w:val="00A26BAD"/>
    <w:rsid w:val="00A26E59"/>
    <w:rsid w:val="00A27F15"/>
    <w:rsid w:val="00A30242"/>
    <w:rsid w:val="00A30D4D"/>
    <w:rsid w:val="00A3102F"/>
    <w:rsid w:val="00A310C5"/>
    <w:rsid w:val="00A32BED"/>
    <w:rsid w:val="00A345C9"/>
    <w:rsid w:val="00A34D45"/>
    <w:rsid w:val="00A354A8"/>
    <w:rsid w:val="00A35F33"/>
    <w:rsid w:val="00A36B7F"/>
    <w:rsid w:val="00A371C0"/>
    <w:rsid w:val="00A373DE"/>
    <w:rsid w:val="00A40009"/>
    <w:rsid w:val="00A40AF2"/>
    <w:rsid w:val="00A40EA0"/>
    <w:rsid w:val="00A41268"/>
    <w:rsid w:val="00A4155B"/>
    <w:rsid w:val="00A41733"/>
    <w:rsid w:val="00A4200D"/>
    <w:rsid w:val="00A426A6"/>
    <w:rsid w:val="00A42A6A"/>
    <w:rsid w:val="00A44069"/>
    <w:rsid w:val="00A44913"/>
    <w:rsid w:val="00A44BC9"/>
    <w:rsid w:val="00A454C2"/>
    <w:rsid w:val="00A457F2"/>
    <w:rsid w:val="00A46668"/>
    <w:rsid w:val="00A46C43"/>
    <w:rsid w:val="00A478BC"/>
    <w:rsid w:val="00A501BA"/>
    <w:rsid w:val="00A512B4"/>
    <w:rsid w:val="00A512F0"/>
    <w:rsid w:val="00A51DE3"/>
    <w:rsid w:val="00A51E88"/>
    <w:rsid w:val="00A52062"/>
    <w:rsid w:val="00A5217B"/>
    <w:rsid w:val="00A521C6"/>
    <w:rsid w:val="00A5276D"/>
    <w:rsid w:val="00A53124"/>
    <w:rsid w:val="00A53788"/>
    <w:rsid w:val="00A5574F"/>
    <w:rsid w:val="00A561B6"/>
    <w:rsid w:val="00A56CCA"/>
    <w:rsid w:val="00A57A81"/>
    <w:rsid w:val="00A6017B"/>
    <w:rsid w:val="00A60609"/>
    <w:rsid w:val="00A60E36"/>
    <w:rsid w:val="00A61AA8"/>
    <w:rsid w:val="00A6265A"/>
    <w:rsid w:val="00A633F5"/>
    <w:rsid w:val="00A63894"/>
    <w:rsid w:val="00A63E4B"/>
    <w:rsid w:val="00A63EAC"/>
    <w:rsid w:val="00A6489B"/>
    <w:rsid w:val="00A66484"/>
    <w:rsid w:val="00A668D3"/>
    <w:rsid w:val="00A66C9D"/>
    <w:rsid w:val="00A71136"/>
    <w:rsid w:val="00A71822"/>
    <w:rsid w:val="00A72074"/>
    <w:rsid w:val="00A724B5"/>
    <w:rsid w:val="00A72559"/>
    <w:rsid w:val="00A72C9B"/>
    <w:rsid w:val="00A72CA4"/>
    <w:rsid w:val="00A732C2"/>
    <w:rsid w:val="00A732FA"/>
    <w:rsid w:val="00A73447"/>
    <w:rsid w:val="00A73B11"/>
    <w:rsid w:val="00A74EE1"/>
    <w:rsid w:val="00A75339"/>
    <w:rsid w:val="00A76AC3"/>
    <w:rsid w:val="00A76C5B"/>
    <w:rsid w:val="00A77505"/>
    <w:rsid w:val="00A77775"/>
    <w:rsid w:val="00A7779B"/>
    <w:rsid w:val="00A77E5D"/>
    <w:rsid w:val="00A80061"/>
    <w:rsid w:val="00A81A5B"/>
    <w:rsid w:val="00A81BF2"/>
    <w:rsid w:val="00A81D3B"/>
    <w:rsid w:val="00A820E1"/>
    <w:rsid w:val="00A840C8"/>
    <w:rsid w:val="00A85A23"/>
    <w:rsid w:val="00A860B2"/>
    <w:rsid w:val="00A87183"/>
    <w:rsid w:val="00A874D3"/>
    <w:rsid w:val="00A87C17"/>
    <w:rsid w:val="00A90A6C"/>
    <w:rsid w:val="00A91231"/>
    <w:rsid w:val="00A91284"/>
    <w:rsid w:val="00A915C9"/>
    <w:rsid w:val="00A926BA"/>
    <w:rsid w:val="00A93BDF"/>
    <w:rsid w:val="00A93CA7"/>
    <w:rsid w:val="00A93CFB"/>
    <w:rsid w:val="00A94411"/>
    <w:rsid w:val="00A94E95"/>
    <w:rsid w:val="00A959C1"/>
    <w:rsid w:val="00A95F9E"/>
    <w:rsid w:val="00A95FEE"/>
    <w:rsid w:val="00A961E6"/>
    <w:rsid w:val="00A97C95"/>
    <w:rsid w:val="00AA0447"/>
    <w:rsid w:val="00AA0590"/>
    <w:rsid w:val="00AA0F9F"/>
    <w:rsid w:val="00AA0FC9"/>
    <w:rsid w:val="00AA11F9"/>
    <w:rsid w:val="00AA12AE"/>
    <w:rsid w:val="00AA1659"/>
    <w:rsid w:val="00AA17B6"/>
    <w:rsid w:val="00AA1AD8"/>
    <w:rsid w:val="00AA21B4"/>
    <w:rsid w:val="00AA22CE"/>
    <w:rsid w:val="00AA2E45"/>
    <w:rsid w:val="00AA3DE5"/>
    <w:rsid w:val="00AA418E"/>
    <w:rsid w:val="00AA4C74"/>
    <w:rsid w:val="00AA574E"/>
    <w:rsid w:val="00AA5C39"/>
    <w:rsid w:val="00AA670D"/>
    <w:rsid w:val="00AA6A31"/>
    <w:rsid w:val="00AA7C29"/>
    <w:rsid w:val="00AB033E"/>
    <w:rsid w:val="00AB15DB"/>
    <w:rsid w:val="00AB1D85"/>
    <w:rsid w:val="00AB29CC"/>
    <w:rsid w:val="00AB3617"/>
    <w:rsid w:val="00AB374A"/>
    <w:rsid w:val="00AB3EE5"/>
    <w:rsid w:val="00AB3F9E"/>
    <w:rsid w:val="00AB3FF9"/>
    <w:rsid w:val="00AB423B"/>
    <w:rsid w:val="00AB4A3F"/>
    <w:rsid w:val="00AB4B37"/>
    <w:rsid w:val="00AB530B"/>
    <w:rsid w:val="00AB5AC1"/>
    <w:rsid w:val="00AB6284"/>
    <w:rsid w:val="00AB6A50"/>
    <w:rsid w:val="00AB6C12"/>
    <w:rsid w:val="00AB6FDB"/>
    <w:rsid w:val="00AB7598"/>
    <w:rsid w:val="00AB763E"/>
    <w:rsid w:val="00AB7F4C"/>
    <w:rsid w:val="00AC0E10"/>
    <w:rsid w:val="00AC1D1B"/>
    <w:rsid w:val="00AC2EDC"/>
    <w:rsid w:val="00AC3268"/>
    <w:rsid w:val="00AC33D0"/>
    <w:rsid w:val="00AC34DC"/>
    <w:rsid w:val="00AC4688"/>
    <w:rsid w:val="00AC492F"/>
    <w:rsid w:val="00AC4D7C"/>
    <w:rsid w:val="00AC6439"/>
    <w:rsid w:val="00AC6648"/>
    <w:rsid w:val="00AC6C7F"/>
    <w:rsid w:val="00AC77CA"/>
    <w:rsid w:val="00AD090F"/>
    <w:rsid w:val="00AD0C16"/>
    <w:rsid w:val="00AD2C6B"/>
    <w:rsid w:val="00AD380F"/>
    <w:rsid w:val="00AD50E3"/>
    <w:rsid w:val="00AD5565"/>
    <w:rsid w:val="00AD55DB"/>
    <w:rsid w:val="00AD59FC"/>
    <w:rsid w:val="00AD5BBE"/>
    <w:rsid w:val="00AD6297"/>
    <w:rsid w:val="00AD689B"/>
    <w:rsid w:val="00AD73D6"/>
    <w:rsid w:val="00AE025E"/>
    <w:rsid w:val="00AE0736"/>
    <w:rsid w:val="00AE0AEC"/>
    <w:rsid w:val="00AE17D3"/>
    <w:rsid w:val="00AE2248"/>
    <w:rsid w:val="00AE2BA4"/>
    <w:rsid w:val="00AE3234"/>
    <w:rsid w:val="00AE3461"/>
    <w:rsid w:val="00AE359E"/>
    <w:rsid w:val="00AE643B"/>
    <w:rsid w:val="00AF0C1F"/>
    <w:rsid w:val="00AF0C81"/>
    <w:rsid w:val="00AF1244"/>
    <w:rsid w:val="00AF1F86"/>
    <w:rsid w:val="00AF1FFD"/>
    <w:rsid w:val="00AF2743"/>
    <w:rsid w:val="00AF2AC8"/>
    <w:rsid w:val="00AF2BE3"/>
    <w:rsid w:val="00AF2C99"/>
    <w:rsid w:val="00AF388F"/>
    <w:rsid w:val="00AF4001"/>
    <w:rsid w:val="00AF407D"/>
    <w:rsid w:val="00AF453D"/>
    <w:rsid w:val="00AF4CEB"/>
    <w:rsid w:val="00AF605E"/>
    <w:rsid w:val="00AF6432"/>
    <w:rsid w:val="00AF6658"/>
    <w:rsid w:val="00AF6BD5"/>
    <w:rsid w:val="00AF6C29"/>
    <w:rsid w:val="00AF76B4"/>
    <w:rsid w:val="00B002E0"/>
    <w:rsid w:val="00B00F6F"/>
    <w:rsid w:val="00B013BA"/>
    <w:rsid w:val="00B01819"/>
    <w:rsid w:val="00B01C95"/>
    <w:rsid w:val="00B02137"/>
    <w:rsid w:val="00B02469"/>
    <w:rsid w:val="00B0387A"/>
    <w:rsid w:val="00B040EF"/>
    <w:rsid w:val="00B04D80"/>
    <w:rsid w:val="00B04F02"/>
    <w:rsid w:val="00B05045"/>
    <w:rsid w:val="00B0521F"/>
    <w:rsid w:val="00B05B2F"/>
    <w:rsid w:val="00B065F1"/>
    <w:rsid w:val="00B06E03"/>
    <w:rsid w:val="00B07013"/>
    <w:rsid w:val="00B107F1"/>
    <w:rsid w:val="00B10A04"/>
    <w:rsid w:val="00B10EA8"/>
    <w:rsid w:val="00B10F3C"/>
    <w:rsid w:val="00B1198C"/>
    <w:rsid w:val="00B13731"/>
    <w:rsid w:val="00B138AB"/>
    <w:rsid w:val="00B13C1F"/>
    <w:rsid w:val="00B149A7"/>
    <w:rsid w:val="00B149B6"/>
    <w:rsid w:val="00B15B43"/>
    <w:rsid w:val="00B17542"/>
    <w:rsid w:val="00B17B63"/>
    <w:rsid w:val="00B17C77"/>
    <w:rsid w:val="00B17EF7"/>
    <w:rsid w:val="00B17F39"/>
    <w:rsid w:val="00B2099D"/>
    <w:rsid w:val="00B214CD"/>
    <w:rsid w:val="00B214F7"/>
    <w:rsid w:val="00B21D36"/>
    <w:rsid w:val="00B220A4"/>
    <w:rsid w:val="00B227F1"/>
    <w:rsid w:val="00B22DA3"/>
    <w:rsid w:val="00B230FD"/>
    <w:rsid w:val="00B2315A"/>
    <w:rsid w:val="00B24434"/>
    <w:rsid w:val="00B24E8D"/>
    <w:rsid w:val="00B26084"/>
    <w:rsid w:val="00B261F9"/>
    <w:rsid w:val="00B263D6"/>
    <w:rsid w:val="00B2665C"/>
    <w:rsid w:val="00B271EB"/>
    <w:rsid w:val="00B30428"/>
    <w:rsid w:val="00B31400"/>
    <w:rsid w:val="00B314A8"/>
    <w:rsid w:val="00B31AC6"/>
    <w:rsid w:val="00B32E0A"/>
    <w:rsid w:val="00B33CE7"/>
    <w:rsid w:val="00B346F0"/>
    <w:rsid w:val="00B3514F"/>
    <w:rsid w:val="00B35150"/>
    <w:rsid w:val="00B36EAA"/>
    <w:rsid w:val="00B37772"/>
    <w:rsid w:val="00B378EB"/>
    <w:rsid w:val="00B4007B"/>
    <w:rsid w:val="00B40E21"/>
    <w:rsid w:val="00B41212"/>
    <w:rsid w:val="00B41623"/>
    <w:rsid w:val="00B42878"/>
    <w:rsid w:val="00B42DDB"/>
    <w:rsid w:val="00B42EB0"/>
    <w:rsid w:val="00B43668"/>
    <w:rsid w:val="00B43A3D"/>
    <w:rsid w:val="00B44723"/>
    <w:rsid w:val="00B462FA"/>
    <w:rsid w:val="00B4697C"/>
    <w:rsid w:val="00B4741B"/>
    <w:rsid w:val="00B47DC6"/>
    <w:rsid w:val="00B50F7E"/>
    <w:rsid w:val="00B5172B"/>
    <w:rsid w:val="00B52894"/>
    <w:rsid w:val="00B52A16"/>
    <w:rsid w:val="00B52E8B"/>
    <w:rsid w:val="00B53D17"/>
    <w:rsid w:val="00B54A5E"/>
    <w:rsid w:val="00B54AAC"/>
    <w:rsid w:val="00B54EED"/>
    <w:rsid w:val="00B551FE"/>
    <w:rsid w:val="00B554BC"/>
    <w:rsid w:val="00B56636"/>
    <w:rsid w:val="00B566C4"/>
    <w:rsid w:val="00B574FB"/>
    <w:rsid w:val="00B601D9"/>
    <w:rsid w:val="00B601EA"/>
    <w:rsid w:val="00B61608"/>
    <w:rsid w:val="00B61F04"/>
    <w:rsid w:val="00B61FA1"/>
    <w:rsid w:val="00B62674"/>
    <w:rsid w:val="00B63002"/>
    <w:rsid w:val="00B647BB"/>
    <w:rsid w:val="00B64F38"/>
    <w:rsid w:val="00B65B87"/>
    <w:rsid w:val="00B677E8"/>
    <w:rsid w:val="00B67A84"/>
    <w:rsid w:val="00B7111B"/>
    <w:rsid w:val="00B71AA1"/>
    <w:rsid w:val="00B71E1A"/>
    <w:rsid w:val="00B723CE"/>
    <w:rsid w:val="00B72726"/>
    <w:rsid w:val="00B72AC3"/>
    <w:rsid w:val="00B72E6A"/>
    <w:rsid w:val="00B73F25"/>
    <w:rsid w:val="00B74113"/>
    <w:rsid w:val="00B75096"/>
    <w:rsid w:val="00B7543D"/>
    <w:rsid w:val="00B75ACA"/>
    <w:rsid w:val="00B76027"/>
    <w:rsid w:val="00B765DE"/>
    <w:rsid w:val="00B76C42"/>
    <w:rsid w:val="00B77562"/>
    <w:rsid w:val="00B7777D"/>
    <w:rsid w:val="00B77C09"/>
    <w:rsid w:val="00B81393"/>
    <w:rsid w:val="00B81821"/>
    <w:rsid w:val="00B82340"/>
    <w:rsid w:val="00B82783"/>
    <w:rsid w:val="00B83510"/>
    <w:rsid w:val="00B84B81"/>
    <w:rsid w:val="00B8542E"/>
    <w:rsid w:val="00B85653"/>
    <w:rsid w:val="00B85666"/>
    <w:rsid w:val="00B85DE6"/>
    <w:rsid w:val="00B85E23"/>
    <w:rsid w:val="00B864D3"/>
    <w:rsid w:val="00B86930"/>
    <w:rsid w:val="00B86A58"/>
    <w:rsid w:val="00B86D47"/>
    <w:rsid w:val="00B86E12"/>
    <w:rsid w:val="00B87490"/>
    <w:rsid w:val="00B8766A"/>
    <w:rsid w:val="00B87959"/>
    <w:rsid w:val="00B87CA0"/>
    <w:rsid w:val="00B9043B"/>
    <w:rsid w:val="00B90FF7"/>
    <w:rsid w:val="00B91C63"/>
    <w:rsid w:val="00B921BD"/>
    <w:rsid w:val="00B9359F"/>
    <w:rsid w:val="00B93A18"/>
    <w:rsid w:val="00B93D52"/>
    <w:rsid w:val="00B944DE"/>
    <w:rsid w:val="00B946EF"/>
    <w:rsid w:val="00B94DFB"/>
    <w:rsid w:val="00B94E40"/>
    <w:rsid w:val="00B94F4D"/>
    <w:rsid w:val="00B9693F"/>
    <w:rsid w:val="00B96A92"/>
    <w:rsid w:val="00B96E28"/>
    <w:rsid w:val="00B978F9"/>
    <w:rsid w:val="00BA094C"/>
    <w:rsid w:val="00BA0D94"/>
    <w:rsid w:val="00BA1199"/>
    <w:rsid w:val="00BA12EA"/>
    <w:rsid w:val="00BA1584"/>
    <w:rsid w:val="00BA23AF"/>
    <w:rsid w:val="00BA348A"/>
    <w:rsid w:val="00BA3A74"/>
    <w:rsid w:val="00BA4D26"/>
    <w:rsid w:val="00BA54B4"/>
    <w:rsid w:val="00BA54C5"/>
    <w:rsid w:val="00BA57AD"/>
    <w:rsid w:val="00BA5879"/>
    <w:rsid w:val="00BA596C"/>
    <w:rsid w:val="00BA6841"/>
    <w:rsid w:val="00BA714A"/>
    <w:rsid w:val="00BA7433"/>
    <w:rsid w:val="00BA7EA2"/>
    <w:rsid w:val="00BB0D8C"/>
    <w:rsid w:val="00BB1C9A"/>
    <w:rsid w:val="00BB1FF8"/>
    <w:rsid w:val="00BB2143"/>
    <w:rsid w:val="00BB2AFE"/>
    <w:rsid w:val="00BB4F33"/>
    <w:rsid w:val="00BB53E2"/>
    <w:rsid w:val="00BB6705"/>
    <w:rsid w:val="00BB69FE"/>
    <w:rsid w:val="00BB7B61"/>
    <w:rsid w:val="00BB7F18"/>
    <w:rsid w:val="00BC018E"/>
    <w:rsid w:val="00BC080E"/>
    <w:rsid w:val="00BC083D"/>
    <w:rsid w:val="00BC182E"/>
    <w:rsid w:val="00BC2651"/>
    <w:rsid w:val="00BC4676"/>
    <w:rsid w:val="00BC4E78"/>
    <w:rsid w:val="00BC538B"/>
    <w:rsid w:val="00BC5774"/>
    <w:rsid w:val="00BC6B0E"/>
    <w:rsid w:val="00BC7066"/>
    <w:rsid w:val="00BC7091"/>
    <w:rsid w:val="00BC7F75"/>
    <w:rsid w:val="00BD0CF1"/>
    <w:rsid w:val="00BD21D2"/>
    <w:rsid w:val="00BD2468"/>
    <w:rsid w:val="00BD2B61"/>
    <w:rsid w:val="00BD2BDC"/>
    <w:rsid w:val="00BD2C12"/>
    <w:rsid w:val="00BD30D6"/>
    <w:rsid w:val="00BD4325"/>
    <w:rsid w:val="00BD55C0"/>
    <w:rsid w:val="00BD5713"/>
    <w:rsid w:val="00BD7986"/>
    <w:rsid w:val="00BE13A0"/>
    <w:rsid w:val="00BE1A9E"/>
    <w:rsid w:val="00BE2387"/>
    <w:rsid w:val="00BE2FF2"/>
    <w:rsid w:val="00BE35EB"/>
    <w:rsid w:val="00BE3622"/>
    <w:rsid w:val="00BE3987"/>
    <w:rsid w:val="00BE3AD3"/>
    <w:rsid w:val="00BE4A6D"/>
    <w:rsid w:val="00BE57D3"/>
    <w:rsid w:val="00BE65C8"/>
    <w:rsid w:val="00BE681C"/>
    <w:rsid w:val="00BE7158"/>
    <w:rsid w:val="00BE7B48"/>
    <w:rsid w:val="00BF06D8"/>
    <w:rsid w:val="00BF10D1"/>
    <w:rsid w:val="00BF2A4E"/>
    <w:rsid w:val="00BF2D45"/>
    <w:rsid w:val="00BF3F2F"/>
    <w:rsid w:val="00BF4BBC"/>
    <w:rsid w:val="00BF5027"/>
    <w:rsid w:val="00BF64CB"/>
    <w:rsid w:val="00BF7096"/>
    <w:rsid w:val="00BF738E"/>
    <w:rsid w:val="00BF79E7"/>
    <w:rsid w:val="00BF7CD9"/>
    <w:rsid w:val="00C00715"/>
    <w:rsid w:val="00C01AFB"/>
    <w:rsid w:val="00C01ECB"/>
    <w:rsid w:val="00C02EC9"/>
    <w:rsid w:val="00C037DD"/>
    <w:rsid w:val="00C043B3"/>
    <w:rsid w:val="00C0546D"/>
    <w:rsid w:val="00C05578"/>
    <w:rsid w:val="00C05FA4"/>
    <w:rsid w:val="00C067E7"/>
    <w:rsid w:val="00C07C94"/>
    <w:rsid w:val="00C07DC4"/>
    <w:rsid w:val="00C1020B"/>
    <w:rsid w:val="00C12031"/>
    <w:rsid w:val="00C12833"/>
    <w:rsid w:val="00C129DE"/>
    <w:rsid w:val="00C12AA4"/>
    <w:rsid w:val="00C13414"/>
    <w:rsid w:val="00C13D05"/>
    <w:rsid w:val="00C169AF"/>
    <w:rsid w:val="00C1787B"/>
    <w:rsid w:val="00C20843"/>
    <w:rsid w:val="00C2111D"/>
    <w:rsid w:val="00C21281"/>
    <w:rsid w:val="00C21DC5"/>
    <w:rsid w:val="00C22386"/>
    <w:rsid w:val="00C22EBC"/>
    <w:rsid w:val="00C239EB"/>
    <w:rsid w:val="00C23D6C"/>
    <w:rsid w:val="00C242FC"/>
    <w:rsid w:val="00C24593"/>
    <w:rsid w:val="00C26401"/>
    <w:rsid w:val="00C270AF"/>
    <w:rsid w:val="00C2738C"/>
    <w:rsid w:val="00C27A58"/>
    <w:rsid w:val="00C30124"/>
    <w:rsid w:val="00C302C0"/>
    <w:rsid w:val="00C30AF1"/>
    <w:rsid w:val="00C31009"/>
    <w:rsid w:val="00C3111C"/>
    <w:rsid w:val="00C31381"/>
    <w:rsid w:val="00C31743"/>
    <w:rsid w:val="00C318B3"/>
    <w:rsid w:val="00C319F3"/>
    <w:rsid w:val="00C321C2"/>
    <w:rsid w:val="00C32206"/>
    <w:rsid w:val="00C32C68"/>
    <w:rsid w:val="00C3318F"/>
    <w:rsid w:val="00C33314"/>
    <w:rsid w:val="00C34082"/>
    <w:rsid w:val="00C34218"/>
    <w:rsid w:val="00C35CF2"/>
    <w:rsid w:val="00C3611F"/>
    <w:rsid w:val="00C3719A"/>
    <w:rsid w:val="00C372C9"/>
    <w:rsid w:val="00C37FB1"/>
    <w:rsid w:val="00C4040F"/>
    <w:rsid w:val="00C40587"/>
    <w:rsid w:val="00C430A3"/>
    <w:rsid w:val="00C43702"/>
    <w:rsid w:val="00C43AAE"/>
    <w:rsid w:val="00C43DB3"/>
    <w:rsid w:val="00C44626"/>
    <w:rsid w:val="00C44E8C"/>
    <w:rsid w:val="00C4500D"/>
    <w:rsid w:val="00C45084"/>
    <w:rsid w:val="00C459C4"/>
    <w:rsid w:val="00C45EA6"/>
    <w:rsid w:val="00C4786D"/>
    <w:rsid w:val="00C47928"/>
    <w:rsid w:val="00C50D24"/>
    <w:rsid w:val="00C50E46"/>
    <w:rsid w:val="00C513A9"/>
    <w:rsid w:val="00C51C15"/>
    <w:rsid w:val="00C51E8A"/>
    <w:rsid w:val="00C52004"/>
    <w:rsid w:val="00C53E5D"/>
    <w:rsid w:val="00C5418A"/>
    <w:rsid w:val="00C546DD"/>
    <w:rsid w:val="00C568C4"/>
    <w:rsid w:val="00C56B09"/>
    <w:rsid w:val="00C56BAA"/>
    <w:rsid w:val="00C57B4C"/>
    <w:rsid w:val="00C60A10"/>
    <w:rsid w:val="00C61063"/>
    <w:rsid w:val="00C62265"/>
    <w:rsid w:val="00C62AE3"/>
    <w:rsid w:val="00C63CF1"/>
    <w:rsid w:val="00C647B4"/>
    <w:rsid w:val="00C64CC4"/>
    <w:rsid w:val="00C65CFB"/>
    <w:rsid w:val="00C65E97"/>
    <w:rsid w:val="00C66B43"/>
    <w:rsid w:val="00C66EC1"/>
    <w:rsid w:val="00C67C04"/>
    <w:rsid w:val="00C707A5"/>
    <w:rsid w:val="00C71290"/>
    <w:rsid w:val="00C718F4"/>
    <w:rsid w:val="00C71DD8"/>
    <w:rsid w:val="00C72070"/>
    <w:rsid w:val="00C733EC"/>
    <w:rsid w:val="00C749FE"/>
    <w:rsid w:val="00C753A6"/>
    <w:rsid w:val="00C76A7E"/>
    <w:rsid w:val="00C76B9A"/>
    <w:rsid w:val="00C76EFD"/>
    <w:rsid w:val="00C77457"/>
    <w:rsid w:val="00C77578"/>
    <w:rsid w:val="00C778B6"/>
    <w:rsid w:val="00C803BD"/>
    <w:rsid w:val="00C80E4F"/>
    <w:rsid w:val="00C81711"/>
    <w:rsid w:val="00C81ED0"/>
    <w:rsid w:val="00C822EB"/>
    <w:rsid w:val="00C82637"/>
    <w:rsid w:val="00C82EAA"/>
    <w:rsid w:val="00C830C2"/>
    <w:rsid w:val="00C843C0"/>
    <w:rsid w:val="00C85307"/>
    <w:rsid w:val="00C85CB9"/>
    <w:rsid w:val="00C85E82"/>
    <w:rsid w:val="00C86CAF"/>
    <w:rsid w:val="00C8704A"/>
    <w:rsid w:val="00C879A3"/>
    <w:rsid w:val="00C90B18"/>
    <w:rsid w:val="00C91373"/>
    <w:rsid w:val="00C917D1"/>
    <w:rsid w:val="00C9249D"/>
    <w:rsid w:val="00C92844"/>
    <w:rsid w:val="00C92883"/>
    <w:rsid w:val="00C93A21"/>
    <w:rsid w:val="00C93EDC"/>
    <w:rsid w:val="00C94AA7"/>
    <w:rsid w:val="00C95D8C"/>
    <w:rsid w:val="00C96589"/>
    <w:rsid w:val="00C967D0"/>
    <w:rsid w:val="00C96F08"/>
    <w:rsid w:val="00C96F5B"/>
    <w:rsid w:val="00C977EE"/>
    <w:rsid w:val="00CA0A3B"/>
    <w:rsid w:val="00CA0E36"/>
    <w:rsid w:val="00CA0F01"/>
    <w:rsid w:val="00CA1487"/>
    <w:rsid w:val="00CA1B0D"/>
    <w:rsid w:val="00CA2672"/>
    <w:rsid w:val="00CA2744"/>
    <w:rsid w:val="00CA2840"/>
    <w:rsid w:val="00CA3B61"/>
    <w:rsid w:val="00CA3BBC"/>
    <w:rsid w:val="00CA528E"/>
    <w:rsid w:val="00CA54A4"/>
    <w:rsid w:val="00CA55C7"/>
    <w:rsid w:val="00CA5E2D"/>
    <w:rsid w:val="00CA6AEF"/>
    <w:rsid w:val="00CA72AC"/>
    <w:rsid w:val="00CA7B32"/>
    <w:rsid w:val="00CA7CDA"/>
    <w:rsid w:val="00CB156A"/>
    <w:rsid w:val="00CB1C71"/>
    <w:rsid w:val="00CB2D5B"/>
    <w:rsid w:val="00CB2E73"/>
    <w:rsid w:val="00CB31A6"/>
    <w:rsid w:val="00CB3DCC"/>
    <w:rsid w:val="00CB40EC"/>
    <w:rsid w:val="00CB452E"/>
    <w:rsid w:val="00CB454F"/>
    <w:rsid w:val="00CB59D0"/>
    <w:rsid w:val="00CB5FB3"/>
    <w:rsid w:val="00CB5FCE"/>
    <w:rsid w:val="00CB75A8"/>
    <w:rsid w:val="00CB776B"/>
    <w:rsid w:val="00CB7DA1"/>
    <w:rsid w:val="00CB7F87"/>
    <w:rsid w:val="00CC03E6"/>
    <w:rsid w:val="00CC0D3B"/>
    <w:rsid w:val="00CC162F"/>
    <w:rsid w:val="00CC1675"/>
    <w:rsid w:val="00CC1E38"/>
    <w:rsid w:val="00CC1E75"/>
    <w:rsid w:val="00CC1FE7"/>
    <w:rsid w:val="00CC2132"/>
    <w:rsid w:val="00CC293B"/>
    <w:rsid w:val="00CC401E"/>
    <w:rsid w:val="00CC4249"/>
    <w:rsid w:val="00CC424B"/>
    <w:rsid w:val="00CC455C"/>
    <w:rsid w:val="00CC4ADD"/>
    <w:rsid w:val="00CC4DF2"/>
    <w:rsid w:val="00CC5B71"/>
    <w:rsid w:val="00CC5EB6"/>
    <w:rsid w:val="00CC6B76"/>
    <w:rsid w:val="00CC6D0B"/>
    <w:rsid w:val="00CC73AC"/>
    <w:rsid w:val="00CC79B4"/>
    <w:rsid w:val="00CD1DAA"/>
    <w:rsid w:val="00CD2DA9"/>
    <w:rsid w:val="00CD366C"/>
    <w:rsid w:val="00CD3902"/>
    <w:rsid w:val="00CD3EE1"/>
    <w:rsid w:val="00CD4147"/>
    <w:rsid w:val="00CD4821"/>
    <w:rsid w:val="00CD48A6"/>
    <w:rsid w:val="00CD4ECB"/>
    <w:rsid w:val="00CD4F34"/>
    <w:rsid w:val="00CD5098"/>
    <w:rsid w:val="00CD5D04"/>
    <w:rsid w:val="00CD650E"/>
    <w:rsid w:val="00CD7481"/>
    <w:rsid w:val="00CD7E4E"/>
    <w:rsid w:val="00CE0B5B"/>
    <w:rsid w:val="00CE1191"/>
    <w:rsid w:val="00CE1710"/>
    <w:rsid w:val="00CE18E9"/>
    <w:rsid w:val="00CE34F7"/>
    <w:rsid w:val="00CE3637"/>
    <w:rsid w:val="00CE382B"/>
    <w:rsid w:val="00CE4628"/>
    <w:rsid w:val="00CE4D06"/>
    <w:rsid w:val="00CE54A5"/>
    <w:rsid w:val="00CE5CC3"/>
    <w:rsid w:val="00CE5F7A"/>
    <w:rsid w:val="00CE648C"/>
    <w:rsid w:val="00CE72CA"/>
    <w:rsid w:val="00CF0728"/>
    <w:rsid w:val="00CF0C88"/>
    <w:rsid w:val="00CF1D11"/>
    <w:rsid w:val="00CF26A7"/>
    <w:rsid w:val="00CF2951"/>
    <w:rsid w:val="00CF41D4"/>
    <w:rsid w:val="00CF4C11"/>
    <w:rsid w:val="00CF4C53"/>
    <w:rsid w:val="00CF5F2E"/>
    <w:rsid w:val="00CF5F8C"/>
    <w:rsid w:val="00CF6797"/>
    <w:rsid w:val="00CF742B"/>
    <w:rsid w:val="00CF762D"/>
    <w:rsid w:val="00D002DE"/>
    <w:rsid w:val="00D007D1"/>
    <w:rsid w:val="00D00D6F"/>
    <w:rsid w:val="00D00F75"/>
    <w:rsid w:val="00D010B5"/>
    <w:rsid w:val="00D01328"/>
    <w:rsid w:val="00D0251B"/>
    <w:rsid w:val="00D0254A"/>
    <w:rsid w:val="00D02EDF"/>
    <w:rsid w:val="00D03945"/>
    <w:rsid w:val="00D03A53"/>
    <w:rsid w:val="00D03F65"/>
    <w:rsid w:val="00D04094"/>
    <w:rsid w:val="00D04EA2"/>
    <w:rsid w:val="00D0559B"/>
    <w:rsid w:val="00D05CE9"/>
    <w:rsid w:val="00D0609E"/>
    <w:rsid w:val="00D0622D"/>
    <w:rsid w:val="00D062F9"/>
    <w:rsid w:val="00D064F2"/>
    <w:rsid w:val="00D06625"/>
    <w:rsid w:val="00D06B1F"/>
    <w:rsid w:val="00D06E44"/>
    <w:rsid w:val="00D07F86"/>
    <w:rsid w:val="00D1004C"/>
    <w:rsid w:val="00D1033B"/>
    <w:rsid w:val="00D105E0"/>
    <w:rsid w:val="00D10BF8"/>
    <w:rsid w:val="00D11313"/>
    <w:rsid w:val="00D122F1"/>
    <w:rsid w:val="00D12A03"/>
    <w:rsid w:val="00D12A32"/>
    <w:rsid w:val="00D12BFC"/>
    <w:rsid w:val="00D13532"/>
    <w:rsid w:val="00D13618"/>
    <w:rsid w:val="00D13B51"/>
    <w:rsid w:val="00D1439C"/>
    <w:rsid w:val="00D15454"/>
    <w:rsid w:val="00D15941"/>
    <w:rsid w:val="00D15CD0"/>
    <w:rsid w:val="00D16486"/>
    <w:rsid w:val="00D166C1"/>
    <w:rsid w:val="00D1710F"/>
    <w:rsid w:val="00D173BE"/>
    <w:rsid w:val="00D20D33"/>
    <w:rsid w:val="00D21643"/>
    <w:rsid w:val="00D21AF9"/>
    <w:rsid w:val="00D2268A"/>
    <w:rsid w:val="00D23019"/>
    <w:rsid w:val="00D23D30"/>
    <w:rsid w:val="00D244C0"/>
    <w:rsid w:val="00D248E5"/>
    <w:rsid w:val="00D25A2E"/>
    <w:rsid w:val="00D26096"/>
    <w:rsid w:val="00D2620A"/>
    <w:rsid w:val="00D2639C"/>
    <w:rsid w:val="00D264F3"/>
    <w:rsid w:val="00D26D99"/>
    <w:rsid w:val="00D320E3"/>
    <w:rsid w:val="00D325BC"/>
    <w:rsid w:val="00D329D4"/>
    <w:rsid w:val="00D32D0C"/>
    <w:rsid w:val="00D32DC4"/>
    <w:rsid w:val="00D3347B"/>
    <w:rsid w:val="00D335CF"/>
    <w:rsid w:val="00D33669"/>
    <w:rsid w:val="00D33C26"/>
    <w:rsid w:val="00D33C7A"/>
    <w:rsid w:val="00D33ECE"/>
    <w:rsid w:val="00D34C29"/>
    <w:rsid w:val="00D34F87"/>
    <w:rsid w:val="00D35621"/>
    <w:rsid w:val="00D35F92"/>
    <w:rsid w:val="00D36309"/>
    <w:rsid w:val="00D36830"/>
    <w:rsid w:val="00D368EF"/>
    <w:rsid w:val="00D370F5"/>
    <w:rsid w:val="00D40987"/>
    <w:rsid w:val="00D411D2"/>
    <w:rsid w:val="00D4211F"/>
    <w:rsid w:val="00D4311E"/>
    <w:rsid w:val="00D43BDF"/>
    <w:rsid w:val="00D455F1"/>
    <w:rsid w:val="00D46AE4"/>
    <w:rsid w:val="00D47105"/>
    <w:rsid w:val="00D4723C"/>
    <w:rsid w:val="00D47914"/>
    <w:rsid w:val="00D47955"/>
    <w:rsid w:val="00D47D06"/>
    <w:rsid w:val="00D5057A"/>
    <w:rsid w:val="00D506C5"/>
    <w:rsid w:val="00D50B31"/>
    <w:rsid w:val="00D50EB9"/>
    <w:rsid w:val="00D51919"/>
    <w:rsid w:val="00D524DE"/>
    <w:rsid w:val="00D52864"/>
    <w:rsid w:val="00D5474C"/>
    <w:rsid w:val="00D5496E"/>
    <w:rsid w:val="00D54E7A"/>
    <w:rsid w:val="00D55BE3"/>
    <w:rsid w:val="00D5638D"/>
    <w:rsid w:val="00D565D3"/>
    <w:rsid w:val="00D56C73"/>
    <w:rsid w:val="00D56DEF"/>
    <w:rsid w:val="00D575A3"/>
    <w:rsid w:val="00D6033D"/>
    <w:rsid w:val="00D60453"/>
    <w:rsid w:val="00D60692"/>
    <w:rsid w:val="00D60ABF"/>
    <w:rsid w:val="00D60D94"/>
    <w:rsid w:val="00D61A07"/>
    <w:rsid w:val="00D62278"/>
    <w:rsid w:val="00D62936"/>
    <w:rsid w:val="00D629AA"/>
    <w:rsid w:val="00D629CF"/>
    <w:rsid w:val="00D6360D"/>
    <w:rsid w:val="00D641A6"/>
    <w:rsid w:val="00D64D19"/>
    <w:rsid w:val="00D66664"/>
    <w:rsid w:val="00D66C22"/>
    <w:rsid w:val="00D6778C"/>
    <w:rsid w:val="00D67824"/>
    <w:rsid w:val="00D700FE"/>
    <w:rsid w:val="00D707B2"/>
    <w:rsid w:val="00D70941"/>
    <w:rsid w:val="00D70968"/>
    <w:rsid w:val="00D70C79"/>
    <w:rsid w:val="00D70DE2"/>
    <w:rsid w:val="00D71646"/>
    <w:rsid w:val="00D7184E"/>
    <w:rsid w:val="00D71D2B"/>
    <w:rsid w:val="00D723C5"/>
    <w:rsid w:val="00D7269A"/>
    <w:rsid w:val="00D729B3"/>
    <w:rsid w:val="00D73054"/>
    <w:rsid w:val="00D74845"/>
    <w:rsid w:val="00D74EB4"/>
    <w:rsid w:val="00D75181"/>
    <w:rsid w:val="00D758FF"/>
    <w:rsid w:val="00D75B21"/>
    <w:rsid w:val="00D763C8"/>
    <w:rsid w:val="00D76558"/>
    <w:rsid w:val="00D76CDE"/>
    <w:rsid w:val="00D76F16"/>
    <w:rsid w:val="00D77865"/>
    <w:rsid w:val="00D77AA2"/>
    <w:rsid w:val="00D77B6B"/>
    <w:rsid w:val="00D804D8"/>
    <w:rsid w:val="00D80A7B"/>
    <w:rsid w:val="00D81282"/>
    <w:rsid w:val="00D813EC"/>
    <w:rsid w:val="00D81CE7"/>
    <w:rsid w:val="00D82469"/>
    <w:rsid w:val="00D82CD4"/>
    <w:rsid w:val="00D82D90"/>
    <w:rsid w:val="00D8307D"/>
    <w:rsid w:val="00D835AA"/>
    <w:rsid w:val="00D837C1"/>
    <w:rsid w:val="00D83A08"/>
    <w:rsid w:val="00D83FB1"/>
    <w:rsid w:val="00D8488F"/>
    <w:rsid w:val="00D84B5A"/>
    <w:rsid w:val="00D85B0B"/>
    <w:rsid w:val="00D86466"/>
    <w:rsid w:val="00D866BB"/>
    <w:rsid w:val="00D868C1"/>
    <w:rsid w:val="00D86A42"/>
    <w:rsid w:val="00D90008"/>
    <w:rsid w:val="00D906AC"/>
    <w:rsid w:val="00D93B3D"/>
    <w:rsid w:val="00D94428"/>
    <w:rsid w:val="00D9472D"/>
    <w:rsid w:val="00D94CF2"/>
    <w:rsid w:val="00D9521B"/>
    <w:rsid w:val="00D95B92"/>
    <w:rsid w:val="00D97256"/>
    <w:rsid w:val="00D977BF"/>
    <w:rsid w:val="00D97848"/>
    <w:rsid w:val="00D97C2B"/>
    <w:rsid w:val="00D97EF0"/>
    <w:rsid w:val="00DA00C2"/>
    <w:rsid w:val="00DA033E"/>
    <w:rsid w:val="00DA07C0"/>
    <w:rsid w:val="00DA0FCA"/>
    <w:rsid w:val="00DA196F"/>
    <w:rsid w:val="00DA2B3F"/>
    <w:rsid w:val="00DA2FE3"/>
    <w:rsid w:val="00DA3EAA"/>
    <w:rsid w:val="00DA40E2"/>
    <w:rsid w:val="00DA43D3"/>
    <w:rsid w:val="00DA4F5A"/>
    <w:rsid w:val="00DA4FF7"/>
    <w:rsid w:val="00DA5050"/>
    <w:rsid w:val="00DA50D9"/>
    <w:rsid w:val="00DA6B03"/>
    <w:rsid w:val="00DA6B28"/>
    <w:rsid w:val="00DA6C44"/>
    <w:rsid w:val="00DA718A"/>
    <w:rsid w:val="00DA7B60"/>
    <w:rsid w:val="00DB0291"/>
    <w:rsid w:val="00DB0A1A"/>
    <w:rsid w:val="00DB0D01"/>
    <w:rsid w:val="00DB125C"/>
    <w:rsid w:val="00DB1507"/>
    <w:rsid w:val="00DB180D"/>
    <w:rsid w:val="00DB199D"/>
    <w:rsid w:val="00DB1A89"/>
    <w:rsid w:val="00DB207C"/>
    <w:rsid w:val="00DB21F9"/>
    <w:rsid w:val="00DB24E1"/>
    <w:rsid w:val="00DB3B5A"/>
    <w:rsid w:val="00DB4543"/>
    <w:rsid w:val="00DB52AF"/>
    <w:rsid w:val="00DB55BE"/>
    <w:rsid w:val="00DB5824"/>
    <w:rsid w:val="00DB6032"/>
    <w:rsid w:val="00DB62BE"/>
    <w:rsid w:val="00DB645C"/>
    <w:rsid w:val="00DB67BD"/>
    <w:rsid w:val="00DB6FF1"/>
    <w:rsid w:val="00DB7378"/>
    <w:rsid w:val="00DB74E1"/>
    <w:rsid w:val="00DB7DD5"/>
    <w:rsid w:val="00DB7F28"/>
    <w:rsid w:val="00DB7F29"/>
    <w:rsid w:val="00DC01C5"/>
    <w:rsid w:val="00DC248E"/>
    <w:rsid w:val="00DC2982"/>
    <w:rsid w:val="00DC3C84"/>
    <w:rsid w:val="00DC3E76"/>
    <w:rsid w:val="00DC463E"/>
    <w:rsid w:val="00DC495D"/>
    <w:rsid w:val="00DC5ABE"/>
    <w:rsid w:val="00DC6FB3"/>
    <w:rsid w:val="00DC7C99"/>
    <w:rsid w:val="00DC7F26"/>
    <w:rsid w:val="00DD1325"/>
    <w:rsid w:val="00DD3244"/>
    <w:rsid w:val="00DD3911"/>
    <w:rsid w:val="00DD3FD4"/>
    <w:rsid w:val="00DD4992"/>
    <w:rsid w:val="00DD4DED"/>
    <w:rsid w:val="00DD5193"/>
    <w:rsid w:val="00DD53C5"/>
    <w:rsid w:val="00DD58A7"/>
    <w:rsid w:val="00DD5F3A"/>
    <w:rsid w:val="00DD614A"/>
    <w:rsid w:val="00DD62EB"/>
    <w:rsid w:val="00DD664A"/>
    <w:rsid w:val="00DD6CEB"/>
    <w:rsid w:val="00DD6E84"/>
    <w:rsid w:val="00DD7587"/>
    <w:rsid w:val="00DD7F28"/>
    <w:rsid w:val="00DE22B5"/>
    <w:rsid w:val="00DE2772"/>
    <w:rsid w:val="00DE2D0C"/>
    <w:rsid w:val="00DE3C13"/>
    <w:rsid w:val="00DE465C"/>
    <w:rsid w:val="00DE4B46"/>
    <w:rsid w:val="00DE536B"/>
    <w:rsid w:val="00DE585F"/>
    <w:rsid w:val="00DE5AB6"/>
    <w:rsid w:val="00DE5C39"/>
    <w:rsid w:val="00DE5D03"/>
    <w:rsid w:val="00DE5D9E"/>
    <w:rsid w:val="00DE5FC5"/>
    <w:rsid w:val="00DE712F"/>
    <w:rsid w:val="00DE7F14"/>
    <w:rsid w:val="00DF0155"/>
    <w:rsid w:val="00DF0242"/>
    <w:rsid w:val="00DF07E6"/>
    <w:rsid w:val="00DF08BE"/>
    <w:rsid w:val="00DF094B"/>
    <w:rsid w:val="00DF0A6D"/>
    <w:rsid w:val="00DF0DCB"/>
    <w:rsid w:val="00DF1B2C"/>
    <w:rsid w:val="00DF1DE6"/>
    <w:rsid w:val="00DF1E5C"/>
    <w:rsid w:val="00DF23FD"/>
    <w:rsid w:val="00DF33C8"/>
    <w:rsid w:val="00DF3D8C"/>
    <w:rsid w:val="00DF3FBD"/>
    <w:rsid w:val="00DF3FD0"/>
    <w:rsid w:val="00DF4CD0"/>
    <w:rsid w:val="00DF4CD3"/>
    <w:rsid w:val="00DF4D61"/>
    <w:rsid w:val="00DF6F94"/>
    <w:rsid w:val="00DF715D"/>
    <w:rsid w:val="00E00123"/>
    <w:rsid w:val="00E00378"/>
    <w:rsid w:val="00E00450"/>
    <w:rsid w:val="00E00BF4"/>
    <w:rsid w:val="00E0109C"/>
    <w:rsid w:val="00E02914"/>
    <w:rsid w:val="00E0332A"/>
    <w:rsid w:val="00E0502D"/>
    <w:rsid w:val="00E06C7F"/>
    <w:rsid w:val="00E06DF3"/>
    <w:rsid w:val="00E07AA9"/>
    <w:rsid w:val="00E10FDE"/>
    <w:rsid w:val="00E113F8"/>
    <w:rsid w:val="00E119B3"/>
    <w:rsid w:val="00E11EEA"/>
    <w:rsid w:val="00E124D4"/>
    <w:rsid w:val="00E12E6B"/>
    <w:rsid w:val="00E13E9A"/>
    <w:rsid w:val="00E13EF0"/>
    <w:rsid w:val="00E144E0"/>
    <w:rsid w:val="00E147FA"/>
    <w:rsid w:val="00E15DDE"/>
    <w:rsid w:val="00E15F59"/>
    <w:rsid w:val="00E163DF"/>
    <w:rsid w:val="00E16EE9"/>
    <w:rsid w:val="00E17F13"/>
    <w:rsid w:val="00E203C1"/>
    <w:rsid w:val="00E20BD5"/>
    <w:rsid w:val="00E2103C"/>
    <w:rsid w:val="00E21851"/>
    <w:rsid w:val="00E2186D"/>
    <w:rsid w:val="00E21A3F"/>
    <w:rsid w:val="00E21B85"/>
    <w:rsid w:val="00E23033"/>
    <w:rsid w:val="00E233AB"/>
    <w:rsid w:val="00E235B3"/>
    <w:rsid w:val="00E2375F"/>
    <w:rsid w:val="00E23DC9"/>
    <w:rsid w:val="00E24433"/>
    <w:rsid w:val="00E248CC"/>
    <w:rsid w:val="00E2490F"/>
    <w:rsid w:val="00E24FE3"/>
    <w:rsid w:val="00E250FD"/>
    <w:rsid w:val="00E25A3D"/>
    <w:rsid w:val="00E25C19"/>
    <w:rsid w:val="00E25EEC"/>
    <w:rsid w:val="00E26C86"/>
    <w:rsid w:val="00E277A5"/>
    <w:rsid w:val="00E3082B"/>
    <w:rsid w:val="00E31A01"/>
    <w:rsid w:val="00E31B35"/>
    <w:rsid w:val="00E320A1"/>
    <w:rsid w:val="00E32437"/>
    <w:rsid w:val="00E325F7"/>
    <w:rsid w:val="00E33ED1"/>
    <w:rsid w:val="00E34113"/>
    <w:rsid w:val="00E34BED"/>
    <w:rsid w:val="00E34CA7"/>
    <w:rsid w:val="00E35AA0"/>
    <w:rsid w:val="00E37124"/>
    <w:rsid w:val="00E373A7"/>
    <w:rsid w:val="00E3793D"/>
    <w:rsid w:val="00E4003D"/>
    <w:rsid w:val="00E414E6"/>
    <w:rsid w:val="00E416A1"/>
    <w:rsid w:val="00E41A74"/>
    <w:rsid w:val="00E41B83"/>
    <w:rsid w:val="00E420BC"/>
    <w:rsid w:val="00E421EC"/>
    <w:rsid w:val="00E42A97"/>
    <w:rsid w:val="00E42BC5"/>
    <w:rsid w:val="00E43010"/>
    <w:rsid w:val="00E4305A"/>
    <w:rsid w:val="00E430AA"/>
    <w:rsid w:val="00E43A00"/>
    <w:rsid w:val="00E43A69"/>
    <w:rsid w:val="00E43AA2"/>
    <w:rsid w:val="00E449F6"/>
    <w:rsid w:val="00E44A6D"/>
    <w:rsid w:val="00E44D7B"/>
    <w:rsid w:val="00E44E37"/>
    <w:rsid w:val="00E454FA"/>
    <w:rsid w:val="00E45C1F"/>
    <w:rsid w:val="00E45E72"/>
    <w:rsid w:val="00E45ED8"/>
    <w:rsid w:val="00E45F44"/>
    <w:rsid w:val="00E4688D"/>
    <w:rsid w:val="00E46A40"/>
    <w:rsid w:val="00E46F74"/>
    <w:rsid w:val="00E46FE6"/>
    <w:rsid w:val="00E4731A"/>
    <w:rsid w:val="00E5095C"/>
    <w:rsid w:val="00E50B01"/>
    <w:rsid w:val="00E512A6"/>
    <w:rsid w:val="00E5342C"/>
    <w:rsid w:val="00E55A0A"/>
    <w:rsid w:val="00E566A7"/>
    <w:rsid w:val="00E56E17"/>
    <w:rsid w:val="00E57088"/>
    <w:rsid w:val="00E570C2"/>
    <w:rsid w:val="00E57753"/>
    <w:rsid w:val="00E61091"/>
    <w:rsid w:val="00E61215"/>
    <w:rsid w:val="00E62676"/>
    <w:rsid w:val="00E62A19"/>
    <w:rsid w:val="00E631A8"/>
    <w:rsid w:val="00E63230"/>
    <w:rsid w:val="00E6362E"/>
    <w:rsid w:val="00E63BEC"/>
    <w:rsid w:val="00E64240"/>
    <w:rsid w:val="00E647C5"/>
    <w:rsid w:val="00E649CA"/>
    <w:rsid w:val="00E65953"/>
    <w:rsid w:val="00E65E25"/>
    <w:rsid w:val="00E65FFE"/>
    <w:rsid w:val="00E667D0"/>
    <w:rsid w:val="00E667E1"/>
    <w:rsid w:val="00E66C1C"/>
    <w:rsid w:val="00E673B6"/>
    <w:rsid w:val="00E702E8"/>
    <w:rsid w:val="00E7180F"/>
    <w:rsid w:val="00E71987"/>
    <w:rsid w:val="00E72C8B"/>
    <w:rsid w:val="00E72CF4"/>
    <w:rsid w:val="00E73872"/>
    <w:rsid w:val="00E74984"/>
    <w:rsid w:val="00E74D74"/>
    <w:rsid w:val="00E7503F"/>
    <w:rsid w:val="00E75305"/>
    <w:rsid w:val="00E759FD"/>
    <w:rsid w:val="00E75C09"/>
    <w:rsid w:val="00E7622E"/>
    <w:rsid w:val="00E765AF"/>
    <w:rsid w:val="00E77063"/>
    <w:rsid w:val="00E77406"/>
    <w:rsid w:val="00E776C7"/>
    <w:rsid w:val="00E8008A"/>
    <w:rsid w:val="00E83332"/>
    <w:rsid w:val="00E8362F"/>
    <w:rsid w:val="00E83D85"/>
    <w:rsid w:val="00E844A4"/>
    <w:rsid w:val="00E84C62"/>
    <w:rsid w:val="00E86756"/>
    <w:rsid w:val="00E87732"/>
    <w:rsid w:val="00E87BB7"/>
    <w:rsid w:val="00E87F8E"/>
    <w:rsid w:val="00E901A6"/>
    <w:rsid w:val="00E90286"/>
    <w:rsid w:val="00E9123C"/>
    <w:rsid w:val="00E9160D"/>
    <w:rsid w:val="00E91768"/>
    <w:rsid w:val="00E91A4A"/>
    <w:rsid w:val="00E92CBA"/>
    <w:rsid w:val="00E92D55"/>
    <w:rsid w:val="00E92F7F"/>
    <w:rsid w:val="00E94139"/>
    <w:rsid w:val="00E9467D"/>
    <w:rsid w:val="00E95404"/>
    <w:rsid w:val="00E96D9F"/>
    <w:rsid w:val="00E97B28"/>
    <w:rsid w:val="00E97D1C"/>
    <w:rsid w:val="00EA0BC6"/>
    <w:rsid w:val="00EA0EFF"/>
    <w:rsid w:val="00EA16F4"/>
    <w:rsid w:val="00EA2223"/>
    <w:rsid w:val="00EA2ABB"/>
    <w:rsid w:val="00EA33D9"/>
    <w:rsid w:val="00EA3899"/>
    <w:rsid w:val="00EA400E"/>
    <w:rsid w:val="00EA53AF"/>
    <w:rsid w:val="00EA53D4"/>
    <w:rsid w:val="00EA540D"/>
    <w:rsid w:val="00EA555D"/>
    <w:rsid w:val="00EA63FC"/>
    <w:rsid w:val="00EA683E"/>
    <w:rsid w:val="00EA7A50"/>
    <w:rsid w:val="00EB12AA"/>
    <w:rsid w:val="00EB12F0"/>
    <w:rsid w:val="00EB153B"/>
    <w:rsid w:val="00EB1EC6"/>
    <w:rsid w:val="00EB2244"/>
    <w:rsid w:val="00EB2416"/>
    <w:rsid w:val="00EB2A89"/>
    <w:rsid w:val="00EB2F30"/>
    <w:rsid w:val="00EB34A3"/>
    <w:rsid w:val="00EB4313"/>
    <w:rsid w:val="00EB507C"/>
    <w:rsid w:val="00EB52C9"/>
    <w:rsid w:val="00EB57DD"/>
    <w:rsid w:val="00EB5C81"/>
    <w:rsid w:val="00EB6087"/>
    <w:rsid w:val="00EB68A4"/>
    <w:rsid w:val="00EB7F55"/>
    <w:rsid w:val="00EC01B7"/>
    <w:rsid w:val="00EC0241"/>
    <w:rsid w:val="00EC043C"/>
    <w:rsid w:val="00EC0A29"/>
    <w:rsid w:val="00EC120D"/>
    <w:rsid w:val="00EC161F"/>
    <w:rsid w:val="00EC1995"/>
    <w:rsid w:val="00EC19A7"/>
    <w:rsid w:val="00EC1A13"/>
    <w:rsid w:val="00EC2396"/>
    <w:rsid w:val="00EC33BA"/>
    <w:rsid w:val="00EC360F"/>
    <w:rsid w:val="00EC4742"/>
    <w:rsid w:val="00EC48E7"/>
    <w:rsid w:val="00EC4C53"/>
    <w:rsid w:val="00EC4E1E"/>
    <w:rsid w:val="00EC51A5"/>
    <w:rsid w:val="00EC5F75"/>
    <w:rsid w:val="00EC5FE2"/>
    <w:rsid w:val="00EC6550"/>
    <w:rsid w:val="00EC65E8"/>
    <w:rsid w:val="00EC6DA9"/>
    <w:rsid w:val="00EC6F09"/>
    <w:rsid w:val="00EC72B4"/>
    <w:rsid w:val="00EC741F"/>
    <w:rsid w:val="00EC7A35"/>
    <w:rsid w:val="00EC7F03"/>
    <w:rsid w:val="00ED0228"/>
    <w:rsid w:val="00ED0580"/>
    <w:rsid w:val="00ED06D6"/>
    <w:rsid w:val="00ED0A5F"/>
    <w:rsid w:val="00ED1C1E"/>
    <w:rsid w:val="00ED215A"/>
    <w:rsid w:val="00ED2A3B"/>
    <w:rsid w:val="00ED309E"/>
    <w:rsid w:val="00ED416A"/>
    <w:rsid w:val="00ED5645"/>
    <w:rsid w:val="00ED5B1B"/>
    <w:rsid w:val="00ED5D9E"/>
    <w:rsid w:val="00ED5E62"/>
    <w:rsid w:val="00ED6232"/>
    <w:rsid w:val="00ED6AAC"/>
    <w:rsid w:val="00ED6D00"/>
    <w:rsid w:val="00ED7010"/>
    <w:rsid w:val="00ED72EF"/>
    <w:rsid w:val="00ED7A11"/>
    <w:rsid w:val="00EE15F8"/>
    <w:rsid w:val="00EE1E7B"/>
    <w:rsid w:val="00EE21A9"/>
    <w:rsid w:val="00EE38F6"/>
    <w:rsid w:val="00EE3ED5"/>
    <w:rsid w:val="00EE3F59"/>
    <w:rsid w:val="00EE4BCE"/>
    <w:rsid w:val="00EE4D77"/>
    <w:rsid w:val="00EE4F79"/>
    <w:rsid w:val="00EE54D0"/>
    <w:rsid w:val="00EE63FF"/>
    <w:rsid w:val="00EE7034"/>
    <w:rsid w:val="00EE76A6"/>
    <w:rsid w:val="00EF1A2B"/>
    <w:rsid w:val="00EF1FF5"/>
    <w:rsid w:val="00EF22BC"/>
    <w:rsid w:val="00EF2699"/>
    <w:rsid w:val="00EF282B"/>
    <w:rsid w:val="00EF2C51"/>
    <w:rsid w:val="00EF2FD0"/>
    <w:rsid w:val="00EF3035"/>
    <w:rsid w:val="00EF3160"/>
    <w:rsid w:val="00EF49A8"/>
    <w:rsid w:val="00EF4DBD"/>
    <w:rsid w:val="00EF4F04"/>
    <w:rsid w:val="00EF5746"/>
    <w:rsid w:val="00EF5CAF"/>
    <w:rsid w:val="00EF5D96"/>
    <w:rsid w:val="00EF7370"/>
    <w:rsid w:val="00EF7CFB"/>
    <w:rsid w:val="00F003E2"/>
    <w:rsid w:val="00F00574"/>
    <w:rsid w:val="00F0080E"/>
    <w:rsid w:val="00F00D34"/>
    <w:rsid w:val="00F01331"/>
    <w:rsid w:val="00F017AB"/>
    <w:rsid w:val="00F019A6"/>
    <w:rsid w:val="00F01E88"/>
    <w:rsid w:val="00F02549"/>
    <w:rsid w:val="00F02E61"/>
    <w:rsid w:val="00F039E5"/>
    <w:rsid w:val="00F0461C"/>
    <w:rsid w:val="00F0500A"/>
    <w:rsid w:val="00F0527E"/>
    <w:rsid w:val="00F05D27"/>
    <w:rsid w:val="00F06193"/>
    <w:rsid w:val="00F068BF"/>
    <w:rsid w:val="00F06E1F"/>
    <w:rsid w:val="00F06E9C"/>
    <w:rsid w:val="00F073F5"/>
    <w:rsid w:val="00F07DB1"/>
    <w:rsid w:val="00F07F56"/>
    <w:rsid w:val="00F10B8B"/>
    <w:rsid w:val="00F11628"/>
    <w:rsid w:val="00F11A38"/>
    <w:rsid w:val="00F11A68"/>
    <w:rsid w:val="00F11DE4"/>
    <w:rsid w:val="00F12044"/>
    <w:rsid w:val="00F1341A"/>
    <w:rsid w:val="00F135F5"/>
    <w:rsid w:val="00F14203"/>
    <w:rsid w:val="00F14268"/>
    <w:rsid w:val="00F142D6"/>
    <w:rsid w:val="00F1460C"/>
    <w:rsid w:val="00F1479C"/>
    <w:rsid w:val="00F154EE"/>
    <w:rsid w:val="00F1553E"/>
    <w:rsid w:val="00F15740"/>
    <w:rsid w:val="00F15FB1"/>
    <w:rsid w:val="00F1771C"/>
    <w:rsid w:val="00F17CAA"/>
    <w:rsid w:val="00F20E7B"/>
    <w:rsid w:val="00F2118E"/>
    <w:rsid w:val="00F234FD"/>
    <w:rsid w:val="00F23502"/>
    <w:rsid w:val="00F2446C"/>
    <w:rsid w:val="00F24760"/>
    <w:rsid w:val="00F24E92"/>
    <w:rsid w:val="00F26245"/>
    <w:rsid w:val="00F307E6"/>
    <w:rsid w:val="00F312C1"/>
    <w:rsid w:val="00F31827"/>
    <w:rsid w:val="00F31D40"/>
    <w:rsid w:val="00F31F6C"/>
    <w:rsid w:val="00F32412"/>
    <w:rsid w:val="00F32EAA"/>
    <w:rsid w:val="00F33E6D"/>
    <w:rsid w:val="00F347D0"/>
    <w:rsid w:val="00F3492C"/>
    <w:rsid w:val="00F34ED9"/>
    <w:rsid w:val="00F35519"/>
    <w:rsid w:val="00F357E5"/>
    <w:rsid w:val="00F35AB6"/>
    <w:rsid w:val="00F35BF9"/>
    <w:rsid w:val="00F36F52"/>
    <w:rsid w:val="00F378AB"/>
    <w:rsid w:val="00F37CF8"/>
    <w:rsid w:val="00F40784"/>
    <w:rsid w:val="00F407EF"/>
    <w:rsid w:val="00F409DF"/>
    <w:rsid w:val="00F40F09"/>
    <w:rsid w:val="00F4125B"/>
    <w:rsid w:val="00F41669"/>
    <w:rsid w:val="00F426C1"/>
    <w:rsid w:val="00F42900"/>
    <w:rsid w:val="00F42E11"/>
    <w:rsid w:val="00F42F22"/>
    <w:rsid w:val="00F4397C"/>
    <w:rsid w:val="00F43C8D"/>
    <w:rsid w:val="00F43D46"/>
    <w:rsid w:val="00F443D5"/>
    <w:rsid w:val="00F4464F"/>
    <w:rsid w:val="00F44692"/>
    <w:rsid w:val="00F4557F"/>
    <w:rsid w:val="00F45977"/>
    <w:rsid w:val="00F45A59"/>
    <w:rsid w:val="00F46F88"/>
    <w:rsid w:val="00F473EF"/>
    <w:rsid w:val="00F475BF"/>
    <w:rsid w:val="00F47D29"/>
    <w:rsid w:val="00F47F3D"/>
    <w:rsid w:val="00F50FC3"/>
    <w:rsid w:val="00F5171B"/>
    <w:rsid w:val="00F51725"/>
    <w:rsid w:val="00F51935"/>
    <w:rsid w:val="00F519E7"/>
    <w:rsid w:val="00F522F3"/>
    <w:rsid w:val="00F52F85"/>
    <w:rsid w:val="00F53112"/>
    <w:rsid w:val="00F5342C"/>
    <w:rsid w:val="00F54B38"/>
    <w:rsid w:val="00F55A32"/>
    <w:rsid w:val="00F562CF"/>
    <w:rsid w:val="00F56E4F"/>
    <w:rsid w:val="00F57459"/>
    <w:rsid w:val="00F57ACB"/>
    <w:rsid w:val="00F57F2A"/>
    <w:rsid w:val="00F57F7E"/>
    <w:rsid w:val="00F60186"/>
    <w:rsid w:val="00F60893"/>
    <w:rsid w:val="00F60AE3"/>
    <w:rsid w:val="00F60D1F"/>
    <w:rsid w:val="00F61167"/>
    <w:rsid w:val="00F6144F"/>
    <w:rsid w:val="00F6204A"/>
    <w:rsid w:val="00F62DA5"/>
    <w:rsid w:val="00F62E2C"/>
    <w:rsid w:val="00F62EB2"/>
    <w:rsid w:val="00F63688"/>
    <w:rsid w:val="00F637BD"/>
    <w:rsid w:val="00F63ADE"/>
    <w:rsid w:val="00F63CB4"/>
    <w:rsid w:val="00F64ABE"/>
    <w:rsid w:val="00F64DD1"/>
    <w:rsid w:val="00F651AE"/>
    <w:rsid w:val="00F65353"/>
    <w:rsid w:val="00F654C7"/>
    <w:rsid w:val="00F65896"/>
    <w:rsid w:val="00F65DF8"/>
    <w:rsid w:val="00F65F5D"/>
    <w:rsid w:val="00F66452"/>
    <w:rsid w:val="00F6670C"/>
    <w:rsid w:val="00F67BDB"/>
    <w:rsid w:val="00F701E9"/>
    <w:rsid w:val="00F71161"/>
    <w:rsid w:val="00F73668"/>
    <w:rsid w:val="00F7398C"/>
    <w:rsid w:val="00F74799"/>
    <w:rsid w:val="00F74DF5"/>
    <w:rsid w:val="00F75CFD"/>
    <w:rsid w:val="00F80751"/>
    <w:rsid w:val="00F80A5F"/>
    <w:rsid w:val="00F81BB1"/>
    <w:rsid w:val="00F81E64"/>
    <w:rsid w:val="00F81ED9"/>
    <w:rsid w:val="00F822AA"/>
    <w:rsid w:val="00F829ED"/>
    <w:rsid w:val="00F84030"/>
    <w:rsid w:val="00F8419D"/>
    <w:rsid w:val="00F844BC"/>
    <w:rsid w:val="00F8471F"/>
    <w:rsid w:val="00F84815"/>
    <w:rsid w:val="00F84A01"/>
    <w:rsid w:val="00F850E2"/>
    <w:rsid w:val="00F851DD"/>
    <w:rsid w:val="00F85DDF"/>
    <w:rsid w:val="00F862CE"/>
    <w:rsid w:val="00F86310"/>
    <w:rsid w:val="00F8634F"/>
    <w:rsid w:val="00F866F6"/>
    <w:rsid w:val="00F87CBD"/>
    <w:rsid w:val="00F908F7"/>
    <w:rsid w:val="00F90B65"/>
    <w:rsid w:val="00F90BFB"/>
    <w:rsid w:val="00F91791"/>
    <w:rsid w:val="00F91832"/>
    <w:rsid w:val="00F9267D"/>
    <w:rsid w:val="00F92A30"/>
    <w:rsid w:val="00F92B89"/>
    <w:rsid w:val="00F935E7"/>
    <w:rsid w:val="00F94209"/>
    <w:rsid w:val="00F94BC9"/>
    <w:rsid w:val="00F95BD8"/>
    <w:rsid w:val="00F9668F"/>
    <w:rsid w:val="00F96B26"/>
    <w:rsid w:val="00F97151"/>
    <w:rsid w:val="00F973C4"/>
    <w:rsid w:val="00F97E83"/>
    <w:rsid w:val="00FA02E8"/>
    <w:rsid w:val="00FA151A"/>
    <w:rsid w:val="00FA1BE0"/>
    <w:rsid w:val="00FA2008"/>
    <w:rsid w:val="00FA2070"/>
    <w:rsid w:val="00FA3B31"/>
    <w:rsid w:val="00FA3BD8"/>
    <w:rsid w:val="00FA3D29"/>
    <w:rsid w:val="00FA415C"/>
    <w:rsid w:val="00FA4203"/>
    <w:rsid w:val="00FA446D"/>
    <w:rsid w:val="00FA476E"/>
    <w:rsid w:val="00FA47F1"/>
    <w:rsid w:val="00FA4AC6"/>
    <w:rsid w:val="00FA50D4"/>
    <w:rsid w:val="00FA5F26"/>
    <w:rsid w:val="00FA61F7"/>
    <w:rsid w:val="00FA6377"/>
    <w:rsid w:val="00FA65C5"/>
    <w:rsid w:val="00FA697E"/>
    <w:rsid w:val="00FA7319"/>
    <w:rsid w:val="00FB1982"/>
    <w:rsid w:val="00FB230A"/>
    <w:rsid w:val="00FB26F0"/>
    <w:rsid w:val="00FB28C6"/>
    <w:rsid w:val="00FB2914"/>
    <w:rsid w:val="00FB29EF"/>
    <w:rsid w:val="00FB39D4"/>
    <w:rsid w:val="00FB3D74"/>
    <w:rsid w:val="00FB3DC9"/>
    <w:rsid w:val="00FB4727"/>
    <w:rsid w:val="00FB525A"/>
    <w:rsid w:val="00FB54EE"/>
    <w:rsid w:val="00FB54F8"/>
    <w:rsid w:val="00FB6462"/>
    <w:rsid w:val="00FB6BD7"/>
    <w:rsid w:val="00FC0628"/>
    <w:rsid w:val="00FC0BB6"/>
    <w:rsid w:val="00FC1304"/>
    <w:rsid w:val="00FC15F9"/>
    <w:rsid w:val="00FC235E"/>
    <w:rsid w:val="00FC24E2"/>
    <w:rsid w:val="00FC2926"/>
    <w:rsid w:val="00FC361D"/>
    <w:rsid w:val="00FC3AA1"/>
    <w:rsid w:val="00FC3B43"/>
    <w:rsid w:val="00FC4192"/>
    <w:rsid w:val="00FC5787"/>
    <w:rsid w:val="00FC6345"/>
    <w:rsid w:val="00FC6907"/>
    <w:rsid w:val="00FC6D12"/>
    <w:rsid w:val="00FC7198"/>
    <w:rsid w:val="00FC75F8"/>
    <w:rsid w:val="00FC7936"/>
    <w:rsid w:val="00FD0C34"/>
    <w:rsid w:val="00FD1100"/>
    <w:rsid w:val="00FD1681"/>
    <w:rsid w:val="00FD1C75"/>
    <w:rsid w:val="00FD2126"/>
    <w:rsid w:val="00FD23FA"/>
    <w:rsid w:val="00FD28C8"/>
    <w:rsid w:val="00FD299D"/>
    <w:rsid w:val="00FD2DA5"/>
    <w:rsid w:val="00FD335D"/>
    <w:rsid w:val="00FD3EEF"/>
    <w:rsid w:val="00FD5954"/>
    <w:rsid w:val="00FD62A3"/>
    <w:rsid w:val="00FD7320"/>
    <w:rsid w:val="00FD74C1"/>
    <w:rsid w:val="00FD7AC6"/>
    <w:rsid w:val="00FD7AF3"/>
    <w:rsid w:val="00FE05DD"/>
    <w:rsid w:val="00FE071F"/>
    <w:rsid w:val="00FE1D55"/>
    <w:rsid w:val="00FE2482"/>
    <w:rsid w:val="00FE24C3"/>
    <w:rsid w:val="00FE2616"/>
    <w:rsid w:val="00FE2A16"/>
    <w:rsid w:val="00FE2C1C"/>
    <w:rsid w:val="00FE2C2E"/>
    <w:rsid w:val="00FE2FE0"/>
    <w:rsid w:val="00FE3423"/>
    <w:rsid w:val="00FE3E22"/>
    <w:rsid w:val="00FE4CB8"/>
    <w:rsid w:val="00FE6141"/>
    <w:rsid w:val="00FE6CE7"/>
    <w:rsid w:val="00FE7196"/>
    <w:rsid w:val="00FF038B"/>
    <w:rsid w:val="00FF03DF"/>
    <w:rsid w:val="00FF1B46"/>
    <w:rsid w:val="00FF2131"/>
    <w:rsid w:val="00FF21D8"/>
    <w:rsid w:val="00FF2C07"/>
    <w:rsid w:val="00FF4279"/>
    <w:rsid w:val="00FF57AE"/>
    <w:rsid w:val="00FF57C8"/>
    <w:rsid w:val="00FF68FA"/>
    <w:rsid w:val="00FF6EAF"/>
    <w:rsid w:val="00FF7891"/>
    <w:rsid w:val="00FF7F2D"/>
    <w:rsid w:val="010B5EF9"/>
    <w:rsid w:val="015972ED"/>
    <w:rsid w:val="01607D4B"/>
    <w:rsid w:val="016A05EB"/>
    <w:rsid w:val="016C2AAD"/>
    <w:rsid w:val="0177566F"/>
    <w:rsid w:val="01801F61"/>
    <w:rsid w:val="01805A64"/>
    <w:rsid w:val="018856AF"/>
    <w:rsid w:val="019A047D"/>
    <w:rsid w:val="01C23666"/>
    <w:rsid w:val="01D129DD"/>
    <w:rsid w:val="01E23011"/>
    <w:rsid w:val="01ED5F51"/>
    <w:rsid w:val="01F406CE"/>
    <w:rsid w:val="02165383"/>
    <w:rsid w:val="02212724"/>
    <w:rsid w:val="02315245"/>
    <w:rsid w:val="0234667D"/>
    <w:rsid w:val="027F104C"/>
    <w:rsid w:val="028503A2"/>
    <w:rsid w:val="028F3C15"/>
    <w:rsid w:val="02944666"/>
    <w:rsid w:val="02C44E0D"/>
    <w:rsid w:val="02E57F7F"/>
    <w:rsid w:val="030671D3"/>
    <w:rsid w:val="030B6AD4"/>
    <w:rsid w:val="03197EFA"/>
    <w:rsid w:val="03257263"/>
    <w:rsid w:val="033D7DA2"/>
    <w:rsid w:val="03420B4B"/>
    <w:rsid w:val="035D49C3"/>
    <w:rsid w:val="035E2BF3"/>
    <w:rsid w:val="03783BBA"/>
    <w:rsid w:val="03CA47BF"/>
    <w:rsid w:val="03D31A4A"/>
    <w:rsid w:val="03DA091C"/>
    <w:rsid w:val="03F27377"/>
    <w:rsid w:val="040E3B5A"/>
    <w:rsid w:val="04181CE3"/>
    <w:rsid w:val="04253689"/>
    <w:rsid w:val="042D7CAB"/>
    <w:rsid w:val="043D09D3"/>
    <w:rsid w:val="04466CC0"/>
    <w:rsid w:val="044A62C9"/>
    <w:rsid w:val="04792C8B"/>
    <w:rsid w:val="04BD455F"/>
    <w:rsid w:val="04C92A71"/>
    <w:rsid w:val="04D85410"/>
    <w:rsid w:val="04EA3DE8"/>
    <w:rsid w:val="05022CF6"/>
    <w:rsid w:val="05036D1A"/>
    <w:rsid w:val="0511547C"/>
    <w:rsid w:val="052829CA"/>
    <w:rsid w:val="05373609"/>
    <w:rsid w:val="053C4B9B"/>
    <w:rsid w:val="053F6D43"/>
    <w:rsid w:val="05446163"/>
    <w:rsid w:val="054A4128"/>
    <w:rsid w:val="056333C0"/>
    <w:rsid w:val="056F086E"/>
    <w:rsid w:val="05C51EF3"/>
    <w:rsid w:val="05C52DA3"/>
    <w:rsid w:val="05D2339D"/>
    <w:rsid w:val="05D71422"/>
    <w:rsid w:val="05D93909"/>
    <w:rsid w:val="05DE59B0"/>
    <w:rsid w:val="05E34320"/>
    <w:rsid w:val="05E5762C"/>
    <w:rsid w:val="05E678AE"/>
    <w:rsid w:val="05ED39C1"/>
    <w:rsid w:val="05F61630"/>
    <w:rsid w:val="0611589A"/>
    <w:rsid w:val="0614226C"/>
    <w:rsid w:val="061463F2"/>
    <w:rsid w:val="06223FF4"/>
    <w:rsid w:val="062F5566"/>
    <w:rsid w:val="06372631"/>
    <w:rsid w:val="063B2C83"/>
    <w:rsid w:val="063E7ECD"/>
    <w:rsid w:val="065062C2"/>
    <w:rsid w:val="065B08F8"/>
    <w:rsid w:val="066A1827"/>
    <w:rsid w:val="06A64CBC"/>
    <w:rsid w:val="06F011D8"/>
    <w:rsid w:val="070907A7"/>
    <w:rsid w:val="073C1416"/>
    <w:rsid w:val="07466D14"/>
    <w:rsid w:val="07482B8E"/>
    <w:rsid w:val="074A6490"/>
    <w:rsid w:val="07582A99"/>
    <w:rsid w:val="078B414B"/>
    <w:rsid w:val="07986205"/>
    <w:rsid w:val="07AA516F"/>
    <w:rsid w:val="07B41583"/>
    <w:rsid w:val="07C90498"/>
    <w:rsid w:val="07DC6AB3"/>
    <w:rsid w:val="07DD25F3"/>
    <w:rsid w:val="07E13D6B"/>
    <w:rsid w:val="07EB08ED"/>
    <w:rsid w:val="07EC1DA5"/>
    <w:rsid w:val="07F13DF0"/>
    <w:rsid w:val="07F301AA"/>
    <w:rsid w:val="0801425C"/>
    <w:rsid w:val="08166F19"/>
    <w:rsid w:val="08387E2F"/>
    <w:rsid w:val="083A1A68"/>
    <w:rsid w:val="08417340"/>
    <w:rsid w:val="085F48A7"/>
    <w:rsid w:val="08695F8F"/>
    <w:rsid w:val="088A2683"/>
    <w:rsid w:val="088E652A"/>
    <w:rsid w:val="08961364"/>
    <w:rsid w:val="08AB294D"/>
    <w:rsid w:val="08C663F3"/>
    <w:rsid w:val="08C9401E"/>
    <w:rsid w:val="08D642A7"/>
    <w:rsid w:val="08E40740"/>
    <w:rsid w:val="08FD3E6F"/>
    <w:rsid w:val="09086B6E"/>
    <w:rsid w:val="09395A24"/>
    <w:rsid w:val="09434CDD"/>
    <w:rsid w:val="09574C18"/>
    <w:rsid w:val="09622305"/>
    <w:rsid w:val="09723751"/>
    <w:rsid w:val="09870384"/>
    <w:rsid w:val="09A0525B"/>
    <w:rsid w:val="09E92231"/>
    <w:rsid w:val="09F60D28"/>
    <w:rsid w:val="09FE39AC"/>
    <w:rsid w:val="0A09436D"/>
    <w:rsid w:val="0A0B5A30"/>
    <w:rsid w:val="0A1B549A"/>
    <w:rsid w:val="0A243141"/>
    <w:rsid w:val="0A411EAA"/>
    <w:rsid w:val="0A511B01"/>
    <w:rsid w:val="0A615668"/>
    <w:rsid w:val="0A9E00E6"/>
    <w:rsid w:val="0AA80A96"/>
    <w:rsid w:val="0AB85EFF"/>
    <w:rsid w:val="0AC16CDD"/>
    <w:rsid w:val="0AC81FCA"/>
    <w:rsid w:val="0AE216EE"/>
    <w:rsid w:val="0AF9588B"/>
    <w:rsid w:val="0B053EFC"/>
    <w:rsid w:val="0B063922"/>
    <w:rsid w:val="0B0B739C"/>
    <w:rsid w:val="0B21376D"/>
    <w:rsid w:val="0B2B6A84"/>
    <w:rsid w:val="0B2B7A04"/>
    <w:rsid w:val="0B430ABF"/>
    <w:rsid w:val="0B436951"/>
    <w:rsid w:val="0B482B03"/>
    <w:rsid w:val="0B484FA6"/>
    <w:rsid w:val="0B5457B3"/>
    <w:rsid w:val="0B891132"/>
    <w:rsid w:val="0BF750BE"/>
    <w:rsid w:val="0BF82DEC"/>
    <w:rsid w:val="0BFF111F"/>
    <w:rsid w:val="0C00617C"/>
    <w:rsid w:val="0C12318F"/>
    <w:rsid w:val="0C210BDA"/>
    <w:rsid w:val="0C3B2340"/>
    <w:rsid w:val="0C4323FA"/>
    <w:rsid w:val="0C642B4E"/>
    <w:rsid w:val="0C6A432F"/>
    <w:rsid w:val="0C8024A1"/>
    <w:rsid w:val="0C8A49D1"/>
    <w:rsid w:val="0C992E66"/>
    <w:rsid w:val="0CF25D4B"/>
    <w:rsid w:val="0CF4045B"/>
    <w:rsid w:val="0CFE1BEE"/>
    <w:rsid w:val="0D3E2EC4"/>
    <w:rsid w:val="0D417429"/>
    <w:rsid w:val="0D4C6F3D"/>
    <w:rsid w:val="0D6D41A1"/>
    <w:rsid w:val="0D7C1394"/>
    <w:rsid w:val="0D8D616E"/>
    <w:rsid w:val="0D957BBE"/>
    <w:rsid w:val="0DCC6CF6"/>
    <w:rsid w:val="0DCD1408"/>
    <w:rsid w:val="0DD87A9B"/>
    <w:rsid w:val="0DEA01FC"/>
    <w:rsid w:val="0DF16C71"/>
    <w:rsid w:val="0DF80DB6"/>
    <w:rsid w:val="0DF959E3"/>
    <w:rsid w:val="0DFE1BD9"/>
    <w:rsid w:val="0E1F59AB"/>
    <w:rsid w:val="0E353346"/>
    <w:rsid w:val="0E407A3D"/>
    <w:rsid w:val="0E4679B8"/>
    <w:rsid w:val="0E5C7AAB"/>
    <w:rsid w:val="0E8244CE"/>
    <w:rsid w:val="0E8C3D26"/>
    <w:rsid w:val="0E9A426A"/>
    <w:rsid w:val="0EA02994"/>
    <w:rsid w:val="0EBF7037"/>
    <w:rsid w:val="0EC74259"/>
    <w:rsid w:val="0EE75020"/>
    <w:rsid w:val="0EF44384"/>
    <w:rsid w:val="0F021CFC"/>
    <w:rsid w:val="0F052866"/>
    <w:rsid w:val="0F0B44ED"/>
    <w:rsid w:val="0F58082B"/>
    <w:rsid w:val="0F616A89"/>
    <w:rsid w:val="0F6523F9"/>
    <w:rsid w:val="0F766893"/>
    <w:rsid w:val="0FA54430"/>
    <w:rsid w:val="0FA61B22"/>
    <w:rsid w:val="0FA9038E"/>
    <w:rsid w:val="0FAD63F7"/>
    <w:rsid w:val="0FB378A5"/>
    <w:rsid w:val="0FCF7861"/>
    <w:rsid w:val="0FE919EF"/>
    <w:rsid w:val="100B0543"/>
    <w:rsid w:val="100D185D"/>
    <w:rsid w:val="10283467"/>
    <w:rsid w:val="10327F45"/>
    <w:rsid w:val="10493E4D"/>
    <w:rsid w:val="104C02B7"/>
    <w:rsid w:val="10705DCE"/>
    <w:rsid w:val="10993E8F"/>
    <w:rsid w:val="10A33FC3"/>
    <w:rsid w:val="10A5002C"/>
    <w:rsid w:val="10AA0800"/>
    <w:rsid w:val="10AF2941"/>
    <w:rsid w:val="10CB41CA"/>
    <w:rsid w:val="10CC2969"/>
    <w:rsid w:val="111066DF"/>
    <w:rsid w:val="11134A70"/>
    <w:rsid w:val="114D00AE"/>
    <w:rsid w:val="11622074"/>
    <w:rsid w:val="119F6E93"/>
    <w:rsid w:val="11A263EB"/>
    <w:rsid w:val="11A54E9E"/>
    <w:rsid w:val="11A6481D"/>
    <w:rsid w:val="11A824BC"/>
    <w:rsid w:val="121511E1"/>
    <w:rsid w:val="12314A5F"/>
    <w:rsid w:val="12386191"/>
    <w:rsid w:val="12467552"/>
    <w:rsid w:val="12533414"/>
    <w:rsid w:val="12760760"/>
    <w:rsid w:val="127D1781"/>
    <w:rsid w:val="128509A4"/>
    <w:rsid w:val="129E6E8C"/>
    <w:rsid w:val="12A7753F"/>
    <w:rsid w:val="12C04D29"/>
    <w:rsid w:val="12C95683"/>
    <w:rsid w:val="12CC5605"/>
    <w:rsid w:val="12D13AA1"/>
    <w:rsid w:val="12D6070C"/>
    <w:rsid w:val="12D76CC3"/>
    <w:rsid w:val="12D92287"/>
    <w:rsid w:val="12F12D5C"/>
    <w:rsid w:val="12F62DC0"/>
    <w:rsid w:val="13012423"/>
    <w:rsid w:val="130569F3"/>
    <w:rsid w:val="13414F57"/>
    <w:rsid w:val="1346416F"/>
    <w:rsid w:val="13666EE7"/>
    <w:rsid w:val="13741729"/>
    <w:rsid w:val="138C38F6"/>
    <w:rsid w:val="138C55ED"/>
    <w:rsid w:val="138D0E5A"/>
    <w:rsid w:val="138D7AEF"/>
    <w:rsid w:val="13F66FFB"/>
    <w:rsid w:val="13F75813"/>
    <w:rsid w:val="14164D9C"/>
    <w:rsid w:val="141A4EE9"/>
    <w:rsid w:val="14307211"/>
    <w:rsid w:val="143A73FE"/>
    <w:rsid w:val="144D5FD7"/>
    <w:rsid w:val="146416CA"/>
    <w:rsid w:val="147A16D4"/>
    <w:rsid w:val="14B208CC"/>
    <w:rsid w:val="14B56F6A"/>
    <w:rsid w:val="14B90390"/>
    <w:rsid w:val="150F6155"/>
    <w:rsid w:val="152918A6"/>
    <w:rsid w:val="155429E5"/>
    <w:rsid w:val="1554303E"/>
    <w:rsid w:val="156C2744"/>
    <w:rsid w:val="158004B7"/>
    <w:rsid w:val="158E08F4"/>
    <w:rsid w:val="15903A1F"/>
    <w:rsid w:val="15B526AD"/>
    <w:rsid w:val="15C95A66"/>
    <w:rsid w:val="15CF159F"/>
    <w:rsid w:val="15D27D09"/>
    <w:rsid w:val="15D83401"/>
    <w:rsid w:val="15DA5F47"/>
    <w:rsid w:val="15DF63E4"/>
    <w:rsid w:val="15F2213F"/>
    <w:rsid w:val="16415D35"/>
    <w:rsid w:val="166B66C4"/>
    <w:rsid w:val="16747190"/>
    <w:rsid w:val="16885778"/>
    <w:rsid w:val="16AA02E7"/>
    <w:rsid w:val="16AB3EC2"/>
    <w:rsid w:val="16C670A8"/>
    <w:rsid w:val="16CA07EC"/>
    <w:rsid w:val="16E332BB"/>
    <w:rsid w:val="16E86EC4"/>
    <w:rsid w:val="16EB506F"/>
    <w:rsid w:val="16F45B96"/>
    <w:rsid w:val="17055991"/>
    <w:rsid w:val="170B2227"/>
    <w:rsid w:val="172D0D7B"/>
    <w:rsid w:val="17317DE1"/>
    <w:rsid w:val="17400AAE"/>
    <w:rsid w:val="174742C8"/>
    <w:rsid w:val="1751204D"/>
    <w:rsid w:val="176A44DD"/>
    <w:rsid w:val="176F672B"/>
    <w:rsid w:val="178A56D3"/>
    <w:rsid w:val="178B489D"/>
    <w:rsid w:val="17961070"/>
    <w:rsid w:val="179B7F24"/>
    <w:rsid w:val="17A77DF6"/>
    <w:rsid w:val="17B7675D"/>
    <w:rsid w:val="17BD79B9"/>
    <w:rsid w:val="17C14583"/>
    <w:rsid w:val="17C5312D"/>
    <w:rsid w:val="17C63699"/>
    <w:rsid w:val="17DA080F"/>
    <w:rsid w:val="17DB40F2"/>
    <w:rsid w:val="1803658C"/>
    <w:rsid w:val="181263B0"/>
    <w:rsid w:val="183546E3"/>
    <w:rsid w:val="183A5125"/>
    <w:rsid w:val="185F3A18"/>
    <w:rsid w:val="18763B7A"/>
    <w:rsid w:val="18883CAA"/>
    <w:rsid w:val="189A6564"/>
    <w:rsid w:val="18A47129"/>
    <w:rsid w:val="18AF2777"/>
    <w:rsid w:val="18BB23AF"/>
    <w:rsid w:val="18CD0120"/>
    <w:rsid w:val="18D56F82"/>
    <w:rsid w:val="18DA29AE"/>
    <w:rsid w:val="18DC24A1"/>
    <w:rsid w:val="18EB4568"/>
    <w:rsid w:val="18FB6497"/>
    <w:rsid w:val="190F3E77"/>
    <w:rsid w:val="192A17B1"/>
    <w:rsid w:val="193E0FDC"/>
    <w:rsid w:val="19421EFA"/>
    <w:rsid w:val="19485D9C"/>
    <w:rsid w:val="195C251A"/>
    <w:rsid w:val="19A241DD"/>
    <w:rsid w:val="19C00DD6"/>
    <w:rsid w:val="19E047AA"/>
    <w:rsid w:val="19F4452A"/>
    <w:rsid w:val="19F47277"/>
    <w:rsid w:val="1A025D55"/>
    <w:rsid w:val="1A315124"/>
    <w:rsid w:val="1A442663"/>
    <w:rsid w:val="1A464BFD"/>
    <w:rsid w:val="1A8C3D7F"/>
    <w:rsid w:val="1A9A0F39"/>
    <w:rsid w:val="1A9C4535"/>
    <w:rsid w:val="1AA60E13"/>
    <w:rsid w:val="1AA619E7"/>
    <w:rsid w:val="1AB148C4"/>
    <w:rsid w:val="1AC32262"/>
    <w:rsid w:val="1ACC4031"/>
    <w:rsid w:val="1AD14358"/>
    <w:rsid w:val="1AD53B3F"/>
    <w:rsid w:val="1AD85436"/>
    <w:rsid w:val="1ADF225A"/>
    <w:rsid w:val="1AE04B3F"/>
    <w:rsid w:val="1AE801E4"/>
    <w:rsid w:val="1B0E3EDC"/>
    <w:rsid w:val="1B2412D8"/>
    <w:rsid w:val="1B25717C"/>
    <w:rsid w:val="1B2C067B"/>
    <w:rsid w:val="1B3601B8"/>
    <w:rsid w:val="1B4755B0"/>
    <w:rsid w:val="1B4A65AE"/>
    <w:rsid w:val="1B4C0304"/>
    <w:rsid w:val="1B5F2AC8"/>
    <w:rsid w:val="1B75697B"/>
    <w:rsid w:val="1B8615FE"/>
    <w:rsid w:val="1B8D357D"/>
    <w:rsid w:val="1B952056"/>
    <w:rsid w:val="1B994B0E"/>
    <w:rsid w:val="1BD57A27"/>
    <w:rsid w:val="1BDA4AC1"/>
    <w:rsid w:val="1BFA155B"/>
    <w:rsid w:val="1C056F3C"/>
    <w:rsid w:val="1C0D4858"/>
    <w:rsid w:val="1C11110A"/>
    <w:rsid w:val="1C126967"/>
    <w:rsid w:val="1C277759"/>
    <w:rsid w:val="1C3B3D7F"/>
    <w:rsid w:val="1C6F033B"/>
    <w:rsid w:val="1C6F25D4"/>
    <w:rsid w:val="1C787B9A"/>
    <w:rsid w:val="1C7C6164"/>
    <w:rsid w:val="1C806663"/>
    <w:rsid w:val="1CBB3A8A"/>
    <w:rsid w:val="1CCC54CB"/>
    <w:rsid w:val="1CDA6FEC"/>
    <w:rsid w:val="1D014C24"/>
    <w:rsid w:val="1D051663"/>
    <w:rsid w:val="1D0A39B0"/>
    <w:rsid w:val="1D0E51AB"/>
    <w:rsid w:val="1D300C7D"/>
    <w:rsid w:val="1D49721B"/>
    <w:rsid w:val="1D4B55CF"/>
    <w:rsid w:val="1D4C739E"/>
    <w:rsid w:val="1D646569"/>
    <w:rsid w:val="1D7B4C11"/>
    <w:rsid w:val="1D86196A"/>
    <w:rsid w:val="1D884FC2"/>
    <w:rsid w:val="1D9B057C"/>
    <w:rsid w:val="1D9B3137"/>
    <w:rsid w:val="1DA73110"/>
    <w:rsid w:val="1DA83B64"/>
    <w:rsid w:val="1DAF5371"/>
    <w:rsid w:val="1DBF5E91"/>
    <w:rsid w:val="1DF1580E"/>
    <w:rsid w:val="1E236A34"/>
    <w:rsid w:val="1E2E0584"/>
    <w:rsid w:val="1E603F19"/>
    <w:rsid w:val="1E60479B"/>
    <w:rsid w:val="1E6B5F66"/>
    <w:rsid w:val="1E7554E1"/>
    <w:rsid w:val="1E923C14"/>
    <w:rsid w:val="1EB805BA"/>
    <w:rsid w:val="1EBF3142"/>
    <w:rsid w:val="1ECB3353"/>
    <w:rsid w:val="1EDD6BE3"/>
    <w:rsid w:val="1EEB4B07"/>
    <w:rsid w:val="1EFA59E6"/>
    <w:rsid w:val="1F166316"/>
    <w:rsid w:val="1F1814B3"/>
    <w:rsid w:val="1F613F27"/>
    <w:rsid w:val="1F6924FB"/>
    <w:rsid w:val="1F6E78A8"/>
    <w:rsid w:val="1F7A7840"/>
    <w:rsid w:val="1F7F413E"/>
    <w:rsid w:val="1F9556D1"/>
    <w:rsid w:val="1FC77972"/>
    <w:rsid w:val="1FEE3722"/>
    <w:rsid w:val="1FF7492B"/>
    <w:rsid w:val="20084D79"/>
    <w:rsid w:val="200E1B76"/>
    <w:rsid w:val="200F30DC"/>
    <w:rsid w:val="20274403"/>
    <w:rsid w:val="202B2908"/>
    <w:rsid w:val="206838D3"/>
    <w:rsid w:val="2082695C"/>
    <w:rsid w:val="208A7D12"/>
    <w:rsid w:val="208B2C70"/>
    <w:rsid w:val="209360BB"/>
    <w:rsid w:val="20B4095F"/>
    <w:rsid w:val="20B43C24"/>
    <w:rsid w:val="20D4620A"/>
    <w:rsid w:val="20D9628F"/>
    <w:rsid w:val="20DE091B"/>
    <w:rsid w:val="20E363A1"/>
    <w:rsid w:val="20E543A4"/>
    <w:rsid w:val="20EE1A77"/>
    <w:rsid w:val="21182D7F"/>
    <w:rsid w:val="211C6E38"/>
    <w:rsid w:val="211F6DA4"/>
    <w:rsid w:val="21415B46"/>
    <w:rsid w:val="21517FF6"/>
    <w:rsid w:val="215D059E"/>
    <w:rsid w:val="216058A9"/>
    <w:rsid w:val="218578AC"/>
    <w:rsid w:val="21B01167"/>
    <w:rsid w:val="21B3115F"/>
    <w:rsid w:val="21C05CEE"/>
    <w:rsid w:val="21C34B12"/>
    <w:rsid w:val="21C87D13"/>
    <w:rsid w:val="21D87050"/>
    <w:rsid w:val="21EA501F"/>
    <w:rsid w:val="21EC00D4"/>
    <w:rsid w:val="21F72B81"/>
    <w:rsid w:val="2218037C"/>
    <w:rsid w:val="22440950"/>
    <w:rsid w:val="225F0957"/>
    <w:rsid w:val="22664D23"/>
    <w:rsid w:val="2268348C"/>
    <w:rsid w:val="22830C0A"/>
    <w:rsid w:val="228F6536"/>
    <w:rsid w:val="22CB0168"/>
    <w:rsid w:val="22D24584"/>
    <w:rsid w:val="22E51338"/>
    <w:rsid w:val="22EA6477"/>
    <w:rsid w:val="22F71167"/>
    <w:rsid w:val="22FB4BDE"/>
    <w:rsid w:val="231D1CDC"/>
    <w:rsid w:val="2323712E"/>
    <w:rsid w:val="23281048"/>
    <w:rsid w:val="232E1B5E"/>
    <w:rsid w:val="23311B43"/>
    <w:rsid w:val="233B5103"/>
    <w:rsid w:val="234310A8"/>
    <w:rsid w:val="23555F8D"/>
    <w:rsid w:val="236B4E1B"/>
    <w:rsid w:val="23710AA4"/>
    <w:rsid w:val="23820249"/>
    <w:rsid w:val="23912AA4"/>
    <w:rsid w:val="23963E00"/>
    <w:rsid w:val="23AF7780"/>
    <w:rsid w:val="23D07B7E"/>
    <w:rsid w:val="23DE412A"/>
    <w:rsid w:val="23F73023"/>
    <w:rsid w:val="23FC4BF6"/>
    <w:rsid w:val="24100DE4"/>
    <w:rsid w:val="24215C55"/>
    <w:rsid w:val="24300DDB"/>
    <w:rsid w:val="2457058C"/>
    <w:rsid w:val="24570D6B"/>
    <w:rsid w:val="245D0713"/>
    <w:rsid w:val="246A716A"/>
    <w:rsid w:val="246E67B8"/>
    <w:rsid w:val="246F0049"/>
    <w:rsid w:val="24777CA2"/>
    <w:rsid w:val="24871FEB"/>
    <w:rsid w:val="24876553"/>
    <w:rsid w:val="24BD38CC"/>
    <w:rsid w:val="24BF642B"/>
    <w:rsid w:val="24D96437"/>
    <w:rsid w:val="24F12A24"/>
    <w:rsid w:val="250630A2"/>
    <w:rsid w:val="252E7D64"/>
    <w:rsid w:val="25921B49"/>
    <w:rsid w:val="259F588C"/>
    <w:rsid w:val="25A07154"/>
    <w:rsid w:val="25D152C9"/>
    <w:rsid w:val="25D24241"/>
    <w:rsid w:val="25E40000"/>
    <w:rsid w:val="26015439"/>
    <w:rsid w:val="26077F6C"/>
    <w:rsid w:val="261330EF"/>
    <w:rsid w:val="26162D6E"/>
    <w:rsid w:val="261D4804"/>
    <w:rsid w:val="26275386"/>
    <w:rsid w:val="26276B31"/>
    <w:rsid w:val="263D3AA3"/>
    <w:rsid w:val="264B2FCC"/>
    <w:rsid w:val="265556E8"/>
    <w:rsid w:val="265F0AB7"/>
    <w:rsid w:val="267E3C33"/>
    <w:rsid w:val="26903431"/>
    <w:rsid w:val="26997893"/>
    <w:rsid w:val="26CD4DD9"/>
    <w:rsid w:val="26E1195C"/>
    <w:rsid w:val="26ED43A6"/>
    <w:rsid w:val="26F95B28"/>
    <w:rsid w:val="26FB67A0"/>
    <w:rsid w:val="26FE30DA"/>
    <w:rsid w:val="270E2956"/>
    <w:rsid w:val="272C55CD"/>
    <w:rsid w:val="272D51D5"/>
    <w:rsid w:val="273864DE"/>
    <w:rsid w:val="274517C9"/>
    <w:rsid w:val="278E329C"/>
    <w:rsid w:val="279172E3"/>
    <w:rsid w:val="279A4C9F"/>
    <w:rsid w:val="27A139F7"/>
    <w:rsid w:val="27B9687C"/>
    <w:rsid w:val="27D02AEA"/>
    <w:rsid w:val="27E15E35"/>
    <w:rsid w:val="27EA674B"/>
    <w:rsid w:val="27F12E9E"/>
    <w:rsid w:val="27F605E9"/>
    <w:rsid w:val="27FD02F5"/>
    <w:rsid w:val="2804335E"/>
    <w:rsid w:val="28077C37"/>
    <w:rsid w:val="2813745A"/>
    <w:rsid w:val="282808F9"/>
    <w:rsid w:val="283830DC"/>
    <w:rsid w:val="2855758B"/>
    <w:rsid w:val="28834CEE"/>
    <w:rsid w:val="2890522B"/>
    <w:rsid w:val="2899001E"/>
    <w:rsid w:val="28C52053"/>
    <w:rsid w:val="28CE3F9A"/>
    <w:rsid w:val="28D06B8A"/>
    <w:rsid w:val="28D60432"/>
    <w:rsid w:val="28D95D5B"/>
    <w:rsid w:val="28DA39EE"/>
    <w:rsid w:val="28F32EE2"/>
    <w:rsid w:val="29460781"/>
    <w:rsid w:val="294F5E86"/>
    <w:rsid w:val="295430F9"/>
    <w:rsid w:val="29584C2F"/>
    <w:rsid w:val="29C93672"/>
    <w:rsid w:val="29DE5B16"/>
    <w:rsid w:val="29E30B35"/>
    <w:rsid w:val="29F73228"/>
    <w:rsid w:val="2A043B34"/>
    <w:rsid w:val="2A080DE7"/>
    <w:rsid w:val="2A2466D6"/>
    <w:rsid w:val="2A3F7FDD"/>
    <w:rsid w:val="2A4479CF"/>
    <w:rsid w:val="2A49000D"/>
    <w:rsid w:val="2A6F1C36"/>
    <w:rsid w:val="2A79580D"/>
    <w:rsid w:val="2A9A02EB"/>
    <w:rsid w:val="2AB662D6"/>
    <w:rsid w:val="2AC7289B"/>
    <w:rsid w:val="2AED7390"/>
    <w:rsid w:val="2B037661"/>
    <w:rsid w:val="2B0804E8"/>
    <w:rsid w:val="2B0E11C0"/>
    <w:rsid w:val="2B302DD9"/>
    <w:rsid w:val="2B5B3AB0"/>
    <w:rsid w:val="2BA07051"/>
    <w:rsid w:val="2BB21501"/>
    <w:rsid w:val="2BB824C9"/>
    <w:rsid w:val="2BC12DD8"/>
    <w:rsid w:val="2BC21BC2"/>
    <w:rsid w:val="2BC90C1A"/>
    <w:rsid w:val="2BD91220"/>
    <w:rsid w:val="2BF03ACD"/>
    <w:rsid w:val="2BF423F0"/>
    <w:rsid w:val="2BFE2575"/>
    <w:rsid w:val="2C0A54C5"/>
    <w:rsid w:val="2C10771D"/>
    <w:rsid w:val="2C212992"/>
    <w:rsid w:val="2C36101D"/>
    <w:rsid w:val="2C4109DA"/>
    <w:rsid w:val="2C437D28"/>
    <w:rsid w:val="2C493E25"/>
    <w:rsid w:val="2C503357"/>
    <w:rsid w:val="2C5257A4"/>
    <w:rsid w:val="2C6F580E"/>
    <w:rsid w:val="2C8F4330"/>
    <w:rsid w:val="2C950B2E"/>
    <w:rsid w:val="2C9542AB"/>
    <w:rsid w:val="2C95438E"/>
    <w:rsid w:val="2C9C7616"/>
    <w:rsid w:val="2CAE17AF"/>
    <w:rsid w:val="2CBE754B"/>
    <w:rsid w:val="2CD21EB9"/>
    <w:rsid w:val="2CD93747"/>
    <w:rsid w:val="2CE94DDF"/>
    <w:rsid w:val="2CF16071"/>
    <w:rsid w:val="2CF32D74"/>
    <w:rsid w:val="2CF919F3"/>
    <w:rsid w:val="2D286D45"/>
    <w:rsid w:val="2D2D14AC"/>
    <w:rsid w:val="2D2D6F87"/>
    <w:rsid w:val="2D4454D3"/>
    <w:rsid w:val="2D826872"/>
    <w:rsid w:val="2D887FBA"/>
    <w:rsid w:val="2DC00E2F"/>
    <w:rsid w:val="2DC0224D"/>
    <w:rsid w:val="2DD1476D"/>
    <w:rsid w:val="2DDA10F6"/>
    <w:rsid w:val="2DDB6054"/>
    <w:rsid w:val="2DF950BB"/>
    <w:rsid w:val="2DFF23F1"/>
    <w:rsid w:val="2E2077A3"/>
    <w:rsid w:val="2E286A48"/>
    <w:rsid w:val="2E615B1A"/>
    <w:rsid w:val="2E650F7F"/>
    <w:rsid w:val="2E9E702D"/>
    <w:rsid w:val="2EA4289D"/>
    <w:rsid w:val="2EB564B0"/>
    <w:rsid w:val="2EB94673"/>
    <w:rsid w:val="2EEA3180"/>
    <w:rsid w:val="2EED1014"/>
    <w:rsid w:val="2F1A19BE"/>
    <w:rsid w:val="2F4C65E4"/>
    <w:rsid w:val="2F542985"/>
    <w:rsid w:val="2F5C77BF"/>
    <w:rsid w:val="2F5E1D2A"/>
    <w:rsid w:val="2F7B26BD"/>
    <w:rsid w:val="2F9723BE"/>
    <w:rsid w:val="2FA66E19"/>
    <w:rsid w:val="2FC4721A"/>
    <w:rsid w:val="2FE0094D"/>
    <w:rsid w:val="2FFF789D"/>
    <w:rsid w:val="30055F99"/>
    <w:rsid w:val="301519EC"/>
    <w:rsid w:val="30170958"/>
    <w:rsid w:val="303D229A"/>
    <w:rsid w:val="303E353D"/>
    <w:rsid w:val="3050105C"/>
    <w:rsid w:val="305A13F0"/>
    <w:rsid w:val="305A5A57"/>
    <w:rsid w:val="307C5B3F"/>
    <w:rsid w:val="30C36405"/>
    <w:rsid w:val="30C55F73"/>
    <w:rsid w:val="30C8686E"/>
    <w:rsid w:val="30DD44C3"/>
    <w:rsid w:val="31097054"/>
    <w:rsid w:val="311E06A6"/>
    <w:rsid w:val="31422842"/>
    <w:rsid w:val="31540F86"/>
    <w:rsid w:val="31545833"/>
    <w:rsid w:val="31587449"/>
    <w:rsid w:val="315C7CAD"/>
    <w:rsid w:val="315D2F6A"/>
    <w:rsid w:val="316A3659"/>
    <w:rsid w:val="31782C39"/>
    <w:rsid w:val="318B6972"/>
    <w:rsid w:val="31975C85"/>
    <w:rsid w:val="31AD4759"/>
    <w:rsid w:val="31BD04C8"/>
    <w:rsid w:val="31CF3857"/>
    <w:rsid w:val="31E17103"/>
    <w:rsid w:val="31E178D5"/>
    <w:rsid w:val="31EC7B84"/>
    <w:rsid w:val="31F13F1D"/>
    <w:rsid w:val="31F67234"/>
    <w:rsid w:val="31FE532D"/>
    <w:rsid w:val="32161B49"/>
    <w:rsid w:val="3226100F"/>
    <w:rsid w:val="32345989"/>
    <w:rsid w:val="32353BF5"/>
    <w:rsid w:val="324208F0"/>
    <w:rsid w:val="32427BE9"/>
    <w:rsid w:val="324A5DF7"/>
    <w:rsid w:val="326818B6"/>
    <w:rsid w:val="32682704"/>
    <w:rsid w:val="326A3BF5"/>
    <w:rsid w:val="32946302"/>
    <w:rsid w:val="32BA34EC"/>
    <w:rsid w:val="32DB50C0"/>
    <w:rsid w:val="32E97F69"/>
    <w:rsid w:val="331067CA"/>
    <w:rsid w:val="332251A2"/>
    <w:rsid w:val="332C0239"/>
    <w:rsid w:val="33340165"/>
    <w:rsid w:val="336173A2"/>
    <w:rsid w:val="33903B1D"/>
    <w:rsid w:val="33954A9F"/>
    <w:rsid w:val="33A8431B"/>
    <w:rsid w:val="33AC59C9"/>
    <w:rsid w:val="33AF5362"/>
    <w:rsid w:val="33B0289D"/>
    <w:rsid w:val="33CF0D98"/>
    <w:rsid w:val="33D86BC4"/>
    <w:rsid w:val="33D91C17"/>
    <w:rsid w:val="33F32194"/>
    <w:rsid w:val="33F830D2"/>
    <w:rsid w:val="340112C0"/>
    <w:rsid w:val="34110FF9"/>
    <w:rsid w:val="34212090"/>
    <w:rsid w:val="3429676E"/>
    <w:rsid w:val="34473F3A"/>
    <w:rsid w:val="3456574A"/>
    <w:rsid w:val="347F0B90"/>
    <w:rsid w:val="348E4FCF"/>
    <w:rsid w:val="34B24085"/>
    <w:rsid w:val="34C75F13"/>
    <w:rsid w:val="34C77F0F"/>
    <w:rsid w:val="34F54D17"/>
    <w:rsid w:val="35151DC2"/>
    <w:rsid w:val="35384C9E"/>
    <w:rsid w:val="353A29BD"/>
    <w:rsid w:val="353F6600"/>
    <w:rsid w:val="354C6BC9"/>
    <w:rsid w:val="3557764E"/>
    <w:rsid w:val="355E1D6B"/>
    <w:rsid w:val="35A04F88"/>
    <w:rsid w:val="35B13269"/>
    <w:rsid w:val="35BA1DB6"/>
    <w:rsid w:val="35C973F8"/>
    <w:rsid w:val="35D470E5"/>
    <w:rsid w:val="35E0443E"/>
    <w:rsid w:val="35E70A9A"/>
    <w:rsid w:val="35F76392"/>
    <w:rsid w:val="36093C01"/>
    <w:rsid w:val="360A3DD0"/>
    <w:rsid w:val="362B77A0"/>
    <w:rsid w:val="364C1AE4"/>
    <w:rsid w:val="364F39F0"/>
    <w:rsid w:val="36650489"/>
    <w:rsid w:val="366D475E"/>
    <w:rsid w:val="367D7648"/>
    <w:rsid w:val="369773AD"/>
    <w:rsid w:val="36985DB9"/>
    <w:rsid w:val="369D1F5D"/>
    <w:rsid w:val="36A02D30"/>
    <w:rsid w:val="36AA14C5"/>
    <w:rsid w:val="36B3190E"/>
    <w:rsid w:val="36BF6A48"/>
    <w:rsid w:val="36CE04E5"/>
    <w:rsid w:val="36CE0A54"/>
    <w:rsid w:val="36CF5163"/>
    <w:rsid w:val="36D1022D"/>
    <w:rsid w:val="36DE12F2"/>
    <w:rsid w:val="36E146CC"/>
    <w:rsid w:val="36EF508B"/>
    <w:rsid w:val="37184AA7"/>
    <w:rsid w:val="3720107B"/>
    <w:rsid w:val="372D46AA"/>
    <w:rsid w:val="372E25E0"/>
    <w:rsid w:val="375562F3"/>
    <w:rsid w:val="375D6A24"/>
    <w:rsid w:val="376A0104"/>
    <w:rsid w:val="37700289"/>
    <w:rsid w:val="379E3BCB"/>
    <w:rsid w:val="37FD4AE9"/>
    <w:rsid w:val="380205BD"/>
    <w:rsid w:val="380B6117"/>
    <w:rsid w:val="381A07E6"/>
    <w:rsid w:val="383F549A"/>
    <w:rsid w:val="384606A1"/>
    <w:rsid w:val="384A38AD"/>
    <w:rsid w:val="38514E98"/>
    <w:rsid w:val="38661597"/>
    <w:rsid w:val="387E68E3"/>
    <w:rsid w:val="38870881"/>
    <w:rsid w:val="388E0753"/>
    <w:rsid w:val="38C679F0"/>
    <w:rsid w:val="38CD1305"/>
    <w:rsid w:val="38D60DA0"/>
    <w:rsid w:val="38DD5D05"/>
    <w:rsid w:val="38DF6E65"/>
    <w:rsid w:val="38E35C8E"/>
    <w:rsid w:val="38ED2A4E"/>
    <w:rsid w:val="39074B30"/>
    <w:rsid w:val="39110CD3"/>
    <w:rsid w:val="39224E54"/>
    <w:rsid w:val="3923183F"/>
    <w:rsid w:val="39503ADA"/>
    <w:rsid w:val="3955508E"/>
    <w:rsid w:val="39733129"/>
    <w:rsid w:val="39812C77"/>
    <w:rsid w:val="399B1B8D"/>
    <w:rsid w:val="39AC44A5"/>
    <w:rsid w:val="39AC52AD"/>
    <w:rsid w:val="39B26657"/>
    <w:rsid w:val="39B8185E"/>
    <w:rsid w:val="39C36B3C"/>
    <w:rsid w:val="39E55DE6"/>
    <w:rsid w:val="39EC3D26"/>
    <w:rsid w:val="39ED4E59"/>
    <w:rsid w:val="3A147364"/>
    <w:rsid w:val="3A177F1B"/>
    <w:rsid w:val="3A474B14"/>
    <w:rsid w:val="3A5C79C5"/>
    <w:rsid w:val="3A60099C"/>
    <w:rsid w:val="3A613EB7"/>
    <w:rsid w:val="3A8E428F"/>
    <w:rsid w:val="3A911A2B"/>
    <w:rsid w:val="3A9F5017"/>
    <w:rsid w:val="3AA95B01"/>
    <w:rsid w:val="3AB502A9"/>
    <w:rsid w:val="3AC44F68"/>
    <w:rsid w:val="3AD12D10"/>
    <w:rsid w:val="3AE41DEA"/>
    <w:rsid w:val="3AF85E3B"/>
    <w:rsid w:val="3B06270B"/>
    <w:rsid w:val="3B116355"/>
    <w:rsid w:val="3B23103D"/>
    <w:rsid w:val="3B2660DC"/>
    <w:rsid w:val="3B314930"/>
    <w:rsid w:val="3B660B5A"/>
    <w:rsid w:val="3B693ED1"/>
    <w:rsid w:val="3B725CBC"/>
    <w:rsid w:val="3B8873EB"/>
    <w:rsid w:val="3B96625F"/>
    <w:rsid w:val="3BAD3FF6"/>
    <w:rsid w:val="3BB371E2"/>
    <w:rsid w:val="3BB76BA3"/>
    <w:rsid w:val="3BE82DFF"/>
    <w:rsid w:val="3C056BEA"/>
    <w:rsid w:val="3C4F6729"/>
    <w:rsid w:val="3C5B4666"/>
    <w:rsid w:val="3C6A1722"/>
    <w:rsid w:val="3C771FCD"/>
    <w:rsid w:val="3C7B6CCA"/>
    <w:rsid w:val="3C926B09"/>
    <w:rsid w:val="3C9C41A4"/>
    <w:rsid w:val="3CAB3DE8"/>
    <w:rsid w:val="3CB34B92"/>
    <w:rsid w:val="3CBB4F42"/>
    <w:rsid w:val="3CBD0847"/>
    <w:rsid w:val="3CE70777"/>
    <w:rsid w:val="3CEA7F82"/>
    <w:rsid w:val="3CEF222A"/>
    <w:rsid w:val="3CF91A93"/>
    <w:rsid w:val="3D022C8D"/>
    <w:rsid w:val="3D0E524C"/>
    <w:rsid w:val="3D1912D6"/>
    <w:rsid w:val="3D40519B"/>
    <w:rsid w:val="3D4D18C5"/>
    <w:rsid w:val="3D665D29"/>
    <w:rsid w:val="3D7C21E0"/>
    <w:rsid w:val="3D7E0AB6"/>
    <w:rsid w:val="3D854900"/>
    <w:rsid w:val="3D8C6339"/>
    <w:rsid w:val="3D8F11D8"/>
    <w:rsid w:val="3D9A384D"/>
    <w:rsid w:val="3DBF643A"/>
    <w:rsid w:val="3DC611FD"/>
    <w:rsid w:val="3DE058E5"/>
    <w:rsid w:val="3DED775C"/>
    <w:rsid w:val="3E043A76"/>
    <w:rsid w:val="3E0B6E71"/>
    <w:rsid w:val="3E1820B3"/>
    <w:rsid w:val="3E196DCB"/>
    <w:rsid w:val="3E2522C3"/>
    <w:rsid w:val="3E2732F6"/>
    <w:rsid w:val="3E3026EE"/>
    <w:rsid w:val="3E4B0FF4"/>
    <w:rsid w:val="3E4F1A57"/>
    <w:rsid w:val="3E5E3BF0"/>
    <w:rsid w:val="3E8D1FA1"/>
    <w:rsid w:val="3E8E6CFD"/>
    <w:rsid w:val="3E9578BE"/>
    <w:rsid w:val="3EA22FC8"/>
    <w:rsid w:val="3EB119A8"/>
    <w:rsid w:val="3EC04DBE"/>
    <w:rsid w:val="3ED42461"/>
    <w:rsid w:val="3EF13DB7"/>
    <w:rsid w:val="3EF13FAB"/>
    <w:rsid w:val="3EFC62F6"/>
    <w:rsid w:val="3EFF71AB"/>
    <w:rsid w:val="3F0D7D89"/>
    <w:rsid w:val="3F182461"/>
    <w:rsid w:val="3F2D0001"/>
    <w:rsid w:val="3F322BEC"/>
    <w:rsid w:val="3F3423F7"/>
    <w:rsid w:val="3F372997"/>
    <w:rsid w:val="3F3A5B5B"/>
    <w:rsid w:val="3F3E3CDF"/>
    <w:rsid w:val="3F4313FA"/>
    <w:rsid w:val="3F4821B5"/>
    <w:rsid w:val="3F4E1ED5"/>
    <w:rsid w:val="3FA841C1"/>
    <w:rsid w:val="3FBB432D"/>
    <w:rsid w:val="3FBD4FAD"/>
    <w:rsid w:val="3FCC0881"/>
    <w:rsid w:val="3FCF47FB"/>
    <w:rsid w:val="3FCF4E41"/>
    <w:rsid w:val="3FEE7AA0"/>
    <w:rsid w:val="401F649E"/>
    <w:rsid w:val="4021297B"/>
    <w:rsid w:val="40342342"/>
    <w:rsid w:val="403C5148"/>
    <w:rsid w:val="404C551E"/>
    <w:rsid w:val="40905B4D"/>
    <w:rsid w:val="40A07F2E"/>
    <w:rsid w:val="40AB22D3"/>
    <w:rsid w:val="40B0529F"/>
    <w:rsid w:val="40B9630C"/>
    <w:rsid w:val="40C74125"/>
    <w:rsid w:val="40CA2442"/>
    <w:rsid w:val="40DC0AC6"/>
    <w:rsid w:val="40DF4951"/>
    <w:rsid w:val="40E315E3"/>
    <w:rsid w:val="40F519E7"/>
    <w:rsid w:val="40F80107"/>
    <w:rsid w:val="411D1660"/>
    <w:rsid w:val="413D2806"/>
    <w:rsid w:val="415D0432"/>
    <w:rsid w:val="415D577B"/>
    <w:rsid w:val="415F5641"/>
    <w:rsid w:val="4162769E"/>
    <w:rsid w:val="41630D72"/>
    <w:rsid w:val="417D31F5"/>
    <w:rsid w:val="417E3B21"/>
    <w:rsid w:val="41896292"/>
    <w:rsid w:val="419078EF"/>
    <w:rsid w:val="41D55DA6"/>
    <w:rsid w:val="41D956F4"/>
    <w:rsid w:val="41EA4FEF"/>
    <w:rsid w:val="41F31909"/>
    <w:rsid w:val="4217038A"/>
    <w:rsid w:val="42277FF1"/>
    <w:rsid w:val="42295690"/>
    <w:rsid w:val="422E474D"/>
    <w:rsid w:val="423544BC"/>
    <w:rsid w:val="424E546C"/>
    <w:rsid w:val="4263685C"/>
    <w:rsid w:val="426976B5"/>
    <w:rsid w:val="42766770"/>
    <w:rsid w:val="428726B2"/>
    <w:rsid w:val="428A0AA8"/>
    <w:rsid w:val="42900F59"/>
    <w:rsid w:val="42A0031E"/>
    <w:rsid w:val="42C3472E"/>
    <w:rsid w:val="430302DF"/>
    <w:rsid w:val="43092DAB"/>
    <w:rsid w:val="432B3317"/>
    <w:rsid w:val="433178A5"/>
    <w:rsid w:val="433A7C7B"/>
    <w:rsid w:val="433E0B2B"/>
    <w:rsid w:val="437E01F0"/>
    <w:rsid w:val="439E4536"/>
    <w:rsid w:val="439F725C"/>
    <w:rsid w:val="43A673C5"/>
    <w:rsid w:val="43AE4585"/>
    <w:rsid w:val="43BA2F57"/>
    <w:rsid w:val="43D76378"/>
    <w:rsid w:val="441E3A8B"/>
    <w:rsid w:val="446D6FB0"/>
    <w:rsid w:val="449F6E66"/>
    <w:rsid w:val="44B90D43"/>
    <w:rsid w:val="44BA57D7"/>
    <w:rsid w:val="44C42623"/>
    <w:rsid w:val="44C74655"/>
    <w:rsid w:val="44D215D7"/>
    <w:rsid w:val="44E152A4"/>
    <w:rsid w:val="44F05365"/>
    <w:rsid w:val="44F20E71"/>
    <w:rsid w:val="44F5418F"/>
    <w:rsid w:val="452654CC"/>
    <w:rsid w:val="45396978"/>
    <w:rsid w:val="45531132"/>
    <w:rsid w:val="455E7D48"/>
    <w:rsid w:val="456E3FC6"/>
    <w:rsid w:val="458E707F"/>
    <w:rsid w:val="45953B9A"/>
    <w:rsid w:val="45A12D9D"/>
    <w:rsid w:val="45AD076C"/>
    <w:rsid w:val="45C6540B"/>
    <w:rsid w:val="45D21DAB"/>
    <w:rsid w:val="45FA42AF"/>
    <w:rsid w:val="46097DE6"/>
    <w:rsid w:val="461F443E"/>
    <w:rsid w:val="46290449"/>
    <w:rsid w:val="464A09DC"/>
    <w:rsid w:val="466262B3"/>
    <w:rsid w:val="46645519"/>
    <w:rsid w:val="46653CD6"/>
    <w:rsid w:val="46662FCE"/>
    <w:rsid w:val="466841A3"/>
    <w:rsid w:val="466B6D80"/>
    <w:rsid w:val="466C4C46"/>
    <w:rsid w:val="46725741"/>
    <w:rsid w:val="4685178A"/>
    <w:rsid w:val="468E6C00"/>
    <w:rsid w:val="4691327B"/>
    <w:rsid w:val="46B75D79"/>
    <w:rsid w:val="46D9455B"/>
    <w:rsid w:val="46DE0983"/>
    <w:rsid w:val="46E4280A"/>
    <w:rsid w:val="46E91395"/>
    <w:rsid w:val="46F02B55"/>
    <w:rsid w:val="47086648"/>
    <w:rsid w:val="470D1D57"/>
    <w:rsid w:val="473016F6"/>
    <w:rsid w:val="47420ECD"/>
    <w:rsid w:val="476D53D8"/>
    <w:rsid w:val="4772356E"/>
    <w:rsid w:val="477301DD"/>
    <w:rsid w:val="47753823"/>
    <w:rsid w:val="4793456B"/>
    <w:rsid w:val="47A05FFD"/>
    <w:rsid w:val="47A33745"/>
    <w:rsid w:val="47B02837"/>
    <w:rsid w:val="47B406F8"/>
    <w:rsid w:val="47B44060"/>
    <w:rsid w:val="47B740B3"/>
    <w:rsid w:val="47DE36E2"/>
    <w:rsid w:val="47E75F2F"/>
    <w:rsid w:val="47F2687C"/>
    <w:rsid w:val="47F56622"/>
    <w:rsid w:val="480E1897"/>
    <w:rsid w:val="48137542"/>
    <w:rsid w:val="48187DB1"/>
    <w:rsid w:val="48224C19"/>
    <w:rsid w:val="48275810"/>
    <w:rsid w:val="48285F12"/>
    <w:rsid w:val="48531BE9"/>
    <w:rsid w:val="48577A60"/>
    <w:rsid w:val="4861420F"/>
    <w:rsid w:val="487467F4"/>
    <w:rsid w:val="488F23E3"/>
    <w:rsid w:val="489D3261"/>
    <w:rsid w:val="48B2537B"/>
    <w:rsid w:val="48BB14FF"/>
    <w:rsid w:val="48C052C7"/>
    <w:rsid w:val="48DA7443"/>
    <w:rsid w:val="48DF3339"/>
    <w:rsid w:val="48EA6498"/>
    <w:rsid w:val="4900236D"/>
    <w:rsid w:val="491017DF"/>
    <w:rsid w:val="491E4DD1"/>
    <w:rsid w:val="492804BB"/>
    <w:rsid w:val="493A6F88"/>
    <w:rsid w:val="493D127C"/>
    <w:rsid w:val="49460806"/>
    <w:rsid w:val="49476570"/>
    <w:rsid w:val="4970227E"/>
    <w:rsid w:val="498C3076"/>
    <w:rsid w:val="4995647B"/>
    <w:rsid w:val="49AD1E3E"/>
    <w:rsid w:val="49B372BE"/>
    <w:rsid w:val="49D85565"/>
    <w:rsid w:val="49D878A8"/>
    <w:rsid w:val="49E30ADC"/>
    <w:rsid w:val="4A095630"/>
    <w:rsid w:val="4A1F5A1C"/>
    <w:rsid w:val="4A220BBB"/>
    <w:rsid w:val="4A275032"/>
    <w:rsid w:val="4A2F7305"/>
    <w:rsid w:val="4A313472"/>
    <w:rsid w:val="4A3818A2"/>
    <w:rsid w:val="4A39223A"/>
    <w:rsid w:val="4A4B76A6"/>
    <w:rsid w:val="4A7200F3"/>
    <w:rsid w:val="4A8D453D"/>
    <w:rsid w:val="4A922362"/>
    <w:rsid w:val="4A940513"/>
    <w:rsid w:val="4ABF20E3"/>
    <w:rsid w:val="4AC122EE"/>
    <w:rsid w:val="4AD51EA4"/>
    <w:rsid w:val="4AFF7D5D"/>
    <w:rsid w:val="4B1C488F"/>
    <w:rsid w:val="4B2D0835"/>
    <w:rsid w:val="4B336B4C"/>
    <w:rsid w:val="4B4027F3"/>
    <w:rsid w:val="4B4A0169"/>
    <w:rsid w:val="4B500522"/>
    <w:rsid w:val="4B534976"/>
    <w:rsid w:val="4B673059"/>
    <w:rsid w:val="4BA503DC"/>
    <w:rsid w:val="4BA764AF"/>
    <w:rsid w:val="4BA946B8"/>
    <w:rsid w:val="4BCD4885"/>
    <w:rsid w:val="4BCE0B23"/>
    <w:rsid w:val="4BF06C4F"/>
    <w:rsid w:val="4C081D02"/>
    <w:rsid w:val="4C083813"/>
    <w:rsid w:val="4C266B31"/>
    <w:rsid w:val="4C3B07B3"/>
    <w:rsid w:val="4C3E3844"/>
    <w:rsid w:val="4C415205"/>
    <w:rsid w:val="4C453E95"/>
    <w:rsid w:val="4C46265D"/>
    <w:rsid w:val="4C506B5B"/>
    <w:rsid w:val="4C787DC7"/>
    <w:rsid w:val="4C81081B"/>
    <w:rsid w:val="4C957F88"/>
    <w:rsid w:val="4CA01C64"/>
    <w:rsid w:val="4CBE2128"/>
    <w:rsid w:val="4CDF41DC"/>
    <w:rsid w:val="4CF1276E"/>
    <w:rsid w:val="4D0673EE"/>
    <w:rsid w:val="4D123151"/>
    <w:rsid w:val="4D1533CC"/>
    <w:rsid w:val="4D166D60"/>
    <w:rsid w:val="4D181152"/>
    <w:rsid w:val="4D241A8C"/>
    <w:rsid w:val="4D346912"/>
    <w:rsid w:val="4D9322BB"/>
    <w:rsid w:val="4D97427D"/>
    <w:rsid w:val="4DAB448D"/>
    <w:rsid w:val="4DDC5BE5"/>
    <w:rsid w:val="4DEF2524"/>
    <w:rsid w:val="4E080D4F"/>
    <w:rsid w:val="4E0A4AC7"/>
    <w:rsid w:val="4E0B54EA"/>
    <w:rsid w:val="4E0C4B8C"/>
    <w:rsid w:val="4E192EE4"/>
    <w:rsid w:val="4E5630BF"/>
    <w:rsid w:val="4E6405EE"/>
    <w:rsid w:val="4E6C1D6E"/>
    <w:rsid w:val="4E6C47F8"/>
    <w:rsid w:val="4E785D97"/>
    <w:rsid w:val="4E8F3E9B"/>
    <w:rsid w:val="4E951BB0"/>
    <w:rsid w:val="4EA76741"/>
    <w:rsid w:val="4EAF6E7A"/>
    <w:rsid w:val="4EBF755D"/>
    <w:rsid w:val="4EF04F43"/>
    <w:rsid w:val="4EF12449"/>
    <w:rsid w:val="4EF165BA"/>
    <w:rsid w:val="4F0A0C4C"/>
    <w:rsid w:val="4F3D3C72"/>
    <w:rsid w:val="4F477A65"/>
    <w:rsid w:val="4F504084"/>
    <w:rsid w:val="4F506597"/>
    <w:rsid w:val="4F5B20BD"/>
    <w:rsid w:val="4F6E40D5"/>
    <w:rsid w:val="4F7420B0"/>
    <w:rsid w:val="4F885C63"/>
    <w:rsid w:val="4F8E7901"/>
    <w:rsid w:val="4F9C153C"/>
    <w:rsid w:val="4FA02BAF"/>
    <w:rsid w:val="4FA163BF"/>
    <w:rsid w:val="4FAA51C9"/>
    <w:rsid w:val="4FB235F0"/>
    <w:rsid w:val="4FCC21D8"/>
    <w:rsid w:val="4FD9549F"/>
    <w:rsid w:val="4FDB3712"/>
    <w:rsid w:val="4FDD6F60"/>
    <w:rsid w:val="4FE329D8"/>
    <w:rsid w:val="4FE849BB"/>
    <w:rsid w:val="4FEF5F17"/>
    <w:rsid w:val="4FF45CAA"/>
    <w:rsid w:val="500B3B8E"/>
    <w:rsid w:val="501B4D2D"/>
    <w:rsid w:val="503E6499"/>
    <w:rsid w:val="5043154C"/>
    <w:rsid w:val="50600609"/>
    <w:rsid w:val="5060129E"/>
    <w:rsid w:val="506732DB"/>
    <w:rsid w:val="50782C9A"/>
    <w:rsid w:val="50854AB8"/>
    <w:rsid w:val="509420A6"/>
    <w:rsid w:val="5097497C"/>
    <w:rsid w:val="50C83562"/>
    <w:rsid w:val="50D25910"/>
    <w:rsid w:val="50F54C60"/>
    <w:rsid w:val="50F55F50"/>
    <w:rsid w:val="510A5E9D"/>
    <w:rsid w:val="511F52FD"/>
    <w:rsid w:val="513B2C5D"/>
    <w:rsid w:val="51645C31"/>
    <w:rsid w:val="516A3A56"/>
    <w:rsid w:val="5193307D"/>
    <w:rsid w:val="519E0754"/>
    <w:rsid w:val="51B859E1"/>
    <w:rsid w:val="51CB6D59"/>
    <w:rsid w:val="51CD42E4"/>
    <w:rsid w:val="51D535C6"/>
    <w:rsid w:val="51DA14FE"/>
    <w:rsid w:val="51EF3A98"/>
    <w:rsid w:val="51F85506"/>
    <w:rsid w:val="51FA302C"/>
    <w:rsid w:val="521A5324"/>
    <w:rsid w:val="522C6E9B"/>
    <w:rsid w:val="52361370"/>
    <w:rsid w:val="523D5165"/>
    <w:rsid w:val="5245735E"/>
    <w:rsid w:val="524C4014"/>
    <w:rsid w:val="525D4C33"/>
    <w:rsid w:val="525F24E4"/>
    <w:rsid w:val="526B461C"/>
    <w:rsid w:val="5295368F"/>
    <w:rsid w:val="529C2CC5"/>
    <w:rsid w:val="52AB6CB6"/>
    <w:rsid w:val="52AE1FBD"/>
    <w:rsid w:val="52F66615"/>
    <w:rsid w:val="530458E8"/>
    <w:rsid w:val="531121A2"/>
    <w:rsid w:val="532E5475"/>
    <w:rsid w:val="535E583D"/>
    <w:rsid w:val="535E7C5F"/>
    <w:rsid w:val="53673762"/>
    <w:rsid w:val="538232D9"/>
    <w:rsid w:val="53844AD2"/>
    <w:rsid w:val="538604BD"/>
    <w:rsid w:val="53B51901"/>
    <w:rsid w:val="53BA048F"/>
    <w:rsid w:val="53CE7CDF"/>
    <w:rsid w:val="53DB1794"/>
    <w:rsid w:val="53DC7D1A"/>
    <w:rsid w:val="53FB2761"/>
    <w:rsid w:val="5403318B"/>
    <w:rsid w:val="540A5B9F"/>
    <w:rsid w:val="5419053F"/>
    <w:rsid w:val="54251D77"/>
    <w:rsid w:val="542A4DC7"/>
    <w:rsid w:val="542F16DC"/>
    <w:rsid w:val="544F66BB"/>
    <w:rsid w:val="54631D01"/>
    <w:rsid w:val="546B0211"/>
    <w:rsid w:val="546E7ECD"/>
    <w:rsid w:val="5476412D"/>
    <w:rsid w:val="54796E7D"/>
    <w:rsid w:val="548D6A45"/>
    <w:rsid w:val="54A731DB"/>
    <w:rsid w:val="54A93C50"/>
    <w:rsid w:val="54B619F8"/>
    <w:rsid w:val="54B75A9B"/>
    <w:rsid w:val="54BE7E09"/>
    <w:rsid w:val="54CC7A97"/>
    <w:rsid w:val="54CD5472"/>
    <w:rsid w:val="5505247C"/>
    <w:rsid w:val="55073E73"/>
    <w:rsid w:val="55293196"/>
    <w:rsid w:val="553B6573"/>
    <w:rsid w:val="554C1C2C"/>
    <w:rsid w:val="5558482D"/>
    <w:rsid w:val="55700848"/>
    <w:rsid w:val="557930DD"/>
    <w:rsid w:val="557B47B0"/>
    <w:rsid w:val="55873D1E"/>
    <w:rsid w:val="559A17EF"/>
    <w:rsid w:val="55A72D32"/>
    <w:rsid w:val="55A85508"/>
    <w:rsid w:val="55A978F9"/>
    <w:rsid w:val="56062989"/>
    <w:rsid w:val="5606493B"/>
    <w:rsid w:val="560A7458"/>
    <w:rsid w:val="5614520D"/>
    <w:rsid w:val="562600DF"/>
    <w:rsid w:val="56264773"/>
    <w:rsid w:val="56437FD7"/>
    <w:rsid w:val="56503EDA"/>
    <w:rsid w:val="568129C5"/>
    <w:rsid w:val="56853850"/>
    <w:rsid w:val="56A11837"/>
    <w:rsid w:val="56A32EA1"/>
    <w:rsid w:val="56A35625"/>
    <w:rsid w:val="56AC22C3"/>
    <w:rsid w:val="56B5693D"/>
    <w:rsid w:val="56B8545B"/>
    <w:rsid w:val="56C62B0C"/>
    <w:rsid w:val="56CA37A7"/>
    <w:rsid w:val="56CC0141"/>
    <w:rsid w:val="56CE14B2"/>
    <w:rsid w:val="56D32AD9"/>
    <w:rsid w:val="56DC3613"/>
    <w:rsid w:val="56F65222"/>
    <w:rsid w:val="56FF63E5"/>
    <w:rsid w:val="5704037C"/>
    <w:rsid w:val="570C01FC"/>
    <w:rsid w:val="570D7908"/>
    <w:rsid w:val="571467B3"/>
    <w:rsid w:val="5721277D"/>
    <w:rsid w:val="57284198"/>
    <w:rsid w:val="572C0E59"/>
    <w:rsid w:val="5730189A"/>
    <w:rsid w:val="57306E2F"/>
    <w:rsid w:val="57397068"/>
    <w:rsid w:val="57430FD1"/>
    <w:rsid w:val="5743435D"/>
    <w:rsid w:val="57705641"/>
    <w:rsid w:val="57720FDC"/>
    <w:rsid w:val="57864385"/>
    <w:rsid w:val="57923F27"/>
    <w:rsid w:val="57926D4A"/>
    <w:rsid w:val="579E3700"/>
    <w:rsid w:val="57A35F14"/>
    <w:rsid w:val="57AA2B16"/>
    <w:rsid w:val="57BE2E61"/>
    <w:rsid w:val="57BF48AD"/>
    <w:rsid w:val="57C27568"/>
    <w:rsid w:val="57CC13BC"/>
    <w:rsid w:val="57DE08AB"/>
    <w:rsid w:val="57EF6396"/>
    <w:rsid w:val="57F213C8"/>
    <w:rsid w:val="57F646C7"/>
    <w:rsid w:val="57FD091E"/>
    <w:rsid w:val="580E5E56"/>
    <w:rsid w:val="58171B0D"/>
    <w:rsid w:val="581E4E86"/>
    <w:rsid w:val="583C5203"/>
    <w:rsid w:val="5844764D"/>
    <w:rsid w:val="58474DBA"/>
    <w:rsid w:val="585A1BB5"/>
    <w:rsid w:val="585B080B"/>
    <w:rsid w:val="58683912"/>
    <w:rsid w:val="5891150C"/>
    <w:rsid w:val="58C41E0B"/>
    <w:rsid w:val="58C55C53"/>
    <w:rsid w:val="58DC3034"/>
    <w:rsid w:val="58E94535"/>
    <w:rsid w:val="58F4738A"/>
    <w:rsid w:val="59116CFD"/>
    <w:rsid w:val="59153B14"/>
    <w:rsid w:val="59525A79"/>
    <w:rsid w:val="59594CE4"/>
    <w:rsid w:val="59737A17"/>
    <w:rsid w:val="59832A99"/>
    <w:rsid w:val="598525B4"/>
    <w:rsid w:val="598834B7"/>
    <w:rsid w:val="599D174E"/>
    <w:rsid w:val="59E6050D"/>
    <w:rsid w:val="59E80C9B"/>
    <w:rsid w:val="59F82547"/>
    <w:rsid w:val="59F83123"/>
    <w:rsid w:val="5A0B6254"/>
    <w:rsid w:val="5A0C0651"/>
    <w:rsid w:val="5A0C45CD"/>
    <w:rsid w:val="5A0D6C4E"/>
    <w:rsid w:val="5A186745"/>
    <w:rsid w:val="5A1D5B0A"/>
    <w:rsid w:val="5A2C2751"/>
    <w:rsid w:val="5A313C51"/>
    <w:rsid w:val="5A4534A3"/>
    <w:rsid w:val="5A47702B"/>
    <w:rsid w:val="5A4F5E34"/>
    <w:rsid w:val="5A664398"/>
    <w:rsid w:val="5A703E61"/>
    <w:rsid w:val="5A93133A"/>
    <w:rsid w:val="5A971D60"/>
    <w:rsid w:val="5A973838"/>
    <w:rsid w:val="5AA51F0C"/>
    <w:rsid w:val="5AA926A2"/>
    <w:rsid w:val="5ABF47B7"/>
    <w:rsid w:val="5AD96D7A"/>
    <w:rsid w:val="5AF61A00"/>
    <w:rsid w:val="5B0A0845"/>
    <w:rsid w:val="5B174165"/>
    <w:rsid w:val="5B1B089B"/>
    <w:rsid w:val="5B3F4448"/>
    <w:rsid w:val="5B493979"/>
    <w:rsid w:val="5B654C13"/>
    <w:rsid w:val="5B874E04"/>
    <w:rsid w:val="5B964EAF"/>
    <w:rsid w:val="5BBC5786"/>
    <w:rsid w:val="5BC73A3E"/>
    <w:rsid w:val="5BD26664"/>
    <w:rsid w:val="5BD4283E"/>
    <w:rsid w:val="5BD55DB6"/>
    <w:rsid w:val="5BDC17B3"/>
    <w:rsid w:val="5BFF6F15"/>
    <w:rsid w:val="5C196408"/>
    <w:rsid w:val="5C384239"/>
    <w:rsid w:val="5C451BDD"/>
    <w:rsid w:val="5C605B45"/>
    <w:rsid w:val="5C92237C"/>
    <w:rsid w:val="5C9A252F"/>
    <w:rsid w:val="5CA15E01"/>
    <w:rsid w:val="5CA8016A"/>
    <w:rsid w:val="5CAC4E7B"/>
    <w:rsid w:val="5CCF23D0"/>
    <w:rsid w:val="5CD7425E"/>
    <w:rsid w:val="5CE664FC"/>
    <w:rsid w:val="5CEB03E5"/>
    <w:rsid w:val="5CF42D8C"/>
    <w:rsid w:val="5D2A400D"/>
    <w:rsid w:val="5D316CD4"/>
    <w:rsid w:val="5D3A3CE5"/>
    <w:rsid w:val="5D473853"/>
    <w:rsid w:val="5D634688"/>
    <w:rsid w:val="5D8365CC"/>
    <w:rsid w:val="5D8F31C2"/>
    <w:rsid w:val="5D9F42A2"/>
    <w:rsid w:val="5DA13128"/>
    <w:rsid w:val="5DAB3852"/>
    <w:rsid w:val="5DB47BF7"/>
    <w:rsid w:val="5DCB222B"/>
    <w:rsid w:val="5DE56A38"/>
    <w:rsid w:val="5DEA2D3E"/>
    <w:rsid w:val="5E0B3912"/>
    <w:rsid w:val="5E1A0A59"/>
    <w:rsid w:val="5E2A0AF5"/>
    <w:rsid w:val="5E2F5EEB"/>
    <w:rsid w:val="5E3A34BC"/>
    <w:rsid w:val="5E497ABC"/>
    <w:rsid w:val="5E6039AB"/>
    <w:rsid w:val="5E62059E"/>
    <w:rsid w:val="5E761C8C"/>
    <w:rsid w:val="5E807EEC"/>
    <w:rsid w:val="5E817C38"/>
    <w:rsid w:val="5EA96B33"/>
    <w:rsid w:val="5EAA58F1"/>
    <w:rsid w:val="5EB70984"/>
    <w:rsid w:val="5EB87E1E"/>
    <w:rsid w:val="5EBE0CB8"/>
    <w:rsid w:val="5ECC0D0A"/>
    <w:rsid w:val="5EDB64C0"/>
    <w:rsid w:val="5EE07513"/>
    <w:rsid w:val="5EF6586C"/>
    <w:rsid w:val="5F02419E"/>
    <w:rsid w:val="5F230DAA"/>
    <w:rsid w:val="5F2B126A"/>
    <w:rsid w:val="5F306604"/>
    <w:rsid w:val="5F9C4F43"/>
    <w:rsid w:val="5FD4591A"/>
    <w:rsid w:val="5FD65A7D"/>
    <w:rsid w:val="5FE06900"/>
    <w:rsid w:val="60055993"/>
    <w:rsid w:val="60065292"/>
    <w:rsid w:val="60145497"/>
    <w:rsid w:val="601B7C87"/>
    <w:rsid w:val="60376CB4"/>
    <w:rsid w:val="604C715A"/>
    <w:rsid w:val="60722364"/>
    <w:rsid w:val="607A7B29"/>
    <w:rsid w:val="608E014D"/>
    <w:rsid w:val="60946B52"/>
    <w:rsid w:val="609837B3"/>
    <w:rsid w:val="60B0195A"/>
    <w:rsid w:val="60BC4B5A"/>
    <w:rsid w:val="60C10D59"/>
    <w:rsid w:val="60C80691"/>
    <w:rsid w:val="60CC0728"/>
    <w:rsid w:val="60CF759C"/>
    <w:rsid w:val="60D87C62"/>
    <w:rsid w:val="60DB04CD"/>
    <w:rsid w:val="60DE1560"/>
    <w:rsid w:val="60ED4D96"/>
    <w:rsid w:val="611B57E4"/>
    <w:rsid w:val="612C2AD6"/>
    <w:rsid w:val="612D46D2"/>
    <w:rsid w:val="61304C00"/>
    <w:rsid w:val="614101E4"/>
    <w:rsid w:val="61461E49"/>
    <w:rsid w:val="61477CAC"/>
    <w:rsid w:val="6153502D"/>
    <w:rsid w:val="61672F54"/>
    <w:rsid w:val="617806FF"/>
    <w:rsid w:val="618611DA"/>
    <w:rsid w:val="61CB30AC"/>
    <w:rsid w:val="61EB27AE"/>
    <w:rsid w:val="622F7819"/>
    <w:rsid w:val="624917CA"/>
    <w:rsid w:val="625C72CE"/>
    <w:rsid w:val="62775FD3"/>
    <w:rsid w:val="627F4E39"/>
    <w:rsid w:val="62862417"/>
    <w:rsid w:val="628739A3"/>
    <w:rsid w:val="62873D07"/>
    <w:rsid w:val="62970EBE"/>
    <w:rsid w:val="62A40590"/>
    <w:rsid w:val="62B06172"/>
    <w:rsid w:val="62BA03FF"/>
    <w:rsid w:val="62CA2245"/>
    <w:rsid w:val="62CB75AE"/>
    <w:rsid w:val="62F2078D"/>
    <w:rsid w:val="62F82F7B"/>
    <w:rsid w:val="63064B86"/>
    <w:rsid w:val="63096794"/>
    <w:rsid w:val="63356398"/>
    <w:rsid w:val="633A5B99"/>
    <w:rsid w:val="636A6A56"/>
    <w:rsid w:val="637A114C"/>
    <w:rsid w:val="63925088"/>
    <w:rsid w:val="639C31DE"/>
    <w:rsid w:val="63DA5FE5"/>
    <w:rsid w:val="63F2446E"/>
    <w:rsid w:val="6410764C"/>
    <w:rsid w:val="641617AA"/>
    <w:rsid w:val="643319EA"/>
    <w:rsid w:val="643B6779"/>
    <w:rsid w:val="644F06E3"/>
    <w:rsid w:val="64577843"/>
    <w:rsid w:val="64591ED6"/>
    <w:rsid w:val="646D3B32"/>
    <w:rsid w:val="649E2B54"/>
    <w:rsid w:val="64AD1597"/>
    <w:rsid w:val="64AE5E08"/>
    <w:rsid w:val="64BE25DF"/>
    <w:rsid w:val="64C11907"/>
    <w:rsid w:val="64C63B85"/>
    <w:rsid w:val="64C97C86"/>
    <w:rsid w:val="64CD09BD"/>
    <w:rsid w:val="651D09B0"/>
    <w:rsid w:val="651D3C04"/>
    <w:rsid w:val="651E015E"/>
    <w:rsid w:val="65245ECD"/>
    <w:rsid w:val="65416120"/>
    <w:rsid w:val="65467E2F"/>
    <w:rsid w:val="655345E1"/>
    <w:rsid w:val="65656FFA"/>
    <w:rsid w:val="658A0EB0"/>
    <w:rsid w:val="659F0103"/>
    <w:rsid w:val="65AC2438"/>
    <w:rsid w:val="65B05685"/>
    <w:rsid w:val="65B253FB"/>
    <w:rsid w:val="660C059A"/>
    <w:rsid w:val="66132BE9"/>
    <w:rsid w:val="66153FFE"/>
    <w:rsid w:val="66281783"/>
    <w:rsid w:val="662D7D07"/>
    <w:rsid w:val="662E049B"/>
    <w:rsid w:val="6635067F"/>
    <w:rsid w:val="66482C50"/>
    <w:rsid w:val="665D62C7"/>
    <w:rsid w:val="66660838"/>
    <w:rsid w:val="66742F55"/>
    <w:rsid w:val="668441F3"/>
    <w:rsid w:val="669B74DB"/>
    <w:rsid w:val="669E4476"/>
    <w:rsid w:val="66B50382"/>
    <w:rsid w:val="66BC2484"/>
    <w:rsid w:val="66BF1168"/>
    <w:rsid w:val="66C21EEA"/>
    <w:rsid w:val="66C77019"/>
    <w:rsid w:val="66D954AE"/>
    <w:rsid w:val="67002E01"/>
    <w:rsid w:val="67015297"/>
    <w:rsid w:val="670F5764"/>
    <w:rsid w:val="67124576"/>
    <w:rsid w:val="67146B6C"/>
    <w:rsid w:val="672B1E86"/>
    <w:rsid w:val="67404CDD"/>
    <w:rsid w:val="67430B73"/>
    <w:rsid w:val="677A7A3C"/>
    <w:rsid w:val="67831872"/>
    <w:rsid w:val="678C0773"/>
    <w:rsid w:val="6792651A"/>
    <w:rsid w:val="67981535"/>
    <w:rsid w:val="67A70DC7"/>
    <w:rsid w:val="67D452C9"/>
    <w:rsid w:val="67E37099"/>
    <w:rsid w:val="67EF0985"/>
    <w:rsid w:val="680828D2"/>
    <w:rsid w:val="6813521B"/>
    <w:rsid w:val="68156C33"/>
    <w:rsid w:val="681A6E99"/>
    <w:rsid w:val="68267BAF"/>
    <w:rsid w:val="6839041E"/>
    <w:rsid w:val="683951B2"/>
    <w:rsid w:val="68536082"/>
    <w:rsid w:val="685B4A79"/>
    <w:rsid w:val="685E633F"/>
    <w:rsid w:val="68636AD7"/>
    <w:rsid w:val="688649D3"/>
    <w:rsid w:val="689E69AF"/>
    <w:rsid w:val="68AA65C1"/>
    <w:rsid w:val="68B23DDF"/>
    <w:rsid w:val="68BB1D18"/>
    <w:rsid w:val="68CA7269"/>
    <w:rsid w:val="68CC445E"/>
    <w:rsid w:val="68E65C61"/>
    <w:rsid w:val="68F927AE"/>
    <w:rsid w:val="691C7AE1"/>
    <w:rsid w:val="695C0C8B"/>
    <w:rsid w:val="695F666E"/>
    <w:rsid w:val="696A57AA"/>
    <w:rsid w:val="696C3B84"/>
    <w:rsid w:val="69735746"/>
    <w:rsid w:val="69745602"/>
    <w:rsid w:val="698022EA"/>
    <w:rsid w:val="698B6083"/>
    <w:rsid w:val="69946BDA"/>
    <w:rsid w:val="69A973BA"/>
    <w:rsid w:val="69B71706"/>
    <w:rsid w:val="69C432CB"/>
    <w:rsid w:val="69DB24BA"/>
    <w:rsid w:val="69FB14A8"/>
    <w:rsid w:val="6A017F83"/>
    <w:rsid w:val="6A092710"/>
    <w:rsid w:val="6A0E780B"/>
    <w:rsid w:val="6A117C1D"/>
    <w:rsid w:val="6A1F2D94"/>
    <w:rsid w:val="6A244C92"/>
    <w:rsid w:val="6A565DD1"/>
    <w:rsid w:val="6A587FC0"/>
    <w:rsid w:val="6A5D174A"/>
    <w:rsid w:val="6A697C8E"/>
    <w:rsid w:val="6A6C0D78"/>
    <w:rsid w:val="6A7353CA"/>
    <w:rsid w:val="6A816593"/>
    <w:rsid w:val="6A837C0B"/>
    <w:rsid w:val="6A943878"/>
    <w:rsid w:val="6AA162E3"/>
    <w:rsid w:val="6AAD7DDC"/>
    <w:rsid w:val="6ABF272A"/>
    <w:rsid w:val="6AD17D95"/>
    <w:rsid w:val="6AD95FFC"/>
    <w:rsid w:val="6AE44AAD"/>
    <w:rsid w:val="6AE66E06"/>
    <w:rsid w:val="6AF3005C"/>
    <w:rsid w:val="6AFD5C90"/>
    <w:rsid w:val="6AFE1F24"/>
    <w:rsid w:val="6B30009F"/>
    <w:rsid w:val="6B5C3602"/>
    <w:rsid w:val="6B61461B"/>
    <w:rsid w:val="6B7248D5"/>
    <w:rsid w:val="6B88077B"/>
    <w:rsid w:val="6BAA78E6"/>
    <w:rsid w:val="6BBD6A53"/>
    <w:rsid w:val="6BC9764C"/>
    <w:rsid w:val="6BD85C22"/>
    <w:rsid w:val="6BF40C6A"/>
    <w:rsid w:val="6BFA737A"/>
    <w:rsid w:val="6BFB5EC7"/>
    <w:rsid w:val="6C1D7197"/>
    <w:rsid w:val="6C204C8B"/>
    <w:rsid w:val="6C2E004A"/>
    <w:rsid w:val="6C57134F"/>
    <w:rsid w:val="6C621AA2"/>
    <w:rsid w:val="6C6F34A7"/>
    <w:rsid w:val="6C802A37"/>
    <w:rsid w:val="6C90660F"/>
    <w:rsid w:val="6C942E5E"/>
    <w:rsid w:val="6C9A6F00"/>
    <w:rsid w:val="6CAB5B61"/>
    <w:rsid w:val="6CB87914"/>
    <w:rsid w:val="6CBC3F97"/>
    <w:rsid w:val="6CCB3BBF"/>
    <w:rsid w:val="6CE0489F"/>
    <w:rsid w:val="6CE86DA7"/>
    <w:rsid w:val="6CF87251"/>
    <w:rsid w:val="6D0B7757"/>
    <w:rsid w:val="6D394E75"/>
    <w:rsid w:val="6D662E67"/>
    <w:rsid w:val="6D717382"/>
    <w:rsid w:val="6D770F47"/>
    <w:rsid w:val="6D7764D2"/>
    <w:rsid w:val="6D794392"/>
    <w:rsid w:val="6D89168F"/>
    <w:rsid w:val="6DA97A65"/>
    <w:rsid w:val="6DC06325"/>
    <w:rsid w:val="6DC76061"/>
    <w:rsid w:val="6DCF15DB"/>
    <w:rsid w:val="6DD37CB1"/>
    <w:rsid w:val="6DE30854"/>
    <w:rsid w:val="6DF33C69"/>
    <w:rsid w:val="6E083815"/>
    <w:rsid w:val="6E0E564C"/>
    <w:rsid w:val="6E0F2A01"/>
    <w:rsid w:val="6E3E551A"/>
    <w:rsid w:val="6E602011"/>
    <w:rsid w:val="6E611FAF"/>
    <w:rsid w:val="6E850DF2"/>
    <w:rsid w:val="6E88662D"/>
    <w:rsid w:val="6EA22A4E"/>
    <w:rsid w:val="6EA9095E"/>
    <w:rsid w:val="6EAD36AD"/>
    <w:rsid w:val="6EB40AB0"/>
    <w:rsid w:val="6EDA6267"/>
    <w:rsid w:val="6EDF2EA3"/>
    <w:rsid w:val="6EF70A46"/>
    <w:rsid w:val="6EFE02FE"/>
    <w:rsid w:val="6F073E88"/>
    <w:rsid w:val="6F0817A6"/>
    <w:rsid w:val="6F3F0ECC"/>
    <w:rsid w:val="6F960C60"/>
    <w:rsid w:val="6FA06B69"/>
    <w:rsid w:val="6FA8400A"/>
    <w:rsid w:val="6FEF73EA"/>
    <w:rsid w:val="703E6382"/>
    <w:rsid w:val="70522D34"/>
    <w:rsid w:val="70553ED6"/>
    <w:rsid w:val="70653474"/>
    <w:rsid w:val="70664085"/>
    <w:rsid w:val="706A0688"/>
    <w:rsid w:val="707F0A8D"/>
    <w:rsid w:val="70835218"/>
    <w:rsid w:val="709D443B"/>
    <w:rsid w:val="70B3757F"/>
    <w:rsid w:val="70B4156F"/>
    <w:rsid w:val="70B52AE8"/>
    <w:rsid w:val="70BB5645"/>
    <w:rsid w:val="70BF3AA4"/>
    <w:rsid w:val="70DB7B5E"/>
    <w:rsid w:val="70E25012"/>
    <w:rsid w:val="70E64D9B"/>
    <w:rsid w:val="70E66F09"/>
    <w:rsid w:val="70E85AD7"/>
    <w:rsid w:val="70F24E85"/>
    <w:rsid w:val="70F7051D"/>
    <w:rsid w:val="70FC10B6"/>
    <w:rsid w:val="711F02F0"/>
    <w:rsid w:val="713F1C01"/>
    <w:rsid w:val="716E5409"/>
    <w:rsid w:val="71B45F73"/>
    <w:rsid w:val="71F418B0"/>
    <w:rsid w:val="72127C4D"/>
    <w:rsid w:val="721362A2"/>
    <w:rsid w:val="721C1EBE"/>
    <w:rsid w:val="722E333C"/>
    <w:rsid w:val="72463971"/>
    <w:rsid w:val="725F12DA"/>
    <w:rsid w:val="72984AC5"/>
    <w:rsid w:val="729C7AE1"/>
    <w:rsid w:val="72BE04BC"/>
    <w:rsid w:val="72BE53C6"/>
    <w:rsid w:val="72C539AB"/>
    <w:rsid w:val="72CC5D9A"/>
    <w:rsid w:val="72D81B3A"/>
    <w:rsid w:val="72DC0E00"/>
    <w:rsid w:val="72F94079"/>
    <w:rsid w:val="73085201"/>
    <w:rsid w:val="732B52E4"/>
    <w:rsid w:val="733333F1"/>
    <w:rsid w:val="734569CC"/>
    <w:rsid w:val="73483E51"/>
    <w:rsid w:val="73644352"/>
    <w:rsid w:val="7366793D"/>
    <w:rsid w:val="736973A4"/>
    <w:rsid w:val="738061A4"/>
    <w:rsid w:val="73974B4F"/>
    <w:rsid w:val="73A23DE9"/>
    <w:rsid w:val="73C9588A"/>
    <w:rsid w:val="73D47FF6"/>
    <w:rsid w:val="73D61E36"/>
    <w:rsid w:val="73E55D49"/>
    <w:rsid w:val="73EF3C91"/>
    <w:rsid w:val="73FC3927"/>
    <w:rsid w:val="74051D68"/>
    <w:rsid w:val="74081869"/>
    <w:rsid w:val="74246EAE"/>
    <w:rsid w:val="742E48D0"/>
    <w:rsid w:val="743526A4"/>
    <w:rsid w:val="744B3660"/>
    <w:rsid w:val="74537A80"/>
    <w:rsid w:val="745870AD"/>
    <w:rsid w:val="745B2C20"/>
    <w:rsid w:val="746A1D52"/>
    <w:rsid w:val="74705AB3"/>
    <w:rsid w:val="747F762B"/>
    <w:rsid w:val="749F1AE5"/>
    <w:rsid w:val="74D206AE"/>
    <w:rsid w:val="74E041C4"/>
    <w:rsid w:val="74E50EE5"/>
    <w:rsid w:val="74E820D0"/>
    <w:rsid w:val="74F157F5"/>
    <w:rsid w:val="74F7477F"/>
    <w:rsid w:val="750C5AD4"/>
    <w:rsid w:val="751D1FFC"/>
    <w:rsid w:val="75233EB7"/>
    <w:rsid w:val="75247F59"/>
    <w:rsid w:val="752E4CAD"/>
    <w:rsid w:val="755B3476"/>
    <w:rsid w:val="759568F1"/>
    <w:rsid w:val="759601A8"/>
    <w:rsid w:val="759B158F"/>
    <w:rsid w:val="75A26180"/>
    <w:rsid w:val="75A900BE"/>
    <w:rsid w:val="75C42105"/>
    <w:rsid w:val="75DA301C"/>
    <w:rsid w:val="75E97FD7"/>
    <w:rsid w:val="76067DDF"/>
    <w:rsid w:val="76092B6A"/>
    <w:rsid w:val="76172DFD"/>
    <w:rsid w:val="761E7D69"/>
    <w:rsid w:val="762401BC"/>
    <w:rsid w:val="76274A1E"/>
    <w:rsid w:val="76463BA9"/>
    <w:rsid w:val="764E7A75"/>
    <w:rsid w:val="766A4DDA"/>
    <w:rsid w:val="768216BE"/>
    <w:rsid w:val="768371B7"/>
    <w:rsid w:val="768600FE"/>
    <w:rsid w:val="7689669D"/>
    <w:rsid w:val="76A72ED3"/>
    <w:rsid w:val="76B06E62"/>
    <w:rsid w:val="76B339AD"/>
    <w:rsid w:val="76BD26F7"/>
    <w:rsid w:val="76C4072A"/>
    <w:rsid w:val="76D638B8"/>
    <w:rsid w:val="76EB617A"/>
    <w:rsid w:val="76F47D28"/>
    <w:rsid w:val="77067BB7"/>
    <w:rsid w:val="77374E0A"/>
    <w:rsid w:val="77420C99"/>
    <w:rsid w:val="77476911"/>
    <w:rsid w:val="77531A1C"/>
    <w:rsid w:val="77665072"/>
    <w:rsid w:val="776E39F1"/>
    <w:rsid w:val="77813724"/>
    <w:rsid w:val="77834B41"/>
    <w:rsid w:val="77CA5FDF"/>
    <w:rsid w:val="77CF3119"/>
    <w:rsid w:val="77E164CA"/>
    <w:rsid w:val="77FC0D57"/>
    <w:rsid w:val="781176EA"/>
    <w:rsid w:val="782A4CCC"/>
    <w:rsid w:val="7831636A"/>
    <w:rsid w:val="78347F73"/>
    <w:rsid w:val="783D13BF"/>
    <w:rsid w:val="787A0362"/>
    <w:rsid w:val="787F2CFA"/>
    <w:rsid w:val="78813C8F"/>
    <w:rsid w:val="788710A1"/>
    <w:rsid w:val="78A04556"/>
    <w:rsid w:val="78A111A9"/>
    <w:rsid w:val="78F36C4A"/>
    <w:rsid w:val="78F46178"/>
    <w:rsid w:val="79172C5C"/>
    <w:rsid w:val="791954DC"/>
    <w:rsid w:val="792A30F2"/>
    <w:rsid w:val="79305402"/>
    <w:rsid w:val="79491514"/>
    <w:rsid w:val="79576CF9"/>
    <w:rsid w:val="795F6402"/>
    <w:rsid w:val="796D7605"/>
    <w:rsid w:val="797F03E8"/>
    <w:rsid w:val="79956588"/>
    <w:rsid w:val="79997084"/>
    <w:rsid w:val="799B76C3"/>
    <w:rsid w:val="799C3EC1"/>
    <w:rsid w:val="79BB2670"/>
    <w:rsid w:val="79E14994"/>
    <w:rsid w:val="7A05504C"/>
    <w:rsid w:val="7A0E33E9"/>
    <w:rsid w:val="7A1572E0"/>
    <w:rsid w:val="7A381A66"/>
    <w:rsid w:val="7A412AB0"/>
    <w:rsid w:val="7A486702"/>
    <w:rsid w:val="7A4E545C"/>
    <w:rsid w:val="7A6311A3"/>
    <w:rsid w:val="7A7063F6"/>
    <w:rsid w:val="7A772BBC"/>
    <w:rsid w:val="7ABB7B9E"/>
    <w:rsid w:val="7AD6601D"/>
    <w:rsid w:val="7AD95877"/>
    <w:rsid w:val="7AE67A25"/>
    <w:rsid w:val="7B1010C4"/>
    <w:rsid w:val="7B176504"/>
    <w:rsid w:val="7B2B5D04"/>
    <w:rsid w:val="7B3637A8"/>
    <w:rsid w:val="7B4322D4"/>
    <w:rsid w:val="7B451B7B"/>
    <w:rsid w:val="7B4A1C7B"/>
    <w:rsid w:val="7B6018A2"/>
    <w:rsid w:val="7B6A5D5B"/>
    <w:rsid w:val="7B6D2E47"/>
    <w:rsid w:val="7B7535A0"/>
    <w:rsid w:val="7B814DF1"/>
    <w:rsid w:val="7B875081"/>
    <w:rsid w:val="7BA0502F"/>
    <w:rsid w:val="7BC40083"/>
    <w:rsid w:val="7C277015"/>
    <w:rsid w:val="7C531422"/>
    <w:rsid w:val="7C624FEF"/>
    <w:rsid w:val="7C793E0C"/>
    <w:rsid w:val="7C7F527E"/>
    <w:rsid w:val="7CA368FC"/>
    <w:rsid w:val="7CBD37BC"/>
    <w:rsid w:val="7CCC4525"/>
    <w:rsid w:val="7CED37AF"/>
    <w:rsid w:val="7D031E85"/>
    <w:rsid w:val="7D0F532E"/>
    <w:rsid w:val="7D20773A"/>
    <w:rsid w:val="7D235112"/>
    <w:rsid w:val="7D430E62"/>
    <w:rsid w:val="7D456A09"/>
    <w:rsid w:val="7D53550B"/>
    <w:rsid w:val="7DA33EAF"/>
    <w:rsid w:val="7DA912DF"/>
    <w:rsid w:val="7DC62E8D"/>
    <w:rsid w:val="7DC63AF9"/>
    <w:rsid w:val="7DDF2F52"/>
    <w:rsid w:val="7DE00B6A"/>
    <w:rsid w:val="7DE23708"/>
    <w:rsid w:val="7DE464FE"/>
    <w:rsid w:val="7DF664EA"/>
    <w:rsid w:val="7DFA287F"/>
    <w:rsid w:val="7E1518C1"/>
    <w:rsid w:val="7E153109"/>
    <w:rsid w:val="7E173980"/>
    <w:rsid w:val="7E4E411A"/>
    <w:rsid w:val="7E5A68A5"/>
    <w:rsid w:val="7E8E5CC8"/>
    <w:rsid w:val="7E941DD6"/>
    <w:rsid w:val="7EDD1307"/>
    <w:rsid w:val="7EEF64CE"/>
    <w:rsid w:val="7F254151"/>
    <w:rsid w:val="7F2745E6"/>
    <w:rsid w:val="7F300FCB"/>
    <w:rsid w:val="7F3B6662"/>
    <w:rsid w:val="7F4C746A"/>
    <w:rsid w:val="7F58118F"/>
    <w:rsid w:val="7FA13CAC"/>
    <w:rsid w:val="7FA347F6"/>
    <w:rsid w:val="7FB93486"/>
    <w:rsid w:val="7FD271CF"/>
    <w:rsid w:val="7FE30045"/>
    <w:rsid w:val="7FED6FE9"/>
    <w:rsid w:val="7FF37B5A"/>
    <w:rsid w:val="7FFE5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Times New Roman" w:hAnsi="Times New Roman" w:eastAsia="仿宋_GB2312" w:cs="Times New Roman"/>
      <w:kern w:val="2"/>
      <w:sz w:val="28"/>
      <w:szCs w:val="24"/>
      <w:lang w:val="en-US" w:eastAsia="zh-CN" w:bidi="ar-SA"/>
    </w:rPr>
  </w:style>
  <w:style w:type="paragraph" w:styleId="2">
    <w:name w:val="heading 1"/>
    <w:basedOn w:val="1"/>
    <w:next w:val="1"/>
    <w:link w:val="81"/>
    <w:qFormat/>
    <w:uiPriority w:val="0"/>
    <w:pPr>
      <w:keepNext/>
      <w:keepLines/>
      <w:pageBreakBefore/>
      <w:numPr>
        <w:ilvl w:val="0"/>
        <w:numId w:val="1"/>
      </w:numPr>
      <w:tabs>
        <w:tab w:val="left" w:pos="0"/>
        <w:tab w:val="clear" w:pos="420"/>
      </w:tabs>
      <w:spacing w:before="100" w:beforeLines="100" w:after="100" w:afterLines="100"/>
      <w:ind w:left="0" w:firstLineChars="0"/>
      <w:jc w:val="center"/>
      <w:outlineLvl w:val="0"/>
    </w:pPr>
    <w:rPr>
      <w:b/>
      <w:kern w:val="44"/>
      <w:sz w:val="44"/>
    </w:rPr>
  </w:style>
  <w:style w:type="paragraph" w:styleId="3">
    <w:name w:val="heading 2"/>
    <w:basedOn w:val="1"/>
    <w:next w:val="1"/>
    <w:link w:val="82"/>
    <w:qFormat/>
    <w:uiPriority w:val="0"/>
    <w:pPr>
      <w:keepNext/>
      <w:keepLines/>
      <w:numPr>
        <w:ilvl w:val="1"/>
        <w:numId w:val="1"/>
      </w:numPr>
      <w:adjustRightInd w:val="0"/>
      <w:snapToGrid w:val="0"/>
      <w:ind w:left="0" w:firstLine="0" w:firstLineChars="0"/>
      <w:jc w:val="left"/>
      <w:outlineLvl w:val="1"/>
    </w:pPr>
    <w:rPr>
      <w:b/>
      <w:spacing w:val="2"/>
      <w:kern w:val="28"/>
      <w:position w:val="-8"/>
      <w:sz w:val="36"/>
      <w:szCs w:val="36"/>
    </w:rPr>
  </w:style>
  <w:style w:type="paragraph" w:styleId="4">
    <w:name w:val="heading 3"/>
    <w:basedOn w:val="1"/>
    <w:next w:val="1"/>
    <w:link w:val="83"/>
    <w:qFormat/>
    <w:uiPriority w:val="0"/>
    <w:pPr>
      <w:keepNext/>
      <w:keepLines/>
      <w:numPr>
        <w:ilvl w:val="2"/>
        <w:numId w:val="1"/>
      </w:numPr>
      <w:ind w:firstLine="0" w:firstLineChars="0"/>
      <w:jc w:val="left"/>
      <w:outlineLvl w:val="2"/>
    </w:pPr>
    <w:rPr>
      <w:b/>
      <w:sz w:val="32"/>
    </w:rPr>
  </w:style>
  <w:style w:type="paragraph" w:styleId="5">
    <w:name w:val="heading 4"/>
    <w:basedOn w:val="1"/>
    <w:next w:val="1"/>
    <w:link w:val="76"/>
    <w:qFormat/>
    <w:uiPriority w:val="0"/>
    <w:pPr>
      <w:keepNext/>
      <w:keepLines/>
      <w:numPr>
        <w:ilvl w:val="3"/>
        <w:numId w:val="1"/>
      </w:numPr>
      <w:tabs>
        <w:tab w:val="left" w:pos="0"/>
      </w:tabs>
      <w:ind w:firstLine="0" w:firstLineChars="0"/>
      <w:outlineLvl w:val="3"/>
    </w:pPr>
  </w:style>
  <w:style w:type="paragraph" w:styleId="6">
    <w:name w:val="heading 5"/>
    <w:basedOn w:val="1"/>
    <w:next w:val="1"/>
    <w:link w:val="75"/>
    <w:qFormat/>
    <w:uiPriority w:val="0"/>
    <w:pPr>
      <w:keepNext/>
      <w:keepLines/>
      <w:numPr>
        <w:ilvl w:val="4"/>
        <w:numId w:val="1"/>
      </w:numPr>
      <w:tabs>
        <w:tab w:val="left" w:pos="0"/>
        <w:tab w:val="clear" w:pos="420"/>
      </w:tabs>
      <w:ind w:firstLine="1040"/>
      <w:outlineLvl w:val="4"/>
    </w:pPr>
  </w:style>
  <w:style w:type="paragraph" w:styleId="7">
    <w:name w:val="heading 6"/>
    <w:basedOn w:val="1"/>
    <w:next w:val="1"/>
    <w:link w:val="77"/>
    <w:qFormat/>
    <w:uiPriority w:val="0"/>
    <w:pPr>
      <w:numPr>
        <w:ilvl w:val="5"/>
        <w:numId w:val="2"/>
      </w:numPr>
      <w:tabs>
        <w:tab w:val="left" w:pos="624"/>
      </w:tabs>
      <w:adjustRightInd w:val="0"/>
      <w:spacing w:after="20" w:afterLines="20" w:line="460" w:lineRule="exact"/>
      <w:jc w:val="left"/>
      <w:textAlignment w:val="baseline"/>
      <w:outlineLvl w:val="5"/>
    </w:pPr>
    <w:rPr>
      <w:rFonts w:ascii="Calibri" w:hAnsi="Calibri" w:cs="Calibri"/>
      <w:kern w:val="0"/>
    </w:rPr>
  </w:style>
  <w:style w:type="paragraph" w:styleId="8">
    <w:name w:val="heading 7"/>
    <w:basedOn w:val="1"/>
    <w:next w:val="1"/>
    <w:link w:val="84"/>
    <w:qFormat/>
    <w:uiPriority w:val="0"/>
    <w:pPr>
      <w:numPr>
        <w:ilvl w:val="6"/>
        <w:numId w:val="2"/>
      </w:numPr>
      <w:tabs>
        <w:tab w:val="left" w:pos="624"/>
      </w:tabs>
      <w:adjustRightInd w:val="0"/>
      <w:spacing w:after="62" w:afterLines="20" w:line="460" w:lineRule="exact"/>
      <w:jc w:val="left"/>
      <w:textAlignment w:val="baseline"/>
      <w:outlineLvl w:val="6"/>
    </w:pPr>
    <w:rPr>
      <w:rFonts w:ascii="Calibri" w:hAnsi="Calibri" w:cs="Calibri"/>
      <w:kern w:val="0"/>
      <w:sz w:val="24"/>
    </w:rPr>
  </w:style>
  <w:style w:type="paragraph" w:styleId="9">
    <w:name w:val="heading 8"/>
    <w:basedOn w:val="1"/>
    <w:next w:val="1"/>
    <w:link w:val="85"/>
    <w:qFormat/>
    <w:uiPriority w:val="0"/>
    <w:pPr>
      <w:numPr>
        <w:ilvl w:val="7"/>
        <w:numId w:val="2"/>
      </w:numPr>
      <w:tabs>
        <w:tab w:val="left" w:pos="624"/>
      </w:tabs>
      <w:adjustRightInd w:val="0"/>
      <w:spacing w:after="62" w:afterLines="20" w:line="460" w:lineRule="exact"/>
      <w:jc w:val="left"/>
      <w:textAlignment w:val="baseline"/>
      <w:outlineLvl w:val="7"/>
    </w:pPr>
    <w:rPr>
      <w:rFonts w:ascii="Calibri" w:hAnsi="Calibri" w:cs="Calibri"/>
      <w:kern w:val="0"/>
      <w:sz w:val="24"/>
    </w:rPr>
  </w:style>
  <w:style w:type="paragraph" w:styleId="10">
    <w:name w:val="heading 9"/>
    <w:basedOn w:val="1"/>
    <w:next w:val="1"/>
    <w:link w:val="86"/>
    <w:qFormat/>
    <w:uiPriority w:val="0"/>
    <w:pPr>
      <w:keepNext/>
      <w:keepLines/>
      <w:numPr>
        <w:ilvl w:val="8"/>
        <w:numId w:val="2"/>
      </w:numPr>
      <w:tabs>
        <w:tab w:val="left" w:pos="624"/>
      </w:tabs>
      <w:adjustRightInd w:val="0"/>
      <w:spacing w:before="240" w:after="62" w:afterLines="20" w:line="320" w:lineRule="atLeast"/>
      <w:jc w:val="left"/>
      <w:textAlignment w:val="baseline"/>
      <w:outlineLvl w:val="8"/>
    </w:pPr>
    <w:rPr>
      <w:rFonts w:ascii="Cambria" w:hAnsi="Cambria" w:eastAsia="Arial Narrow" w:cs="Calibri"/>
      <w:kern w:val="0"/>
      <w:sz w:val="24"/>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ind w:left="100" w:leftChars="400" w:hanging="200" w:hangingChars="200"/>
      <w:jc w:val="left"/>
    </w:pPr>
    <w:rPr>
      <w:rFonts w:ascii="Calibri" w:hAnsi="Calibri" w:cs="Calibri"/>
      <w:kern w:val="0"/>
      <w:sz w:val="24"/>
    </w:rPr>
  </w:style>
  <w:style w:type="paragraph" w:styleId="12">
    <w:name w:val="toc 7"/>
    <w:basedOn w:val="1"/>
    <w:next w:val="1"/>
    <w:unhideWhenUsed/>
    <w:qFormat/>
    <w:uiPriority w:val="39"/>
    <w:pPr>
      <w:ind w:left="1260"/>
      <w:jc w:val="left"/>
    </w:pPr>
    <w:rPr>
      <w:rFonts w:ascii="Yu Mincho Light" w:hAnsi="Yu Mincho Light"/>
      <w:sz w:val="18"/>
      <w:szCs w:val="18"/>
    </w:rPr>
  </w:style>
  <w:style w:type="paragraph" w:styleId="13">
    <w:name w:val="index 8"/>
    <w:basedOn w:val="1"/>
    <w:next w:val="1"/>
    <w:qFormat/>
    <w:uiPriority w:val="0"/>
    <w:pPr>
      <w:adjustRightInd w:val="0"/>
      <w:spacing w:line="360" w:lineRule="atLeast"/>
      <w:ind w:left="1400" w:leftChars="1400"/>
      <w:jc w:val="left"/>
      <w:textAlignment w:val="baseline"/>
    </w:pPr>
    <w:rPr>
      <w:kern w:val="0"/>
      <w:sz w:val="24"/>
      <w:szCs w:val="20"/>
    </w:rPr>
  </w:style>
  <w:style w:type="paragraph" w:styleId="14">
    <w:name w:val="Normal Indent"/>
    <w:basedOn w:val="1"/>
    <w:next w:val="15"/>
    <w:link w:val="87"/>
    <w:qFormat/>
    <w:uiPriority w:val="0"/>
    <w:pPr>
      <w:ind w:left="624"/>
    </w:pPr>
    <w:rPr>
      <w:szCs w:val="20"/>
    </w:rPr>
  </w:style>
  <w:style w:type="paragraph" w:styleId="15">
    <w:name w:val="Balloon Text"/>
    <w:basedOn w:val="1"/>
    <w:next w:val="1"/>
    <w:link w:val="88"/>
    <w:qFormat/>
    <w:uiPriority w:val="0"/>
    <w:rPr>
      <w:sz w:val="18"/>
      <w:szCs w:val="18"/>
    </w:rPr>
  </w:style>
  <w:style w:type="paragraph" w:styleId="16">
    <w:name w:val="caption"/>
    <w:basedOn w:val="1"/>
    <w:next w:val="1"/>
    <w:link w:val="89"/>
    <w:qFormat/>
    <w:uiPriority w:val="35"/>
    <w:pPr>
      <w:keepNext/>
      <w:ind w:firstLine="0" w:firstLineChars="0"/>
      <w:jc w:val="center"/>
    </w:pPr>
    <w:rPr>
      <w:rFonts w:ascii="New York" w:hAnsi="New York" w:cs="仿宋_GB2312"/>
      <w:b/>
      <w:szCs w:val="20"/>
    </w:rPr>
  </w:style>
  <w:style w:type="paragraph" w:styleId="17">
    <w:name w:val="index 5"/>
    <w:basedOn w:val="1"/>
    <w:next w:val="1"/>
    <w:qFormat/>
    <w:uiPriority w:val="0"/>
    <w:pPr>
      <w:adjustRightInd w:val="0"/>
      <w:spacing w:line="360" w:lineRule="atLeast"/>
      <w:ind w:left="800" w:leftChars="800"/>
      <w:jc w:val="left"/>
      <w:textAlignment w:val="baseline"/>
    </w:pPr>
    <w:rPr>
      <w:kern w:val="0"/>
      <w:sz w:val="24"/>
      <w:szCs w:val="20"/>
    </w:rPr>
  </w:style>
  <w:style w:type="paragraph" w:styleId="18">
    <w:name w:val="Document Map"/>
    <w:basedOn w:val="1"/>
    <w:link w:val="90"/>
    <w:unhideWhenUsed/>
    <w:qFormat/>
    <w:uiPriority w:val="99"/>
    <w:rPr>
      <w:rFonts w:ascii="Calibri"/>
      <w:sz w:val="18"/>
      <w:szCs w:val="18"/>
    </w:rPr>
  </w:style>
  <w:style w:type="paragraph" w:styleId="19">
    <w:name w:val="toa heading"/>
    <w:basedOn w:val="1"/>
    <w:next w:val="1"/>
    <w:qFormat/>
    <w:uiPriority w:val="0"/>
    <w:pPr>
      <w:spacing w:before="120"/>
    </w:pPr>
    <w:rPr>
      <w:rFonts w:ascii="Cambria" w:hAnsi="Cambria"/>
      <w:sz w:val="24"/>
    </w:rPr>
  </w:style>
  <w:style w:type="paragraph" w:styleId="20">
    <w:name w:val="annotation text"/>
    <w:basedOn w:val="1"/>
    <w:link w:val="91"/>
    <w:qFormat/>
    <w:uiPriority w:val="0"/>
    <w:pPr>
      <w:widowControl/>
      <w:jc w:val="left"/>
    </w:pPr>
    <w:rPr>
      <w:rFonts w:ascii="Calibri" w:hAnsi="Calibri" w:cs="Calibri"/>
      <w:kern w:val="0"/>
      <w:sz w:val="24"/>
    </w:rPr>
  </w:style>
  <w:style w:type="paragraph" w:styleId="21">
    <w:name w:val="index 6"/>
    <w:basedOn w:val="1"/>
    <w:next w:val="1"/>
    <w:qFormat/>
    <w:uiPriority w:val="0"/>
    <w:pPr>
      <w:adjustRightInd w:val="0"/>
      <w:spacing w:line="360" w:lineRule="atLeast"/>
      <w:ind w:left="1000" w:leftChars="1000"/>
      <w:jc w:val="left"/>
      <w:textAlignment w:val="baseline"/>
    </w:pPr>
    <w:rPr>
      <w:kern w:val="0"/>
      <w:sz w:val="24"/>
      <w:szCs w:val="20"/>
    </w:rPr>
  </w:style>
  <w:style w:type="paragraph" w:styleId="22">
    <w:name w:val="Body Text 3"/>
    <w:basedOn w:val="1"/>
    <w:link w:val="92"/>
    <w:qFormat/>
    <w:uiPriority w:val="0"/>
    <w:pPr>
      <w:widowControl/>
      <w:spacing w:after="120"/>
      <w:jc w:val="left"/>
    </w:pPr>
    <w:rPr>
      <w:rFonts w:ascii="Calibri" w:hAnsi="Calibri" w:cs="Calibri"/>
      <w:kern w:val="0"/>
      <w:sz w:val="16"/>
      <w:szCs w:val="16"/>
    </w:rPr>
  </w:style>
  <w:style w:type="paragraph" w:styleId="23">
    <w:name w:val="Body Text"/>
    <w:basedOn w:val="1"/>
    <w:link w:val="93"/>
    <w:qFormat/>
    <w:uiPriority w:val="0"/>
    <w:pPr>
      <w:spacing w:after="120"/>
    </w:pPr>
  </w:style>
  <w:style w:type="paragraph" w:styleId="24">
    <w:name w:val="Body Text Indent"/>
    <w:basedOn w:val="1"/>
    <w:next w:val="25"/>
    <w:link w:val="94"/>
    <w:qFormat/>
    <w:uiPriority w:val="0"/>
    <w:pPr>
      <w:tabs>
        <w:tab w:val="left" w:pos="540"/>
      </w:tabs>
      <w:ind w:left="-1" w:leftChars="-1" w:hanging="2"/>
    </w:pPr>
    <w:rPr>
      <w:rFonts w:ascii="Calibri" w:hAnsi="Calibri"/>
    </w:rPr>
  </w:style>
  <w:style w:type="paragraph" w:styleId="25">
    <w:name w:val="Body Text Indent 2"/>
    <w:basedOn w:val="1"/>
    <w:link w:val="95"/>
    <w:qFormat/>
    <w:uiPriority w:val="0"/>
    <w:pPr>
      <w:spacing w:after="120" w:line="480" w:lineRule="auto"/>
      <w:ind w:left="420" w:leftChars="200"/>
    </w:pPr>
  </w:style>
  <w:style w:type="paragraph" w:styleId="26">
    <w:name w:val="List 2"/>
    <w:basedOn w:val="1"/>
    <w:qFormat/>
    <w:uiPriority w:val="0"/>
    <w:pPr>
      <w:ind w:left="840" w:hanging="420"/>
    </w:pPr>
    <w:rPr>
      <w:rFonts w:ascii="Calibri"/>
      <w:sz w:val="24"/>
      <w:szCs w:val="20"/>
    </w:rPr>
  </w:style>
  <w:style w:type="paragraph" w:styleId="27">
    <w:name w:val="Block Text"/>
    <w:basedOn w:val="1"/>
    <w:qFormat/>
    <w:uiPriority w:val="0"/>
    <w:pPr>
      <w:spacing w:before="120" w:after="120"/>
      <w:ind w:left="630" w:right="202"/>
    </w:pPr>
    <w:rPr>
      <w:rFonts w:ascii="Calibri"/>
      <w:sz w:val="24"/>
      <w:szCs w:val="20"/>
    </w:rPr>
  </w:style>
  <w:style w:type="paragraph" w:styleId="28">
    <w:name w:val="index 4"/>
    <w:basedOn w:val="1"/>
    <w:next w:val="1"/>
    <w:qFormat/>
    <w:uiPriority w:val="0"/>
    <w:pPr>
      <w:adjustRightInd w:val="0"/>
      <w:spacing w:line="360" w:lineRule="atLeast"/>
      <w:ind w:left="600" w:leftChars="600"/>
      <w:jc w:val="left"/>
      <w:textAlignment w:val="baseline"/>
    </w:pPr>
    <w:rPr>
      <w:kern w:val="0"/>
      <w:sz w:val="24"/>
      <w:szCs w:val="20"/>
    </w:rPr>
  </w:style>
  <w:style w:type="paragraph" w:styleId="29">
    <w:name w:val="toc 5"/>
    <w:basedOn w:val="1"/>
    <w:next w:val="1"/>
    <w:unhideWhenUsed/>
    <w:qFormat/>
    <w:uiPriority w:val="39"/>
    <w:pPr>
      <w:ind w:left="840"/>
      <w:jc w:val="left"/>
    </w:pPr>
    <w:rPr>
      <w:rFonts w:ascii="Yu Mincho Light" w:hAnsi="Yu Mincho Light"/>
      <w:sz w:val="18"/>
      <w:szCs w:val="18"/>
    </w:rPr>
  </w:style>
  <w:style w:type="paragraph" w:styleId="30">
    <w:name w:val="toc 3"/>
    <w:basedOn w:val="1"/>
    <w:next w:val="1"/>
    <w:unhideWhenUsed/>
    <w:qFormat/>
    <w:uiPriority w:val="39"/>
    <w:pPr>
      <w:ind w:left="420"/>
      <w:jc w:val="left"/>
    </w:pPr>
    <w:rPr>
      <w:rFonts w:ascii="Yu Mincho Light" w:hAnsi="Yu Mincho Light"/>
      <w:i/>
      <w:iCs/>
      <w:sz w:val="20"/>
      <w:szCs w:val="20"/>
    </w:rPr>
  </w:style>
  <w:style w:type="paragraph" w:styleId="31">
    <w:name w:val="Plain Text"/>
    <w:basedOn w:val="1"/>
    <w:link w:val="96"/>
    <w:qFormat/>
    <w:uiPriority w:val="0"/>
    <w:rPr>
      <w:rFonts w:ascii="Calibri" w:hAnsi="宋体-PUA"/>
      <w:szCs w:val="20"/>
    </w:rPr>
  </w:style>
  <w:style w:type="paragraph" w:styleId="32">
    <w:name w:val="toc 8"/>
    <w:basedOn w:val="1"/>
    <w:next w:val="1"/>
    <w:unhideWhenUsed/>
    <w:qFormat/>
    <w:uiPriority w:val="39"/>
    <w:pPr>
      <w:ind w:left="1470"/>
      <w:jc w:val="left"/>
    </w:pPr>
    <w:rPr>
      <w:rFonts w:ascii="Yu Mincho Light" w:hAnsi="Yu Mincho Light"/>
      <w:sz w:val="18"/>
      <w:szCs w:val="18"/>
    </w:rPr>
  </w:style>
  <w:style w:type="paragraph" w:styleId="33">
    <w:name w:val="index 3"/>
    <w:basedOn w:val="1"/>
    <w:next w:val="1"/>
    <w:qFormat/>
    <w:uiPriority w:val="0"/>
    <w:pPr>
      <w:adjustRightInd w:val="0"/>
      <w:spacing w:line="360" w:lineRule="atLeast"/>
      <w:ind w:left="400" w:leftChars="400"/>
      <w:jc w:val="left"/>
      <w:textAlignment w:val="baseline"/>
    </w:pPr>
    <w:rPr>
      <w:kern w:val="0"/>
      <w:sz w:val="24"/>
      <w:szCs w:val="20"/>
    </w:rPr>
  </w:style>
  <w:style w:type="paragraph" w:styleId="34">
    <w:name w:val="Date"/>
    <w:basedOn w:val="1"/>
    <w:next w:val="1"/>
    <w:link w:val="97"/>
    <w:unhideWhenUsed/>
    <w:qFormat/>
    <w:uiPriority w:val="0"/>
    <w:pPr>
      <w:ind w:left="100" w:leftChars="2500"/>
    </w:pPr>
    <w:rPr>
      <w:szCs w:val="20"/>
    </w:rPr>
  </w:style>
  <w:style w:type="paragraph" w:styleId="35">
    <w:name w:val="footer"/>
    <w:basedOn w:val="1"/>
    <w:link w:val="98"/>
    <w:qFormat/>
    <w:uiPriority w:val="99"/>
    <w:pPr>
      <w:tabs>
        <w:tab w:val="center" w:pos="4153"/>
        <w:tab w:val="right" w:pos="8306"/>
      </w:tabs>
      <w:snapToGrid w:val="0"/>
      <w:ind w:firstLine="360"/>
      <w:jc w:val="center"/>
    </w:pPr>
    <w:rPr>
      <w:sz w:val="18"/>
      <w:lang w:val="zh-CN"/>
    </w:rPr>
  </w:style>
  <w:style w:type="paragraph" w:styleId="36">
    <w:name w:val="header"/>
    <w:basedOn w:val="1"/>
    <w:link w:val="9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pPr>
    <w:rPr>
      <w:sz w:val="21"/>
    </w:rPr>
  </w:style>
  <w:style w:type="paragraph" w:styleId="37">
    <w:name w:val="toc 1"/>
    <w:basedOn w:val="1"/>
    <w:next w:val="1"/>
    <w:qFormat/>
    <w:uiPriority w:val="39"/>
    <w:pPr>
      <w:tabs>
        <w:tab w:val="right" w:leader="dot" w:pos="7985"/>
      </w:tabs>
      <w:ind w:firstLine="0" w:firstLineChars="0"/>
    </w:pPr>
    <w:rPr>
      <w:bCs/>
      <w:sz w:val="24"/>
    </w:rPr>
  </w:style>
  <w:style w:type="paragraph" w:styleId="38">
    <w:name w:val="toc 4"/>
    <w:basedOn w:val="1"/>
    <w:next w:val="1"/>
    <w:unhideWhenUsed/>
    <w:qFormat/>
    <w:uiPriority w:val="39"/>
    <w:pPr>
      <w:ind w:left="630"/>
      <w:jc w:val="left"/>
    </w:pPr>
    <w:rPr>
      <w:rFonts w:ascii="Yu Mincho Light" w:hAnsi="Yu Mincho Light"/>
      <w:sz w:val="18"/>
      <w:szCs w:val="18"/>
    </w:rPr>
  </w:style>
  <w:style w:type="paragraph" w:styleId="39">
    <w:name w:val="index heading"/>
    <w:basedOn w:val="1"/>
    <w:next w:val="40"/>
    <w:qFormat/>
    <w:uiPriority w:val="0"/>
    <w:pPr>
      <w:adjustRightInd w:val="0"/>
      <w:spacing w:line="360" w:lineRule="atLeast"/>
      <w:jc w:val="left"/>
      <w:textAlignment w:val="baseline"/>
    </w:pPr>
    <w:rPr>
      <w:kern w:val="0"/>
      <w:sz w:val="24"/>
      <w:szCs w:val="20"/>
    </w:rPr>
  </w:style>
  <w:style w:type="paragraph" w:styleId="40">
    <w:name w:val="index 1"/>
    <w:basedOn w:val="1"/>
    <w:next w:val="1"/>
    <w:qFormat/>
    <w:uiPriority w:val="0"/>
  </w:style>
  <w:style w:type="paragraph" w:styleId="41">
    <w:name w:val="Subtitle"/>
    <w:next w:val="1"/>
    <w:link w:val="100"/>
    <w:qFormat/>
    <w:uiPriority w:val="11"/>
    <w:pPr>
      <w:spacing w:line="360" w:lineRule="auto"/>
      <w:ind w:firstLine="562" w:firstLineChars="200"/>
      <w:outlineLvl w:val="2"/>
    </w:pPr>
    <w:rPr>
      <w:rFonts w:ascii="Times New Roman" w:hAnsi="Times New Roman" w:eastAsia="宋体" w:cs="Times New Roman"/>
      <w:b/>
      <w:bCs/>
      <w:color w:val="000000"/>
      <w:kern w:val="28"/>
      <w:sz w:val="28"/>
      <w:szCs w:val="32"/>
      <w:lang w:val="en-US" w:eastAsia="zh-CN" w:bidi="ar-SA"/>
    </w:rPr>
  </w:style>
  <w:style w:type="paragraph" w:styleId="42">
    <w:name w:val="List"/>
    <w:basedOn w:val="1"/>
    <w:qFormat/>
    <w:uiPriority w:val="0"/>
    <w:pPr>
      <w:widowControl/>
      <w:ind w:left="200" w:hanging="200" w:hangingChars="200"/>
      <w:jc w:val="left"/>
    </w:pPr>
    <w:rPr>
      <w:rFonts w:ascii="Calibri" w:hAnsi="Calibri" w:cs="Calibri"/>
      <w:kern w:val="0"/>
      <w:sz w:val="24"/>
    </w:rPr>
  </w:style>
  <w:style w:type="paragraph" w:styleId="43">
    <w:name w:val="toc 6"/>
    <w:basedOn w:val="1"/>
    <w:next w:val="1"/>
    <w:unhideWhenUsed/>
    <w:qFormat/>
    <w:uiPriority w:val="39"/>
    <w:pPr>
      <w:ind w:left="1050"/>
      <w:jc w:val="left"/>
    </w:pPr>
    <w:rPr>
      <w:rFonts w:ascii="Yu Mincho Light" w:hAnsi="Yu Mincho Light"/>
      <w:sz w:val="18"/>
      <w:szCs w:val="18"/>
    </w:rPr>
  </w:style>
  <w:style w:type="paragraph" w:styleId="44">
    <w:name w:val="Body Text Indent 3"/>
    <w:basedOn w:val="1"/>
    <w:link w:val="101"/>
    <w:qFormat/>
    <w:uiPriority w:val="0"/>
    <w:pPr>
      <w:adjustRightInd w:val="0"/>
      <w:spacing w:line="300" w:lineRule="auto"/>
      <w:jc w:val="center"/>
      <w:textAlignment w:val="baseline"/>
    </w:pPr>
    <w:rPr>
      <w:rFonts w:ascii="Calibri"/>
      <w:kern w:val="0"/>
      <w:sz w:val="24"/>
      <w:szCs w:val="20"/>
      <w:u w:val="single"/>
    </w:rPr>
  </w:style>
  <w:style w:type="paragraph" w:styleId="45">
    <w:name w:val="index 7"/>
    <w:basedOn w:val="1"/>
    <w:next w:val="1"/>
    <w:qFormat/>
    <w:uiPriority w:val="0"/>
    <w:pPr>
      <w:adjustRightInd w:val="0"/>
      <w:spacing w:line="360" w:lineRule="atLeast"/>
      <w:ind w:left="1200" w:leftChars="1200"/>
      <w:jc w:val="left"/>
      <w:textAlignment w:val="baseline"/>
    </w:pPr>
    <w:rPr>
      <w:kern w:val="0"/>
      <w:sz w:val="24"/>
      <w:szCs w:val="20"/>
    </w:rPr>
  </w:style>
  <w:style w:type="paragraph" w:styleId="46">
    <w:name w:val="index 9"/>
    <w:basedOn w:val="1"/>
    <w:next w:val="1"/>
    <w:qFormat/>
    <w:uiPriority w:val="0"/>
    <w:pPr>
      <w:adjustRightInd w:val="0"/>
      <w:spacing w:line="360" w:lineRule="atLeast"/>
      <w:ind w:left="1600" w:leftChars="1600"/>
      <w:jc w:val="left"/>
      <w:textAlignment w:val="baseline"/>
    </w:pPr>
    <w:rPr>
      <w:kern w:val="0"/>
      <w:sz w:val="24"/>
      <w:szCs w:val="20"/>
    </w:rPr>
  </w:style>
  <w:style w:type="paragraph" w:styleId="47">
    <w:name w:val="table of figures"/>
    <w:basedOn w:val="1"/>
    <w:next w:val="1"/>
    <w:qFormat/>
    <w:uiPriority w:val="0"/>
  </w:style>
  <w:style w:type="paragraph" w:styleId="48">
    <w:name w:val="toc 2"/>
    <w:basedOn w:val="1"/>
    <w:next w:val="1"/>
    <w:qFormat/>
    <w:uiPriority w:val="39"/>
    <w:pPr>
      <w:ind w:left="420" w:leftChars="200" w:firstLine="0" w:firstLineChars="0"/>
    </w:pPr>
    <w:rPr>
      <w:sz w:val="24"/>
    </w:rPr>
  </w:style>
  <w:style w:type="paragraph" w:styleId="49">
    <w:name w:val="toc 9"/>
    <w:basedOn w:val="1"/>
    <w:next w:val="1"/>
    <w:unhideWhenUsed/>
    <w:qFormat/>
    <w:uiPriority w:val="39"/>
    <w:pPr>
      <w:ind w:left="1680"/>
      <w:jc w:val="left"/>
    </w:pPr>
    <w:rPr>
      <w:rFonts w:ascii="Yu Mincho Light" w:hAnsi="Yu Mincho Light"/>
      <w:sz w:val="18"/>
      <w:szCs w:val="18"/>
    </w:rPr>
  </w:style>
  <w:style w:type="paragraph" w:styleId="50">
    <w:name w:val="Body Text 2"/>
    <w:basedOn w:val="1"/>
    <w:link w:val="102"/>
    <w:qFormat/>
    <w:uiPriority w:val="0"/>
    <w:pPr>
      <w:spacing w:after="120" w:line="480" w:lineRule="auto"/>
      <w:ind w:firstLine="200"/>
    </w:pPr>
    <w:rPr>
      <w:sz w:val="32"/>
    </w:rPr>
  </w:style>
  <w:style w:type="paragraph" w:styleId="51">
    <w:name w:val="List 4"/>
    <w:basedOn w:val="1"/>
    <w:qFormat/>
    <w:uiPriority w:val="0"/>
    <w:pPr>
      <w:widowControl/>
      <w:ind w:left="100" w:leftChars="600" w:hanging="200" w:hangingChars="200"/>
      <w:jc w:val="left"/>
    </w:pPr>
    <w:rPr>
      <w:rFonts w:ascii="Calibri" w:hAnsi="Calibri" w:cs="Calibri"/>
      <w:kern w:val="0"/>
      <w:sz w:val="24"/>
    </w:rPr>
  </w:style>
  <w:style w:type="paragraph" w:styleId="52">
    <w:name w:val="HTML Preformatted"/>
    <w:basedOn w:val="1"/>
    <w:link w:val="10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Calibri" w:hAnsi="Calibri"/>
      <w:kern w:val="0"/>
      <w:sz w:val="24"/>
    </w:rPr>
  </w:style>
  <w:style w:type="paragraph" w:styleId="53">
    <w:name w:val="Normal (Web)"/>
    <w:basedOn w:val="1"/>
    <w:qFormat/>
    <w:uiPriority w:val="0"/>
    <w:pPr>
      <w:widowControl/>
      <w:spacing w:before="100" w:beforeAutospacing="1" w:after="100" w:afterAutospacing="1"/>
      <w:jc w:val="left"/>
    </w:pPr>
    <w:rPr>
      <w:rFonts w:ascii="Calibri" w:hAnsi="Calibri" w:cs="Calibri"/>
      <w:kern w:val="0"/>
      <w:sz w:val="24"/>
    </w:rPr>
  </w:style>
  <w:style w:type="paragraph" w:styleId="54">
    <w:name w:val="index 2"/>
    <w:basedOn w:val="1"/>
    <w:next w:val="1"/>
    <w:qFormat/>
    <w:uiPriority w:val="0"/>
    <w:pPr>
      <w:adjustRightInd w:val="0"/>
      <w:spacing w:line="360" w:lineRule="atLeast"/>
      <w:ind w:left="200" w:leftChars="200"/>
      <w:jc w:val="left"/>
      <w:textAlignment w:val="baseline"/>
    </w:pPr>
    <w:rPr>
      <w:kern w:val="0"/>
      <w:sz w:val="24"/>
      <w:szCs w:val="20"/>
    </w:rPr>
  </w:style>
  <w:style w:type="paragraph" w:styleId="55">
    <w:name w:val="Title"/>
    <w:basedOn w:val="1"/>
    <w:next w:val="1"/>
    <w:link w:val="104"/>
    <w:qFormat/>
    <w:uiPriority w:val="0"/>
    <w:pPr>
      <w:spacing w:before="240" w:after="60"/>
      <w:jc w:val="center"/>
      <w:outlineLvl w:val="0"/>
    </w:pPr>
    <w:rPr>
      <w:rFonts w:ascii="New York" w:hAnsi="New York" w:cs="仿宋_GB2312"/>
      <w:b/>
      <w:bCs/>
      <w:sz w:val="32"/>
      <w:szCs w:val="32"/>
    </w:rPr>
  </w:style>
  <w:style w:type="paragraph" w:styleId="56">
    <w:name w:val="annotation subject"/>
    <w:basedOn w:val="20"/>
    <w:next w:val="20"/>
    <w:link w:val="105"/>
    <w:qFormat/>
    <w:uiPriority w:val="0"/>
    <w:rPr>
      <w:b/>
      <w:bCs/>
      <w:kern w:val="2"/>
    </w:rPr>
  </w:style>
  <w:style w:type="paragraph" w:styleId="57">
    <w:name w:val="Body Text First Indent"/>
    <w:basedOn w:val="23"/>
    <w:next w:val="23"/>
    <w:link w:val="106"/>
    <w:qFormat/>
    <w:uiPriority w:val="0"/>
    <w:pPr>
      <w:widowControl/>
      <w:ind w:firstLine="280" w:firstLineChars="100"/>
      <w:jc w:val="left"/>
    </w:pPr>
    <w:rPr>
      <w:rFonts w:ascii="Calibri" w:hAnsi="Calibri" w:cs="Calibri"/>
      <w:kern w:val="0"/>
      <w:szCs w:val="28"/>
    </w:rPr>
  </w:style>
  <w:style w:type="paragraph" w:styleId="58">
    <w:name w:val="Body Text First Indent 2"/>
    <w:basedOn w:val="24"/>
    <w:next w:val="1"/>
    <w:link w:val="107"/>
    <w:qFormat/>
    <w:uiPriority w:val="0"/>
    <w:pPr>
      <w:tabs>
        <w:tab w:val="left" w:pos="4789"/>
      </w:tabs>
      <w:ind w:left="0" w:leftChars="0" w:firstLine="199" w:firstLineChars="71"/>
      <w:jc w:val="center"/>
    </w:pPr>
    <w:rPr>
      <w:rFonts w:ascii="仿宋_GB2312" w:hAnsi="仿宋_GB2312"/>
    </w:rPr>
  </w:style>
  <w:style w:type="table" w:styleId="60">
    <w:name w:val="Table Grid"/>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Elegant"/>
    <w:basedOn w:val="5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2">
    <w:name w:val="Table Grid 1"/>
    <w:basedOn w:val="5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4">
    <w:name w:val="Strong"/>
    <w:qFormat/>
    <w:uiPriority w:val="0"/>
    <w:rPr>
      <w:b/>
    </w:rPr>
  </w:style>
  <w:style w:type="character" w:styleId="65">
    <w:name w:val="page number"/>
    <w:qFormat/>
    <w:uiPriority w:val="0"/>
  </w:style>
  <w:style w:type="character" w:styleId="66">
    <w:name w:val="FollowedHyperlink"/>
    <w:unhideWhenUsed/>
    <w:qFormat/>
    <w:uiPriority w:val="99"/>
    <w:rPr>
      <w:color w:val="954F72"/>
      <w:u w:val="single"/>
    </w:rPr>
  </w:style>
  <w:style w:type="character" w:styleId="67">
    <w:name w:val="Emphasis"/>
    <w:qFormat/>
    <w:uiPriority w:val="0"/>
    <w:rPr>
      <w:i/>
    </w:rPr>
  </w:style>
  <w:style w:type="character" w:styleId="68">
    <w:name w:val="Hyperlink"/>
    <w:basedOn w:val="63"/>
    <w:qFormat/>
    <w:uiPriority w:val="99"/>
    <w:rPr>
      <w:color w:val="333333"/>
      <w:u w:val="none"/>
    </w:rPr>
  </w:style>
  <w:style w:type="character" w:styleId="69">
    <w:name w:val="annotation reference"/>
    <w:qFormat/>
    <w:uiPriority w:val="0"/>
    <w:rPr>
      <w:sz w:val="21"/>
      <w:szCs w:val="21"/>
    </w:rPr>
  </w:style>
  <w:style w:type="paragraph" w:styleId="70">
    <w:name w:val="No Spacing"/>
    <w:qFormat/>
    <w:uiPriority w:val="1"/>
    <w:pPr>
      <w:widowControl w:val="0"/>
      <w:spacing w:beforeLines="50" w:afterLines="50"/>
      <w:jc w:val="both"/>
    </w:pPr>
    <w:rPr>
      <w:rFonts w:ascii="Times New Roman" w:hAnsi="Times New Roman" w:eastAsia="宋体" w:cs="Times New Roman"/>
      <w:kern w:val="2"/>
      <w:sz w:val="21"/>
      <w:szCs w:val="22"/>
      <w:lang w:val="en-US" w:eastAsia="zh-CN" w:bidi="ar-SA"/>
    </w:rPr>
  </w:style>
  <w:style w:type="paragraph" w:customStyle="1" w:styleId="71">
    <w:name w:val="表格"/>
    <w:basedOn w:val="1"/>
    <w:link w:val="108"/>
    <w:qFormat/>
    <w:uiPriority w:val="0"/>
    <w:pPr>
      <w:adjustRightInd w:val="0"/>
      <w:snapToGrid w:val="0"/>
      <w:jc w:val="center"/>
    </w:pPr>
    <w:rPr>
      <w:snapToGrid w:val="0"/>
      <w:kern w:val="0"/>
      <w:sz w:val="24"/>
    </w:rPr>
  </w:style>
  <w:style w:type="paragraph" w:customStyle="1" w:styleId="72">
    <w:name w:val="表格内容"/>
    <w:basedOn w:val="25"/>
    <w:link w:val="109"/>
    <w:qFormat/>
    <w:uiPriority w:val="0"/>
    <w:pPr>
      <w:spacing w:after="0" w:line="360" w:lineRule="auto"/>
      <w:ind w:left="0" w:leftChars="0"/>
      <w:jc w:val="center"/>
    </w:pPr>
    <w:rPr>
      <w:rFonts w:ascii="Calibri" w:hAnsi="Calibri"/>
      <w:szCs w:val="21"/>
      <w:lang w:val="zh-CN"/>
    </w:rPr>
  </w:style>
  <w:style w:type="character" w:customStyle="1" w:styleId="73">
    <w:name w:val="标题 1 Char"/>
    <w:qFormat/>
    <w:uiPriority w:val="0"/>
    <w:rPr>
      <w:b/>
      <w:bCs/>
      <w:kern w:val="44"/>
      <w:sz w:val="44"/>
      <w:szCs w:val="44"/>
    </w:rPr>
  </w:style>
  <w:style w:type="character" w:customStyle="1" w:styleId="74">
    <w:name w:val="标题 2 Char"/>
    <w:qFormat/>
    <w:uiPriority w:val="9"/>
    <w:rPr>
      <w:rFonts w:ascii="黑体" w:hAnsi="黑体" w:eastAsia="Calibri" w:cs="仿宋_GB2312"/>
      <w:b/>
      <w:bCs/>
      <w:sz w:val="32"/>
      <w:szCs w:val="32"/>
    </w:rPr>
  </w:style>
  <w:style w:type="character" w:customStyle="1" w:styleId="75">
    <w:name w:val="标题 5 字符"/>
    <w:link w:val="6"/>
    <w:qFormat/>
    <w:uiPriority w:val="0"/>
    <w:rPr>
      <w:rFonts w:ascii="Times New Roman" w:hAnsi="Times New Roman" w:eastAsia="仿宋_GB2312"/>
      <w:kern w:val="2"/>
      <w:sz w:val="28"/>
      <w:szCs w:val="24"/>
    </w:rPr>
  </w:style>
  <w:style w:type="character" w:customStyle="1" w:styleId="76">
    <w:name w:val="标题 4 字符"/>
    <w:link w:val="5"/>
    <w:qFormat/>
    <w:uiPriority w:val="0"/>
    <w:rPr>
      <w:rFonts w:ascii="Times New Roman" w:hAnsi="Times New Roman" w:eastAsia="仿宋_GB2312"/>
      <w:kern w:val="2"/>
      <w:sz w:val="28"/>
      <w:szCs w:val="24"/>
    </w:rPr>
  </w:style>
  <w:style w:type="character" w:customStyle="1" w:styleId="77">
    <w:name w:val="标题 6 字符"/>
    <w:link w:val="7"/>
    <w:qFormat/>
    <w:uiPriority w:val="0"/>
    <w:rPr>
      <w:rFonts w:ascii="Calibri" w:hAnsi="Calibri" w:eastAsia="仿宋_GB2312" w:cs="Calibri"/>
      <w:sz w:val="28"/>
      <w:szCs w:val="24"/>
    </w:rPr>
  </w:style>
  <w:style w:type="paragraph" w:customStyle="1" w:styleId="78">
    <w:name w:val="大标题"/>
    <w:basedOn w:val="2"/>
    <w:qFormat/>
    <w:uiPriority w:val="0"/>
    <w:pPr>
      <w:numPr>
        <w:numId w:val="2"/>
      </w:numPr>
      <w:snapToGrid w:val="0"/>
      <w:spacing w:before="100" w:beforeLines="20" w:beforeAutospacing="1" w:after="100" w:afterLines="20" w:afterAutospacing="1"/>
    </w:pPr>
    <w:rPr>
      <w:rFonts w:eastAsia="Calibri"/>
      <w:b w:val="0"/>
      <w:bCs/>
      <w:sz w:val="36"/>
      <w:szCs w:val="36"/>
    </w:rPr>
  </w:style>
  <w:style w:type="paragraph" w:customStyle="1" w:styleId="79">
    <w:name w:val="样式 标题 2 + 加粗 左"/>
    <w:basedOn w:val="3"/>
    <w:link w:val="184"/>
    <w:qFormat/>
    <w:uiPriority w:val="0"/>
    <w:pPr>
      <w:keepLines w:val="0"/>
      <w:numPr>
        <w:numId w:val="2"/>
      </w:numPr>
      <w:adjustRightInd/>
      <w:snapToGrid/>
      <w:spacing w:before="312" w:beforeLines="100" w:after="312" w:afterLines="100"/>
      <w:ind w:firstLine="0"/>
      <w:jc w:val="center"/>
    </w:pPr>
    <w:rPr>
      <w:rFonts w:eastAsia="Calibri"/>
      <w:b w:val="0"/>
      <w:bCs/>
      <w:spacing w:val="0"/>
      <w:kern w:val="2"/>
      <w:position w:val="0"/>
    </w:rPr>
  </w:style>
  <w:style w:type="paragraph" w:customStyle="1" w:styleId="80">
    <w:name w:val="标题3"/>
    <w:basedOn w:val="4"/>
    <w:qFormat/>
    <w:uiPriority w:val="0"/>
    <w:pPr>
      <w:keepLines w:val="0"/>
      <w:numPr>
        <w:numId w:val="2"/>
      </w:numPr>
      <w:tabs>
        <w:tab w:val="left" w:pos="468"/>
        <w:tab w:val="left" w:pos="840"/>
      </w:tabs>
      <w:adjustRightInd w:val="0"/>
      <w:ind w:hanging="468"/>
      <w:textAlignment w:val="baseline"/>
    </w:pPr>
    <w:rPr>
      <w:rFonts w:eastAsia="Calibri"/>
      <w:color w:val="000000"/>
      <w:kern w:val="0"/>
      <w:sz w:val="24"/>
      <w:szCs w:val="20"/>
    </w:rPr>
  </w:style>
  <w:style w:type="character" w:customStyle="1" w:styleId="81">
    <w:name w:val="标题 1 字符"/>
    <w:link w:val="2"/>
    <w:qFormat/>
    <w:uiPriority w:val="0"/>
    <w:rPr>
      <w:rFonts w:ascii="Times New Roman" w:hAnsi="Times New Roman" w:eastAsia="仿宋_GB2312"/>
      <w:b/>
      <w:kern w:val="44"/>
      <w:sz w:val="44"/>
      <w:szCs w:val="24"/>
    </w:rPr>
  </w:style>
  <w:style w:type="character" w:customStyle="1" w:styleId="82">
    <w:name w:val="标题 2 字符"/>
    <w:link w:val="3"/>
    <w:qFormat/>
    <w:uiPriority w:val="0"/>
    <w:rPr>
      <w:rFonts w:ascii="Times New Roman" w:hAnsi="Times New Roman" w:eastAsia="仿宋_GB2312" w:cs="Times New Roman"/>
      <w:b/>
      <w:spacing w:val="2"/>
      <w:kern w:val="28"/>
      <w:position w:val="-8"/>
      <w:sz w:val="36"/>
      <w:szCs w:val="36"/>
    </w:rPr>
  </w:style>
  <w:style w:type="character" w:customStyle="1" w:styleId="83">
    <w:name w:val="标题 3 字符"/>
    <w:link w:val="4"/>
    <w:qFormat/>
    <w:uiPriority w:val="0"/>
    <w:rPr>
      <w:rFonts w:ascii="Times New Roman" w:hAnsi="Times New Roman" w:eastAsia="仿宋_GB2312"/>
      <w:b/>
      <w:kern w:val="2"/>
      <w:sz w:val="32"/>
      <w:szCs w:val="24"/>
    </w:rPr>
  </w:style>
  <w:style w:type="character" w:customStyle="1" w:styleId="84">
    <w:name w:val="标题 7 字符"/>
    <w:link w:val="8"/>
    <w:qFormat/>
    <w:uiPriority w:val="0"/>
    <w:rPr>
      <w:rFonts w:ascii="Calibri" w:hAnsi="Calibri" w:cs="Calibri"/>
      <w:sz w:val="24"/>
      <w:szCs w:val="24"/>
    </w:rPr>
  </w:style>
  <w:style w:type="character" w:customStyle="1" w:styleId="85">
    <w:name w:val="标题 8 字符"/>
    <w:link w:val="9"/>
    <w:qFormat/>
    <w:uiPriority w:val="0"/>
    <w:rPr>
      <w:rFonts w:ascii="Calibri" w:hAnsi="Calibri" w:cs="Calibri"/>
      <w:sz w:val="24"/>
      <w:szCs w:val="24"/>
    </w:rPr>
  </w:style>
  <w:style w:type="character" w:customStyle="1" w:styleId="86">
    <w:name w:val="标题 9 字符"/>
    <w:link w:val="10"/>
    <w:qFormat/>
    <w:uiPriority w:val="0"/>
    <w:rPr>
      <w:rFonts w:ascii="Cambria" w:hAnsi="Cambria" w:eastAsia="Arial Narrow" w:cs="Calibri"/>
      <w:sz w:val="24"/>
      <w:szCs w:val="24"/>
    </w:rPr>
  </w:style>
  <w:style w:type="character" w:customStyle="1" w:styleId="87">
    <w:name w:val="正文缩进 字符"/>
    <w:link w:val="14"/>
    <w:qFormat/>
    <w:uiPriority w:val="0"/>
    <w:rPr>
      <w:kern w:val="2"/>
      <w:sz w:val="28"/>
    </w:rPr>
  </w:style>
  <w:style w:type="character" w:customStyle="1" w:styleId="88">
    <w:name w:val="批注框文本 字符"/>
    <w:link w:val="15"/>
    <w:qFormat/>
    <w:uiPriority w:val="0"/>
    <w:rPr>
      <w:kern w:val="2"/>
      <w:sz w:val="18"/>
      <w:szCs w:val="18"/>
    </w:rPr>
  </w:style>
  <w:style w:type="character" w:customStyle="1" w:styleId="89">
    <w:name w:val="题注 字符"/>
    <w:link w:val="16"/>
    <w:qFormat/>
    <w:uiPriority w:val="35"/>
    <w:rPr>
      <w:rFonts w:ascii="New York" w:hAnsi="New York" w:eastAsia="仿宋_GB2312"/>
      <w:b/>
      <w:kern w:val="2"/>
      <w:sz w:val="28"/>
    </w:rPr>
  </w:style>
  <w:style w:type="character" w:customStyle="1" w:styleId="90">
    <w:name w:val="文档结构图 字符"/>
    <w:link w:val="18"/>
    <w:qFormat/>
    <w:uiPriority w:val="99"/>
    <w:rPr>
      <w:rFonts w:ascii="Calibri"/>
      <w:kern w:val="2"/>
      <w:sz w:val="18"/>
      <w:szCs w:val="18"/>
    </w:rPr>
  </w:style>
  <w:style w:type="character" w:customStyle="1" w:styleId="91">
    <w:name w:val="批注文字 字符"/>
    <w:link w:val="20"/>
    <w:qFormat/>
    <w:uiPriority w:val="0"/>
    <w:rPr>
      <w:rFonts w:ascii="Calibri" w:hAnsi="Calibri" w:cs="Calibri"/>
      <w:sz w:val="24"/>
      <w:szCs w:val="24"/>
    </w:rPr>
  </w:style>
  <w:style w:type="character" w:customStyle="1" w:styleId="92">
    <w:name w:val="正文文本 3 字符"/>
    <w:link w:val="22"/>
    <w:qFormat/>
    <w:uiPriority w:val="0"/>
    <w:rPr>
      <w:rFonts w:ascii="Calibri" w:hAnsi="Calibri" w:cs="Calibri"/>
      <w:sz w:val="16"/>
      <w:szCs w:val="16"/>
    </w:rPr>
  </w:style>
  <w:style w:type="character" w:customStyle="1" w:styleId="93">
    <w:name w:val="正文文本 字符1"/>
    <w:link w:val="23"/>
    <w:qFormat/>
    <w:uiPriority w:val="0"/>
    <w:rPr>
      <w:kern w:val="2"/>
      <w:sz w:val="21"/>
      <w:szCs w:val="24"/>
    </w:rPr>
  </w:style>
  <w:style w:type="character" w:customStyle="1" w:styleId="94">
    <w:name w:val="正文文本缩进 字符"/>
    <w:link w:val="24"/>
    <w:qFormat/>
    <w:uiPriority w:val="0"/>
    <w:rPr>
      <w:rFonts w:ascii="Calibri" w:hAnsi="Calibri"/>
      <w:kern w:val="2"/>
      <w:sz w:val="28"/>
      <w:szCs w:val="24"/>
    </w:rPr>
  </w:style>
  <w:style w:type="character" w:customStyle="1" w:styleId="95">
    <w:name w:val="正文文本缩进 2 字符"/>
    <w:link w:val="25"/>
    <w:qFormat/>
    <w:uiPriority w:val="0"/>
    <w:rPr>
      <w:kern w:val="2"/>
      <w:sz w:val="21"/>
      <w:szCs w:val="24"/>
    </w:rPr>
  </w:style>
  <w:style w:type="character" w:customStyle="1" w:styleId="96">
    <w:name w:val="纯文本 字符1"/>
    <w:link w:val="31"/>
    <w:qFormat/>
    <w:uiPriority w:val="0"/>
    <w:rPr>
      <w:rFonts w:ascii="Calibri" w:hAnsi="宋体-PUA"/>
      <w:kern w:val="2"/>
      <w:sz w:val="28"/>
    </w:rPr>
  </w:style>
  <w:style w:type="character" w:customStyle="1" w:styleId="97">
    <w:name w:val="日期 字符"/>
    <w:link w:val="34"/>
    <w:qFormat/>
    <w:uiPriority w:val="0"/>
    <w:rPr>
      <w:kern w:val="2"/>
      <w:sz w:val="21"/>
    </w:rPr>
  </w:style>
  <w:style w:type="character" w:customStyle="1" w:styleId="98">
    <w:name w:val="页脚 字符"/>
    <w:link w:val="35"/>
    <w:qFormat/>
    <w:uiPriority w:val="99"/>
    <w:rPr>
      <w:rFonts w:eastAsia="仿宋_GB2312"/>
      <w:kern w:val="2"/>
      <w:sz w:val="18"/>
      <w:szCs w:val="24"/>
      <w:lang w:val="zh-CN"/>
    </w:rPr>
  </w:style>
  <w:style w:type="character" w:customStyle="1" w:styleId="99">
    <w:name w:val="页眉 字符"/>
    <w:link w:val="36"/>
    <w:qFormat/>
    <w:uiPriority w:val="99"/>
    <w:rPr>
      <w:rFonts w:eastAsia="宋体"/>
      <w:kern w:val="2"/>
      <w:sz w:val="21"/>
      <w:szCs w:val="24"/>
    </w:rPr>
  </w:style>
  <w:style w:type="character" w:customStyle="1" w:styleId="100">
    <w:name w:val="副标题 字符"/>
    <w:link w:val="41"/>
    <w:qFormat/>
    <w:uiPriority w:val="11"/>
    <w:rPr>
      <w:b/>
      <w:bCs/>
      <w:color w:val="000000"/>
      <w:kern w:val="28"/>
      <w:sz w:val="28"/>
      <w:szCs w:val="32"/>
    </w:rPr>
  </w:style>
  <w:style w:type="character" w:customStyle="1" w:styleId="101">
    <w:name w:val="正文文本缩进 3 字符"/>
    <w:link w:val="44"/>
    <w:qFormat/>
    <w:uiPriority w:val="0"/>
    <w:rPr>
      <w:rFonts w:ascii="Calibri"/>
      <w:sz w:val="24"/>
      <w:u w:val="single"/>
    </w:rPr>
  </w:style>
  <w:style w:type="character" w:customStyle="1" w:styleId="102">
    <w:name w:val="正文文本 2 字符"/>
    <w:link w:val="50"/>
    <w:qFormat/>
    <w:uiPriority w:val="0"/>
    <w:rPr>
      <w:rFonts w:hAnsi="Times New Roman" w:eastAsia="仿宋_GB2312" w:cs="Times New Roman"/>
      <w:kern w:val="2"/>
      <w:sz w:val="32"/>
      <w:szCs w:val="24"/>
    </w:rPr>
  </w:style>
  <w:style w:type="character" w:customStyle="1" w:styleId="103">
    <w:name w:val="HTML 预设格式 字符"/>
    <w:link w:val="52"/>
    <w:qFormat/>
    <w:uiPriority w:val="0"/>
    <w:rPr>
      <w:rFonts w:ascii="Calibri" w:hAnsi="Calibri"/>
      <w:sz w:val="24"/>
      <w:szCs w:val="24"/>
    </w:rPr>
  </w:style>
  <w:style w:type="character" w:customStyle="1" w:styleId="104">
    <w:name w:val="标题 字符"/>
    <w:link w:val="55"/>
    <w:qFormat/>
    <w:uiPriority w:val="0"/>
    <w:rPr>
      <w:rFonts w:ascii="New York" w:hAnsi="New York" w:cs="仿宋_GB2312"/>
      <w:b/>
      <w:bCs/>
      <w:kern w:val="2"/>
      <w:sz w:val="32"/>
      <w:szCs w:val="32"/>
    </w:rPr>
  </w:style>
  <w:style w:type="character" w:customStyle="1" w:styleId="105">
    <w:name w:val="批注主题 字符"/>
    <w:link w:val="56"/>
    <w:qFormat/>
    <w:uiPriority w:val="0"/>
    <w:rPr>
      <w:rFonts w:ascii="Calibri" w:hAnsi="Calibri" w:cs="Calibri"/>
      <w:b/>
      <w:bCs/>
      <w:kern w:val="2"/>
      <w:sz w:val="24"/>
      <w:szCs w:val="24"/>
    </w:rPr>
  </w:style>
  <w:style w:type="character" w:customStyle="1" w:styleId="106">
    <w:name w:val="正文文本首行缩进 字符"/>
    <w:link w:val="57"/>
    <w:qFormat/>
    <w:uiPriority w:val="0"/>
    <w:rPr>
      <w:rFonts w:ascii="Calibri" w:hAnsi="Calibri" w:eastAsia="仿宋_GB2312" w:cs="Calibri"/>
      <w:sz w:val="28"/>
      <w:szCs w:val="28"/>
    </w:rPr>
  </w:style>
  <w:style w:type="character" w:customStyle="1" w:styleId="107">
    <w:name w:val="正文文本首行缩进 2 字符"/>
    <w:link w:val="58"/>
    <w:qFormat/>
    <w:uiPriority w:val="0"/>
    <w:rPr>
      <w:rFonts w:ascii="仿宋_GB2312" w:hAnsi="仿宋_GB2312" w:eastAsia="仿宋_GB2312"/>
      <w:kern w:val="2"/>
      <w:sz w:val="28"/>
      <w:szCs w:val="24"/>
    </w:rPr>
  </w:style>
  <w:style w:type="character" w:customStyle="1" w:styleId="108">
    <w:name w:val="表格 Char Char"/>
    <w:link w:val="71"/>
    <w:qFormat/>
    <w:uiPriority w:val="0"/>
    <w:rPr>
      <w:snapToGrid/>
      <w:sz w:val="24"/>
      <w:szCs w:val="24"/>
    </w:rPr>
  </w:style>
  <w:style w:type="character" w:customStyle="1" w:styleId="109">
    <w:name w:val="表格内容 Char"/>
    <w:link w:val="72"/>
    <w:qFormat/>
    <w:uiPriority w:val="0"/>
    <w:rPr>
      <w:rFonts w:ascii="Calibri" w:hAnsi="Calibri"/>
      <w:kern w:val="2"/>
      <w:sz w:val="21"/>
      <w:szCs w:val="21"/>
      <w:lang w:val="zh-CN"/>
    </w:rPr>
  </w:style>
  <w:style w:type="paragraph" w:styleId="110">
    <w:name w:val="Intense Quote"/>
    <w:basedOn w:val="1"/>
    <w:next w:val="1"/>
    <w:link w:val="111"/>
    <w:qFormat/>
    <w:uiPriority w:val="99"/>
    <w:pPr>
      <w:wordWrap w:val="0"/>
      <w:spacing w:before="360" w:after="360"/>
      <w:ind w:left="950" w:right="950"/>
      <w:jc w:val="center"/>
    </w:pPr>
    <w:rPr>
      <w:rFonts w:ascii="仿宋_GB2312" w:hAnsi="仿宋_GB2312" w:cs="仿宋_GB2312"/>
      <w:i/>
      <w:iCs/>
    </w:rPr>
  </w:style>
  <w:style w:type="character" w:customStyle="1" w:styleId="111">
    <w:name w:val="明显引用 字符"/>
    <w:link w:val="110"/>
    <w:qFormat/>
    <w:uiPriority w:val="99"/>
    <w:rPr>
      <w:i/>
      <w:iCs/>
      <w:kern w:val="2"/>
      <w:sz w:val="21"/>
      <w:szCs w:val="24"/>
    </w:rPr>
  </w:style>
  <w:style w:type="paragraph" w:customStyle="1" w:styleId="112">
    <w:name w:val="可研样式"/>
    <w:basedOn w:val="113"/>
    <w:link w:val="114"/>
    <w:qFormat/>
    <w:uiPriority w:val="0"/>
    <w:pPr>
      <w:ind w:firstLine="200"/>
    </w:pPr>
    <w:rPr>
      <w:rFonts w:eastAsia="仿宋"/>
    </w:rPr>
  </w:style>
  <w:style w:type="paragraph" w:customStyle="1" w:styleId="113">
    <w:name w:val="_Style 11"/>
    <w:basedOn w:val="1"/>
    <w:next w:val="1"/>
    <w:unhideWhenUsed/>
    <w:qFormat/>
    <w:uiPriority w:val="37"/>
  </w:style>
  <w:style w:type="character" w:customStyle="1" w:styleId="114">
    <w:name w:val="可研样式 Char"/>
    <w:link w:val="112"/>
    <w:qFormat/>
    <w:uiPriority w:val="0"/>
    <w:rPr>
      <w:rFonts w:ascii="Times New Roman" w:hAnsi="Times New Roman" w:eastAsia="仿宋"/>
    </w:rPr>
  </w:style>
  <w:style w:type="character" w:customStyle="1" w:styleId="115">
    <w:name w:val="NormalCharacter"/>
    <w:semiHidden/>
    <w:qFormat/>
    <w:uiPriority w:val="0"/>
    <w:rPr>
      <w:rFonts w:ascii="Times New Roman" w:hAnsi="Times New Roman" w:eastAsia="仿宋_GB2312"/>
      <w:kern w:val="2"/>
      <w:sz w:val="28"/>
      <w:szCs w:val="24"/>
      <w:lang w:val="en-US" w:eastAsia="zh-CN" w:bidi="ar-SA"/>
    </w:rPr>
  </w:style>
  <w:style w:type="paragraph" w:customStyle="1" w:styleId="116">
    <w:name w:val="样式 行距: 1.5 倍行距 首行缩进:  2 字符"/>
    <w:basedOn w:val="1"/>
    <w:qFormat/>
    <w:uiPriority w:val="0"/>
    <w:pPr>
      <w:adjustRightInd w:val="0"/>
      <w:snapToGrid w:val="0"/>
      <w:spacing w:line="460" w:lineRule="exact"/>
    </w:pPr>
    <w:rPr>
      <w:rFonts w:ascii="Yu Mincho Light" w:hAnsi="Yu Mincho Light" w:eastAsia="Calibri" w:cs="仿宋_GB2312"/>
      <w:sz w:val="24"/>
      <w:szCs w:val="22"/>
    </w:rPr>
  </w:style>
  <w:style w:type="character" w:customStyle="1" w:styleId="117">
    <w:name w:val="line41"/>
    <w:qFormat/>
    <w:uiPriority w:val="0"/>
  </w:style>
  <w:style w:type="character" w:customStyle="1" w:styleId="118">
    <w:name w:val="批注框文本 Char"/>
    <w:qFormat/>
    <w:uiPriority w:val="0"/>
    <w:rPr>
      <w:kern w:val="2"/>
      <w:sz w:val="18"/>
      <w:szCs w:val="18"/>
    </w:rPr>
  </w:style>
  <w:style w:type="character" w:customStyle="1" w:styleId="119">
    <w:name w:val="纯文本 字符2"/>
    <w:semiHidden/>
    <w:qFormat/>
    <w:uiPriority w:val="0"/>
    <w:rPr>
      <w:rFonts w:ascii="等线" w:hAnsi="Courier New" w:eastAsia="等线" w:cs="Courier New"/>
      <w:kern w:val="2"/>
      <w:sz w:val="21"/>
      <w:szCs w:val="24"/>
    </w:rPr>
  </w:style>
  <w:style w:type="character" w:customStyle="1" w:styleId="120">
    <w:name w:val="font181"/>
    <w:qFormat/>
    <w:uiPriority w:val="0"/>
    <w:rPr>
      <w:rFonts w:ascii="Verdana" w:eastAsia="Verdana" w:cs="Verdana"/>
      <w:color w:val="000000"/>
      <w:sz w:val="20"/>
      <w:szCs w:val="20"/>
      <w:u w:val="none"/>
    </w:rPr>
  </w:style>
  <w:style w:type="character" w:customStyle="1" w:styleId="121">
    <w:name w:val="正文首行缩进 Char"/>
    <w:link w:val="122"/>
    <w:qFormat/>
    <w:uiPriority w:val="0"/>
    <w:rPr>
      <w:rFonts w:ascii="宋体" w:hAnsi="宋体" w:cs="宋体"/>
      <w:sz w:val="24"/>
      <w:szCs w:val="24"/>
    </w:rPr>
  </w:style>
  <w:style w:type="paragraph" w:customStyle="1" w:styleId="122">
    <w:name w:val="1"/>
    <w:basedOn w:val="1"/>
    <w:next w:val="123"/>
    <w:link w:val="121"/>
    <w:qFormat/>
    <w:uiPriority w:val="0"/>
    <w:pPr>
      <w:ind w:firstLine="420"/>
    </w:pPr>
    <w:rPr>
      <w:rFonts w:ascii="宋体" w:hAnsi="宋体" w:cs="宋体"/>
      <w:kern w:val="0"/>
      <w:sz w:val="24"/>
    </w:rPr>
  </w:style>
  <w:style w:type="paragraph" w:styleId="123">
    <w:name w:val="List Paragraph"/>
    <w:basedOn w:val="1"/>
    <w:qFormat/>
    <w:uiPriority w:val="1"/>
    <w:pPr>
      <w:ind w:firstLine="420"/>
    </w:pPr>
    <w:rPr>
      <w:rFonts w:ascii="Yu Mincho Light" w:hAnsi="Yu Mincho Light"/>
      <w:szCs w:val="22"/>
    </w:rPr>
  </w:style>
  <w:style w:type="character" w:customStyle="1" w:styleId="124">
    <w:name w:val="Char Char10"/>
    <w:qFormat/>
    <w:uiPriority w:val="0"/>
    <w:rPr>
      <w:rFonts w:hint="eastAsia" w:ascii="宋体" w:hAnsi="Courier New"/>
      <w:sz w:val="21"/>
      <w:szCs w:val="20"/>
    </w:rPr>
  </w:style>
  <w:style w:type="character" w:customStyle="1" w:styleId="125">
    <w:name w:val="p91"/>
    <w:qFormat/>
    <w:uiPriority w:val="0"/>
  </w:style>
  <w:style w:type="character" w:customStyle="1" w:styleId="126">
    <w:name w:val="批注主题 Char Char"/>
    <w:link w:val="127"/>
    <w:qFormat/>
    <w:uiPriority w:val="0"/>
    <w:rPr>
      <w:rFonts w:cs="Calibri"/>
      <w:b/>
      <w:bCs/>
      <w:kern w:val="2"/>
      <w:sz w:val="21"/>
      <w:szCs w:val="24"/>
    </w:rPr>
  </w:style>
  <w:style w:type="paragraph" w:customStyle="1" w:styleId="127">
    <w:name w:val="批注主题1"/>
    <w:basedOn w:val="20"/>
    <w:next w:val="20"/>
    <w:link w:val="126"/>
    <w:qFormat/>
    <w:uiPriority w:val="0"/>
    <w:pPr>
      <w:widowControl w:val="0"/>
    </w:pPr>
    <w:rPr>
      <w:rFonts w:ascii="仿宋_GB2312" w:hAnsi="仿宋_GB2312"/>
      <w:b/>
      <w:bCs/>
      <w:kern w:val="2"/>
      <w:sz w:val="21"/>
    </w:rPr>
  </w:style>
  <w:style w:type="character" w:customStyle="1" w:styleId="128">
    <w:name w:val="Char Char3"/>
    <w:qFormat/>
    <w:uiPriority w:val="0"/>
    <w:rPr>
      <w:rFonts w:ascii="Calibri" w:hAnsi="宋体-PUA" w:eastAsia="Calibri" w:cs="宋体-PUA"/>
      <w:sz w:val="21"/>
      <w:szCs w:val="21"/>
      <w:lang w:val="en-US" w:eastAsia="zh-CN"/>
    </w:rPr>
  </w:style>
  <w:style w:type="character" w:customStyle="1" w:styleId="129">
    <w:name w:val="fontstyle11"/>
    <w:qFormat/>
    <w:uiPriority w:val="0"/>
    <w:rPr>
      <w:rFonts w:ascii="Calibri" w:hAnsi="Calibri" w:eastAsia="Calibri" w:cs="Calibri"/>
      <w:color w:val="000000"/>
      <w:sz w:val="24"/>
      <w:szCs w:val="24"/>
    </w:rPr>
  </w:style>
  <w:style w:type="character" w:customStyle="1" w:styleId="130">
    <w:name w:val="font191"/>
    <w:qFormat/>
    <w:uiPriority w:val="0"/>
    <w:rPr>
      <w:rFonts w:hint="default" w:ascii="仿宋_GB2312" w:hAnsi="仿宋_GB2312" w:cs="仿宋_GB2312"/>
      <w:color w:val="000000"/>
      <w:sz w:val="20"/>
      <w:szCs w:val="20"/>
      <w:u w:val="none"/>
      <w:vertAlign w:val="superscript"/>
    </w:rPr>
  </w:style>
  <w:style w:type="character" w:customStyle="1" w:styleId="131">
    <w:name w:val="标题 1 Char1 Char1"/>
    <w:qFormat/>
    <w:uiPriority w:val="0"/>
    <w:rPr>
      <w:rFonts w:eastAsia="Calibri"/>
      <w:b/>
      <w:kern w:val="44"/>
      <w:sz w:val="24"/>
      <w:lang w:val="en-US" w:eastAsia="zh-CN" w:bidi="ar-SA"/>
    </w:rPr>
  </w:style>
  <w:style w:type="character" w:customStyle="1" w:styleId="132">
    <w:name w:val="fontstyle01"/>
    <w:qFormat/>
    <w:uiPriority w:val="0"/>
    <w:rPr>
      <w:rFonts w:ascii="Calibri" w:hAnsi="Calibri" w:eastAsia="Calibri" w:cs="Calibri"/>
      <w:color w:val="000000"/>
      <w:sz w:val="24"/>
      <w:szCs w:val="24"/>
    </w:rPr>
  </w:style>
  <w:style w:type="character" w:customStyle="1" w:styleId="133">
    <w:name w:val="font9pt1"/>
    <w:qFormat/>
    <w:uiPriority w:val="0"/>
    <w:rPr>
      <w:color w:val="333333"/>
      <w:sz w:val="18"/>
      <w:szCs w:val="18"/>
      <w:u w:val="none"/>
    </w:rPr>
  </w:style>
  <w:style w:type="character" w:customStyle="1" w:styleId="134">
    <w:name w:val="标题 Char"/>
    <w:qFormat/>
    <w:uiPriority w:val="0"/>
    <w:rPr>
      <w:rFonts w:ascii="Arial" w:hAnsi="Arial" w:cs="Arial"/>
      <w:b/>
      <w:bCs/>
      <w:sz w:val="32"/>
      <w:szCs w:val="32"/>
    </w:rPr>
  </w:style>
  <w:style w:type="character" w:customStyle="1" w:styleId="135">
    <w:name w:val="3号标题 Char"/>
    <w:link w:val="136"/>
    <w:qFormat/>
    <w:uiPriority w:val="0"/>
    <w:rPr>
      <w:rFonts w:hAnsi="Arial" w:eastAsia="仿宋_GB2312"/>
      <w:bCs/>
      <w:kern w:val="2"/>
      <w:sz w:val="36"/>
      <w:szCs w:val="36"/>
    </w:rPr>
  </w:style>
  <w:style w:type="paragraph" w:customStyle="1" w:styleId="136">
    <w:name w:val="3号标题"/>
    <w:basedOn w:val="4"/>
    <w:link w:val="135"/>
    <w:qFormat/>
    <w:uiPriority w:val="0"/>
    <w:pPr>
      <w:numPr>
        <w:ilvl w:val="0"/>
        <w:numId w:val="0"/>
      </w:numPr>
      <w:snapToGrid w:val="0"/>
      <w:spacing w:beforeLines="50" w:afterLines="50" w:line="600" w:lineRule="exact"/>
    </w:pPr>
    <w:rPr>
      <w:rFonts w:hAnsi="Arial"/>
      <w:b w:val="0"/>
      <w:bCs/>
      <w:sz w:val="36"/>
      <w:szCs w:val="36"/>
    </w:rPr>
  </w:style>
  <w:style w:type="character" w:customStyle="1" w:styleId="137">
    <w:name w:val="文档结构图 Char Char"/>
    <w:qFormat/>
    <w:uiPriority w:val="0"/>
    <w:rPr>
      <w:rFonts w:ascii="Calibri"/>
      <w:kern w:val="2"/>
      <w:sz w:val="18"/>
      <w:szCs w:val="18"/>
    </w:rPr>
  </w:style>
  <w:style w:type="character" w:customStyle="1" w:styleId="138">
    <w:name w:val="日期 Char"/>
    <w:qFormat/>
    <w:uiPriority w:val="0"/>
    <w:rPr>
      <w:kern w:val="2"/>
      <w:sz w:val="21"/>
    </w:rPr>
  </w:style>
  <w:style w:type="character" w:customStyle="1" w:styleId="139">
    <w:name w:val="样式 小四 首行缩进:  0.99 厘米 行距: 最小值 25 磅 Char Char"/>
    <w:link w:val="140"/>
    <w:qFormat/>
    <w:uiPriority w:val="0"/>
    <w:rPr>
      <w:rFonts w:cs="Calibri"/>
      <w:kern w:val="2"/>
      <w:sz w:val="24"/>
    </w:rPr>
  </w:style>
  <w:style w:type="paragraph" w:customStyle="1" w:styleId="140">
    <w:name w:val="样式 小四 首行缩进:  0.99 厘米 行距: 最小值 25 磅"/>
    <w:basedOn w:val="1"/>
    <w:link w:val="139"/>
    <w:qFormat/>
    <w:uiPriority w:val="0"/>
    <w:pPr>
      <w:spacing w:line="480" w:lineRule="atLeast"/>
      <w:ind w:firstLine="482"/>
    </w:pPr>
    <w:rPr>
      <w:rFonts w:cs="Calibri"/>
      <w:sz w:val="24"/>
      <w:szCs w:val="20"/>
    </w:rPr>
  </w:style>
  <w:style w:type="character" w:customStyle="1" w:styleId="141">
    <w:name w:val="正文文本缩进 3 Char1"/>
    <w:semiHidden/>
    <w:qFormat/>
    <w:uiPriority w:val="99"/>
    <w:rPr>
      <w:kern w:val="2"/>
      <w:sz w:val="16"/>
      <w:szCs w:val="16"/>
    </w:rPr>
  </w:style>
  <w:style w:type="character" w:customStyle="1" w:styleId="142">
    <w:name w:val="标题 3 Char"/>
    <w:qFormat/>
    <w:uiPriority w:val="9"/>
    <w:rPr>
      <w:rFonts w:eastAsia="黑体"/>
      <w:b/>
      <w:spacing w:val="10"/>
      <w:kern w:val="2"/>
      <w:sz w:val="28"/>
      <w:lang w:val="en-US" w:eastAsia="zh-CN" w:bidi="ar-SA"/>
    </w:rPr>
  </w:style>
  <w:style w:type="character" w:customStyle="1" w:styleId="143">
    <w:name w:val="unnamed1"/>
    <w:qFormat/>
    <w:uiPriority w:val="0"/>
  </w:style>
  <w:style w:type="character" w:customStyle="1" w:styleId="144">
    <w:name w:val="页脚 Char"/>
    <w:qFormat/>
    <w:uiPriority w:val="99"/>
    <w:rPr>
      <w:kern w:val="2"/>
      <w:sz w:val="18"/>
    </w:rPr>
  </w:style>
  <w:style w:type="character" w:customStyle="1" w:styleId="145">
    <w:name w:val="pt121"/>
    <w:qFormat/>
    <w:uiPriority w:val="0"/>
    <w:rPr>
      <w:sz w:val="24"/>
      <w:szCs w:val="24"/>
    </w:rPr>
  </w:style>
  <w:style w:type="character" w:customStyle="1" w:styleId="146">
    <w:name w:val="font11"/>
    <w:qFormat/>
    <w:uiPriority w:val="0"/>
    <w:rPr>
      <w:rFonts w:ascii="Calibri" w:hAnsi="Calibri" w:eastAsia="Calibri" w:cs="Calibri"/>
      <w:color w:val="000000"/>
      <w:sz w:val="24"/>
      <w:szCs w:val="24"/>
      <w:u w:val="none"/>
    </w:rPr>
  </w:style>
  <w:style w:type="character" w:customStyle="1" w:styleId="147">
    <w:name w:val="H2 Char"/>
    <w:qFormat/>
    <w:uiPriority w:val="0"/>
    <w:rPr>
      <w:b/>
      <w:bCs/>
      <w:sz w:val="30"/>
    </w:rPr>
  </w:style>
  <w:style w:type="character" w:customStyle="1" w:styleId="148">
    <w:name w:val="123456 Char"/>
    <w:link w:val="149"/>
    <w:qFormat/>
    <w:uiPriority w:val="0"/>
    <w:rPr>
      <w:kern w:val="2"/>
      <w:sz w:val="28"/>
      <w:szCs w:val="24"/>
    </w:rPr>
  </w:style>
  <w:style w:type="paragraph" w:customStyle="1" w:styleId="149">
    <w:name w:val="123456"/>
    <w:basedOn w:val="1"/>
    <w:link w:val="148"/>
    <w:qFormat/>
    <w:uiPriority w:val="0"/>
    <w:pPr>
      <w:ind w:firstLine="200"/>
    </w:pPr>
  </w:style>
  <w:style w:type="character" w:customStyle="1" w:styleId="150">
    <w:name w:val="表格1111 字符"/>
    <w:link w:val="151"/>
    <w:qFormat/>
    <w:uiPriority w:val="0"/>
    <w:rPr>
      <w:rFonts w:eastAsia="黑体"/>
      <w:kern w:val="2"/>
      <w:sz w:val="24"/>
      <w:szCs w:val="24"/>
    </w:rPr>
  </w:style>
  <w:style w:type="paragraph" w:customStyle="1" w:styleId="151">
    <w:name w:val="表格1111"/>
    <w:basedOn w:val="1"/>
    <w:next w:val="149"/>
    <w:link w:val="150"/>
    <w:qFormat/>
    <w:uiPriority w:val="0"/>
    <w:pPr>
      <w:spacing w:before="50" w:beforeLines="50"/>
      <w:jc w:val="center"/>
    </w:pPr>
    <w:rPr>
      <w:rFonts w:eastAsia="黑体"/>
      <w:sz w:val="24"/>
    </w:rPr>
  </w:style>
  <w:style w:type="character" w:customStyle="1" w:styleId="152">
    <w:name w:val="批注主题 字符1"/>
    <w:qFormat/>
    <w:uiPriority w:val="99"/>
    <w:rPr>
      <w:b/>
      <w:bCs/>
      <w:kern w:val="2"/>
      <w:sz w:val="21"/>
      <w:szCs w:val="24"/>
    </w:rPr>
  </w:style>
  <w:style w:type="character" w:customStyle="1" w:styleId="153">
    <w:name w:val="标题 字符1"/>
    <w:qFormat/>
    <w:uiPriority w:val="0"/>
    <w:rPr>
      <w:rFonts w:ascii="等线 Light" w:hAnsi="等线 Light" w:eastAsia="等线 Light" w:cs="Times New Roman"/>
      <w:b/>
      <w:bCs/>
      <w:kern w:val="2"/>
      <w:sz w:val="32"/>
      <w:szCs w:val="32"/>
    </w:rPr>
  </w:style>
  <w:style w:type="character" w:customStyle="1" w:styleId="154">
    <w:name w:val="正文文本 3 字符1"/>
    <w:qFormat/>
    <w:uiPriority w:val="99"/>
    <w:rPr>
      <w:kern w:val="2"/>
      <w:sz w:val="16"/>
      <w:szCs w:val="16"/>
    </w:rPr>
  </w:style>
  <w:style w:type="character" w:customStyle="1" w:styleId="155">
    <w:name w:val="页码 New New New New New New New New New"/>
    <w:qFormat/>
    <w:uiPriority w:val="0"/>
  </w:style>
  <w:style w:type="character" w:customStyle="1" w:styleId="156">
    <w:name w:val="zi_101"/>
    <w:qFormat/>
    <w:uiPriority w:val="0"/>
    <w:rPr>
      <w:rFonts w:hint="default" w:ascii="等线" w:hAnsi="等线"/>
      <w:color w:val="C90000"/>
      <w:sz w:val="18"/>
      <w:szCs w:val="18"/>
    </w:rPr>
  </w:style>
  <w:style w:type="character" w:customStyle="1" w:styleId="157">
    <w:name w:val="批注框文本 字符1"/>
    <w:semiHidden/>
    <w:qFormat/>
    <w:uiPriority w:val="0"/>
    <w:rPr>
      <w:kern w:val="2"/>
      <w:sz w:val="18"/>
      <w:szCs w:val="18"/>
    </w:rPr>
  </w:style>
  <w:style w:type="character" w:customStyle="1" w:styleId="158">
    <w:name w:val="页码1"/>
    <w:qFormat/>
    <w:uiPriority w:val="0"/>
  </w:style>
  <w:style w:type="character" w:customStyle="1" w:styleId="159">
    <w:name w:val="副标题 字符1"/>
    <w:qFormat/>
    <w:uiPriority w:val="11"/>
    <w:rPr>
      <w:rFonts w:ascii="等线" w:hAnsi="等线" w:eastAsia="等线" w:cs="Times New Roman"/>
      <w:b/>
      <w:bCs/>
      <w:kern w:val="28"/>
      <w:sz w:val="32"/>
      <w:szCs w:val="32"/>
    </w:rPr>
  </w:style>
  <w:style w:type="character" w:customStyle="1" w:styleId="160">
    <w:name w:val="正文文本 Char"/>
    <w:qFormat/>
    <w:uiPriority w:val="0"/>
    <w:rPr>
      <w:rFonts w:ascii="Calibri" w:hAnsi="Calibri" w:cs="Calibri"/>
      <w:sz w:val="24"/>
      <w:szCs w:val="24"/>
    </w:rPr>
  </w:style>
  <w:style w:type="character" w:customStyle="1" w:styleId="161">
    <w:name w:val="正文文本缩进 2 Char"/>
    <w:qFormat/>
    <w:uiPriority w:val="0"/>
    <w:rPr>
      <w:kern w:val="2"/>
      <w:sz w:val="21"/>
      <w:szCs w:val="24"/>
    </w:rPr>
  </w:style>
  <w:style w:type="character" w:customStyle="1" w:styleId="162">
    <w:name w:val="正文文本缩进 3 Char"/>
    <w:qFormat/>
    <w:uiPriority w:val="0"/>
    <w:rPr>
      <w:rFonts w:ascii="宋体"/>
      <w:sz w:val="24"/>
      <w:u w:val="single"/>
    </w:rPr>
  </w:style>
  <w:style w:type="character" w:customStyle="1" w:styleId="163">
    <w:name w:val="b12"/>
    <w:qFormat/>
    <w:uiPriority w:val="0"/>
  </w:style>
  <w:style w:type="character" w:customStyle="1" w:styleId="164">
    <w:name w:val="一级标题 Char"/>
    <w:link w:val="165"/>
    <w:qFormat/>
    <w:uiPriority w:val="0"/>
    <w:rPr>
      <w:b/>
      <w:bCs/>
      <w:kern w:val="44"/>
      <w:sz w:val="44"/>
      <w:szCs w:val="24"/>
    </w:rPr>
  </w:style>
  <w:style w:type="paragraph" w:customStyle="1" w:styleId="165">
    <w:name w:val="一级标题"/>
    <w:basedOn w:val="2"/>
    <w:link w:val="164"/>
    <w:qFormat/>
    <w:uiPriority w:val="0"/>
    <w:pPr>
      <w:numPr>
        <w:numId w:val="0"/>
      </w:numPr>
      <w:contextualSpacing/>
    </w:pPr>
    <w:rPr>
      <w:rFonts w:eastAsia="Calibri"/>
      <w:b w:val="0"/>
      <w:bCs/>
    </w:rPr>
  </w:style>
  <w:style w:type="character" w:customStyle="1" w:styleId="166">
    <w:name w:val="正文文本缩进 2 字符2"/>
    <w:semiHidden/>
    <w:qFormat/>
    <w:uiPriority w:val="0"/>
    <w:rPr>
      <w:kern w:val="2"/>
      <w:sz w:val="21"/>
      <w:szCs w:val="24"/>
    </w:rPr>
  </w:style>
  <w:style w:type="character" w:customStyle="1" w:styleId="167">
    <w:name w:val="font41"/>
    <w:qFormat/>
    <w:uiPriority w:val="0"/>
    <w:rPr>
      <w:rFonts w:hint="default" w:ascii="仿宋_GB2312" w:hAnsi="仿宋_GB2312" w:cs="仿宋_GB2312"/>
      <w:color w:val="000000"/>
      <w:sz w:val="20"/>
      <w:szCs w:val="20"/>
      <w:u w:val="none"/>
      <w:vertAlign w:val="subscript"/>
    </w:rPr>
  </w:style>
  <w:style w:type="character" w:customStyle="1" w:styleId="168">
    <w:name w:val="批注引用1"/>
    <w:qFormat/>
    <w:uiPriority w:val="0"/>
    <w:rPr>
      <w:sz w:val="21"/>
      <w:szCs w:val="21"/>
    </w:rPr>
  </w:style>
  <w:style w:type="character" w:customStyle="1" w:styleId="169">
    <w:name w:val="正文文本首行缩进 字符2"/>
    <w:semiHidden/>
    <w:qFormat/>
    <w:uiPriority w:val="0"/>
  </w:style>
  <w:style w:type="character" w:customStyle="1" w:styleId="170">
    <w:name w:val="正文文本缩进 Char1"/>
    <w:semiHidden/>
    <w:qFormat/>
    <w:uiPriority w:val="99"/>
    <w:rPr>
      <w:kern w:val="2"/>
      <w:sz w:val="21"/>
    </w:rPr>
  </w:style>
  <w:style w:type="character" w:customStyle="1" w:styleId="171">
    <w:name w:val="font141"/>
    <w:qFormat/>
    <w:uiPriority w:val="0"/>
    <w:rPr>
      <w:rFonts w:hint="default" w:ascii="Times New Roman" w:hAnsi="Times New Roman" w:cs="Times New Roman"/>
      <w:color w:val="000000"/>
      <w:sz w:val="20"/>
      <w:szCs w:val="20"/>
      <w:u w:val="none"/>
    </w:rPr>
  </w:style>
  <w:style w:type="character" w:customStyle="1" w:styleId="172">
    <w:name w:val="line31"/>
    <w:qFormat/>
    <w:uiPriority w:val="0"/>
    <w:rPr>
      <w:color w:val="993333"/>
    </w:rPr>
  </w:style>
  <w:style w:type="character" w:customStyle="1" w:styleId="173">
    <w:name w:val="HTML 预设格式 字符1"/>
    <w:semiHidden/>
    <w:qFormat/>
    <w:uiPriority w:val="99"/>
    <w:rPr>
      <w:rFonts w:ascii="Courier New" w:hAnsi="Courier New" w:cs="Courier New"/>
      <w:kern w:val="2"/>
    </w:rPr>
  </w:style>
  <w:style w:type="character" w:customStyle="1" w:styleId="174">
    <w:name w:val="图表格式 Char Char"/>
    <w:qFormat/>
    <w:uiPriority w:val="0"/>
    <w:rPr>
      <w:rFonts w:eastAsia="Arial Narrow"/>
      <w:kern w:val="2"/>
      <w:sz w:val="24"/>
      <w:lang w:val="en-US"/>
    </w:rPr>
  </w:style>
  <w:style w:type="character" w:customStyle="1" w:styleId="175">
    <w:name w:val="font111"/>
    <w:qFormat/>
    <w:uiPriority w:val="0"/>
    <w:rPr>
      <w:rFonts w:hint="eastAsia" w:ascii="Calibri" w:hAnsi="Calibri" w:eastAsia="Calibri" w:cs="Calibri"/>
      <w:b/>
      <w:color w:val="000000"/>
      <w:sz w:val="20"/>
      <w:szCs w:val="20"/>
      <w:u w:val="none"/>
    </w:rPr>
  </w:style>
  <w:style w:type="character" w:customStyle="1" w:styleId="176">
    <w:name w:val="页脚 字符1"/>
    <w:semiHidden/>
    <w:qFormat/>
    <w:uiPriority w:val="0"/>
    <w:rPr>
      <w:rFonts w:ascii="仿宋_GB2312" w:eastAsia="仿宋_GB2312"/>
      <w:kern w:val="2"/>
      <w:sz w:val="18"/>
      <w:szCs w:val="18"/>
    </w:rPr>
  </w:style>
  <w:style w:type="character" w:customStyle="1" w:styleId="177">
    <w:name w:val="正文文本缩进 2 Char Char"/>
    <w:link w:val="178"/>
    <w:qFormat/>
    <w:uiPriority w:val="0"/>
    <w:rPr>
      <w:kern w:val="2"/>
      <w:sz w:val="28"/>
      <w:szCs w:val="24"/>
    </w:rPr>
  </w:style>
  <w:style w:type="paragraph" w:customStyle="1" w:styleId="178">
    <w:name w:val="正文文本缩进 21"/>
    <w:basedOn w:val="1"/>
    <w:link w:val="177"/>
    <w:qFormat/>
    <w:uiPriority w:val="0"/>
  </w:style>
  <w:style w:type="character" w:customStyle="1" w:styleId="179">
    <w:name w:val="正文文本 字符"/>
    <w:qFormat/>
    <w:uiPriority w:val="99"/>
    <w:rPr>
      <w:kern w:val="2"/>
      <w:sz w:val="21"/>
    </w:rPr>
  </w:style>
  <w:style w:type="character" w:customStyle="1" w:styleId="180">
    <w:name w:val="正文文本 3 字符2"/>
    <w:semiHidden/>
    <w:qFormat/>
    <w:uiPriority w:val="0"/>
    <w:rPr>
      <w:kern w:val="2"/>
      <w:sz w:val="16"/>
      <w:szCs w:val="16"/>
    </w:rPr>
  </w:style>
  <w:style w:type="character" w:customStyle="1" w:styleId="181">
    <w:name w:val="标题33 字符"/>
    <w:link w:val="182"/>
    <w:qFormat/>
    <w:uiPriority w:val="0"/>
    <w:rPr>
      <w:rFonts w:ascii="楷体_GB2312" w:hAnsi="Arial" w:eastAsia="楷体_GB2312"/>
      <w:b/>
      <w:color w:val="000000"/>
      <w:kern w:val="2"/>
      <w:sz w:val="28"/>
      <w:szCs w:val="24"/>
    </w:rPr>
  </w:style>
  <w:style w:type="paragraph" w:customStyle="1" w:styleId="182">
    <w:name w:val="标题33"/>
    <w:basedOn w:val="3"/>
    <w:link w:val="181"/>
    <w:qFormat/>
    <w:uiPriority w:val="0"/>
    <w:pPr>
      <w:numPr>
        <w:ilvl w:val="2"/>
        <w:numId w:val="3"/>
      </w:numPr>
      <w:adjustRightInd/>
      <w:snapToGrid/>
      <w:spacing w:before="260" w:after="260" w:line="413" w:lineRule="auto"/>
    </w:pPr>
    <w:rPr>
      <w:rFonts w:ascii="楷体_GB2312" w:hAnsi="Arial" w:eastAsia="楷体_GB2312"/>
      <w:color w:val="000000"/>
      <w:spacing w:val="0"/>
      <w:kern w:val="2"/>
      <w:position w:val="0"/>
      <w:sz w:val="28"/>
      <w:szCs w:val="24"/>
    </w:rPr>
  </w:style>
  <w:style w:type="character" w:customStyle="1" w:styleId="183">
    <w:name w:val="批注文字 Char1"/>
    <w:semiHidden/>
    <w:qFormat/>
    <w:uiPriority w:val="99"/>
    <w:rPr>
      <w:kern w:val="2"/>
      <w:sz w:val="21"/>
    </w:rPr>
  </w:style>
  <w:style w:type="character" w:customStyle="1" w:styleId="184">
    <w:name w:val="样式 标题 2 + 加粗 左 Char Char"/>
    <w:link w:val="79"/>
    <w:qFormat/>
    <w:uiPriority w:val="0"/>
    <w:rPr>
      <w:rFonts w:eastAsia="Calibri"/>
      <w:bCs/>
      <w:kern w:val="2"/>
      <w:sz w:val="32"/>
    </w:rPr>
  </w:style>
  <w:style w:type="character" w:customStyle="1" w:styleId="185">
    <w:name w:val="font81"/>
    <w:qFormat/>
    <w:uiPriority w:val="0"/>
    <w:rPr>
      <w:rFonts w:hint="default" w:ascii="仿宋_GB2312" w:hAnsi="仿宋_GB2312" w:cs="仿宋_GB2312"/>
      <w:color w:val="000000"/>
      <w:sz w:val="20"/>
      <w:szCs w:val="20"/>
      <w:u w:val="none"/>
    </w:rPr>
  </w:style>
  <w:style w:type="character" w:customStyle="1" w:styleId="186">
    <w:name w:val="highlight"/>
    <w:qFormat/>
    <w:uiPriority w:val="0"/>
  </w:style>
  <w:style w:type="character" w:customStyle="1" w:styleId="187">
    <w:name w:val="样式 3号标题 + 黑色 Char"/>
    <w:link w:val="188"/>
    <w:qFormat/>
    <w:uiPriority w:val="0"/>
    <w:rPr>
      <w:rFonts w:hAnsi="Arial" w:eastAsia="仿宋_GB2312"/>
      <w:b/>
      <w:bCs/>
      <w:color w:val="000000"/>
      <w:kern w:val="2"/>
      <w:sz w:val="36"/>
      <w:szCs w:val="36"/>
    </w:rPr>
  </w:style>
  <w:style w:type="paragraph" w:customStyle="1" w:styleId="188">
    <w:name w:val="样式 3号标题 + 黑色"/>
    <w:basedOn w:val="136"/>
    <w:link w:val="187"/>
    <w:qFormat/>
    <w:uiPriority w:val="0"/>
    <w:rPr>
      <w:rFonts w:ascii="仿宋_GB2312" w:cs="仿宋_GB2312"/>
      <w:b/>
      <w:color w:val="000000"/>
    </w:rPr>
  </w:style>
  <w:style w:type="character" w:customStyle="1" w:styleId="189">
    <w:name w:val="_Style 590"/>
    <w:qFormat/>
    <w:uiPriority w:val="21"/>
    <w:rPr>
      <w:rFonts w:eastAsia="楷体_GB2312"/>
      <w:i/>
      <w:iCs/>
      <w:color w:val="000000"/>
      <w:sz w:val="28"/>
    </w:rPr>
  </w:style>
  <w:style w:type="character" w:customStyle="1" w:styleId="190">
    <w:name w:val="样式 样式4 四号 + 首行缩进:  2 字符 Char Char Char"/>
    <w:qFormat/>
    <w:uiPriority w:val="0"/>
    <w:rPr>
      <w:rFonts w:eastAsia="Calibri"/>
      <w:b/>
      <w:kern w:val="2"/>
      <w:sz w:val="24"/>
      <w:lang w:val="en-US" w:eastAsia="zh-CN" w:bidi="ar-SA"/>
    </w:rPr>
  </w:style>
  <w:style w:type="character" w:customStyle="1" w:styleId="191">
    <w:name w:val="_Style 621"/>
    <w:unhideWhenUsed/>
    <w:qFormat/>
    <w:uiPriority w:val="99"/>
    <w:rPr>
      <w:color w:val="605E5C"/>
      <w:shd w:val="clear" w:color="auto" w:fill="E1DFDD"/>
    </w:rPr>
  </w:style>
  <w:style w:type="character" w:customStyle="1" w:styleId="192">
    <w:name w:val="Char Char Char Char Char"/>
    <w:link w:val="193"/>
    <w:qFormat/>
    <w:uiPriority w:val="0"/>
    <w:rPr>
      <w:rFonts w:ascii="宋体" w:hAnsi="Lucida Console" w:eastAsia="宋体"/>
      <w:kern w:val="2"/>
      <w:sz w:val="21"/>
      <w:lang w:bidi="ar-SA"/>
    </w:rPr>
  </w:style>
  <w:style w:type="paragraph" w:customStyle="1" w:styleId="193">
    <w:name w:val="表题"/>
    <w:link w:val="192"/>
    <w:qFormat/>
    <w:uiPriority w:val="0"/>
    <w:pPr>
      <w:snapToGrid w:val="0"/>
      <w:spacing w:before="50" w:beforeLines="50" w:after="25" w:afterLines="25"/>
      <w:jc w:val="center"/>
    </w:pPr>
    <w:rPr>
      <w:rFonts w:ascii="宋体" w:hAnsi="Lucida Console" w:eastAsia="宋体" w:cs="Times New Roman"/>
      <w:kern w:val="2"/>
      <w:sz w:val="21"/>
      <w:lang w:val="en-US" w:eastAsia="zh-CN" w:bidi="ar-SA"/>
    </w:rPr>
  </w:style>
  <w:style w:type="character" w:customStyle="1" w:styleId="194">
    <w:name w:val="tpc_content"/>
    <w:qFormat/>
    <w:uiPriority w:val="0"/>
  </w:style>
  <w:style w:type="character" w:customStyle="1" w:styleId="195">
    <w:name w:val="font171"/>
    <w:qFormat/>
    <w:uiPriority w:val="0"/>
    <w:rPr>
      <w:rFonts w:hint="eastAsia" w:ascii="Verdana" w:eastAsia="Verdana" w:cs="Verdana"/>
      <w:color w:val="000000"/>
      <w:sz w:val="20"/>
      <w:szCs w:val="20"/>
      <w:u w:val="none"/>
    </w:rPr>
  </w:style>
  <w:style w:type="character" w:customStyle="1" w:styleId="196">
    <w:name w:val="正文缩进 Char"/>
    <w:qFormat/>
    <w:uiPriority w:val="0"/>
    <w:rPr>
      <w:rFonts w:ascii="宋体" w:hAnsi="宋体" w:eastAsia="楷体_GB2312" w:cs="宋体"/>
      <w:sz w:val="24"/>
    </w:rPr>
  </w:style>
  <w:style w:type="character" w:customStyle="1" w:styleId="197">
    <w:name w:val="段落 Char Char"/>
    <w:link w:val="198"/>
    <w:qFormat/>
    <w:uiPriority w:val="0"/>
    <w:rPr>
      <w:kern w:val="2"/>
      <w:sz w:val="24"/>
      <w:szCs w:val="24"/>
    </w:rPr>
  </w:style>
  <w:style w:type="paragraph" w:customStyle="1" w:styleId="198">
    <w:name w:val="段落 Char"/>
    <w:basedOn w:val="1"/>
    <w:link w:val="197"/>
    <w:qFormat/>
    <w:uiPriority w:val="0"/>
    <w:pPr>
      <w:topLinePunct/>
      <w:snapToGrid w:val="0"/>
      <w:ind w:firstLine="200"/>
    </w:pPr>
    <w:rPr>
      <w:sz w:val="24"/>
    </w:rPr>
  </w:style>
  <w:style w:type="character" w:customStyle="1" w:styleId="199">
    <w:name w:val="z-窗体底端 字符"/>
    <w:link w:val="200"/>
    <w:qFormat/>
    <w:uiPriority w:val="0"/>
    <w:rPr>
      <w:rFonts w:ascii="Arial" w:hAnsi="Arial" w:eastAsia="宋体" w:cs="Arial"/>
      <w:vanish/>
      <w:sz w:val="16"/>
      <w:szCs w:val="16"/>
    </w:rPr>
  </w:style>
  <w:style w:type="paragraph" w:customStyle="1" w:styleId="200">
    <w:name w:val="_Style 241"/>
    <w:basedOn w:val="1"/>
    <w:next w:val="1"/>
    <w:link w:val="199"/>
    <w:qFormat/>
    <w:uiPriority w:val="0"/>
    <w:pPr>
      <w:widowControl/>
      <w:pBdr>
        <w:top w:val="single" w:color="auto" w:sz="6" w:space="1"/>
      </w:pBdr>
      <w:jc w:val="center"/>
    </w:pPr>
    <w:rPr>
      <w:rFonts w:ascii="Arial" w:hAnsi="Arial" w:eastAsia="宋体" w:cs="Arial"/>
      <w:vanish/>
      <w:kern w:val="0"/>
      <w:sz w:val="16"/>
      <w:szCs w:val="16"/>
    </w:rPr>
  </w:style>
  <w:style w:type="character" w:customStyle="1" w:styleId="201">
    <w:name w:val="样式 标题 3 + (西文) Tw Cen MT Condensed Char Char"/>
    <w:link w:val="202"/>
    <w:qFormat/>
    <w:uiPriority w:val="0"/>
    <w:rPr>
      <w:rFonts w:ascii="Symbol" w:hAnsi="Symbol" w:eastAsia="Cambria Math"/>
      <w:kern w:val="2"/>
      <w:sz w:val="28"/>
    </w:rPr>
  </w:style>
  <w:style w:type="paragraph" w:customStyle="1" w:styleId="202">
    <w:name w:val="样式 标题 3 + (西文) Tw Cen MT Condensed"/>
    <w:basedOn w:val="4"/>
    <w:link w:val="201"/>
    <w:qFormat/>
    <w:uiPriority w:val="0"/>
    <w:pPr>
      <w:numPr>
        <w:ilvl w:val="0"/>
        <w:numId w:val="0"/>
      </w:numPr>
      <w:spacing w:before="312" w:beforeLines="100" w:after="20"/>
    </w:pPr>
    <w:rPr>
      <w:rFonts w:ascii="Symbol" w:hAnsi="Symbol" w:eastAsia="Cambria Math"/>
      <w:b w:val="0"/>
      <w:sz w:val="28"/>
      <w:szCs w:val="20"/>
    </w:rPr>
  </w:style>
  <w:style w:type="character" w:customStyle="1" w:styleId="203">
    <w:name w:val="日期 字符2"/>
    <w:semiHidden/>
    <w:qFormat/>
    <w:uiPriority w:val="99"/>
    <w:rPr>
      <w:kern w:val="2"/>
      <w:sz w:val="21"/>
      <w:szCs w:val="24"/>
    </w:rPr>
  </w:style>
  <w:style w:type="character" w:customStyle="1" w:styleId="204">
    <w:name w:val="14t1"/>
    <w:qFormat/>
    <w:uiPriority w:val="0"/>
    <w:rPr>
      <w:sz w:val="21"/>
      <w:szCs w:val="21"/>
    </w:rPr>
  </w:style>
  <w:style w:type="character" w:customStyle="1" w:styleId="205">
    <w:name w:val="font112"/>
    <w:qFormat/>
    <w:uiPriority w:val="0"/>
    <w:rPr>
      <w:rFonts w:hint="eastAsia" w:ascii="Calibri" w:hAnsi="Calibri" w:eastAsia="Calibri" w:cs="Calibri"/>
      <w:color w:val="000000"/>
      <w:sz w:val="20"/>
      <w:szCs w:val="20"/>
      <w:u w:val="none"/>
    </w:rPr>
  </w:style>
  <w:style w:type="character" w:customStyle="1" w:styleId="206">
    <w:name w:val="批注主题 Char"/>
    <w:qFormat/>
    <w:uiPriority w:val="0"/>
    <w:rPr>
      <w:rFonts w:ascii="宋体" w:hAnsi="宋体" w:cs="宋体"/>
      <w:b/>
      <w:bCs/>
      <w:kern w:val="2"/>
      <w:sz w:val="24"/>
      <w:szCs w:val="24"/>
    </w:rPr>
  </w:style>
  <w:style w:type="character" w:customStyle="1" w:styleId="207">
    <w:name w:val="正文1 字符"/>
    <w:link w:val="208"/>
    <w:qFormat/>
    <w:uiPriority w:val="0"/>
    <w:rPr>
      <w:kern w:val="2"/>
      <w:sz w:val="28"/>
      <w:szCs w:val="28"/>
    </w:rPr>
  </w:style>
  <w:style w:type="paragraph" w:customStyle="1" w:styleId="208">
    <w:name w:val="正文1"/>
    <w:basedOn w:val="1"/>
    <w:link w:val="207"/>
    <w:qFormat/>
    <w:uiPriority w:val="0"/>
    <w:pPr>
      <w:jc w:val="left"/>
    </w:pPr>
    <w:rPr>
      <w:szCs w:val="28"/>
    </w:rPr>
  </w:style>
  <w:style w:type="character" w:customStyle="1" w:styleId="209">
    <w:name w:val="Other|1_"/>
    <w:link w:val="210"/>
    <w:qFormat/>
    <w:uiPriority w:val="0"/>
    <w:rPr>
      <w:rFonts w:ascii="宋体" w:hAnsi="宋体" w:cs="宋体"/>
      <w:sz w:val="18"/>
      <w:szCs w:val="18"/>
      <w:lang w:val="zh-TW" w:eastAsia="zh-TW" w:bidi="zh-TW"/>
    </w:rPr>
  </w:style>
  <w:style w:type="paragraph" w:customStyle="1" w:styleId="210">
    <w:name w:val="Other|1"/>
    <w:basedOn w:val="1"/>
    <w:link w:val="209"/>
    <w:qFormat/>
    <w:uiPriority w:val="0"/>
    <w:pPr>
      <w:jc w:val="left"/>
    </w:pPr>
    <w:rPr>
      <w:rFonts w:ascii="宋体" w:hAnsi="宋体" w:cs="宋体"/>
      <w:kern w:val="0"/>
      <w:sz w:val="18"/>
      <w:szCs w:val="18"/>
      <w:lang w:val="zh-TW" w:eastAsia="zh-TW" w:bidi="zh-TW"/>
    </w:rPr>
  </w:style>
  <w:style w:type="character" w:customStyle="1" w:styleId="211">
    <w:name w:val="日期 字符1"/>
    <w:qFormat/>
    <w:uiPriority w:val="0"/>
    <w:rPr>
      <w:kern w:val="2"/>
      <w:sz w:val="21"/>
      <w:szCs w:val="24"/>
    </w:rPr>
  </w:style>
  <w:style w:type="character" w:customStyle="1" w:styleId="212">
    <w:name w:val="正文文本缩进 字符1"/>
    <w:qFormat/>
    <w:uiPriority w:val="99"/>
    <w:rPr>
      <w:rFonts w:hint="default" w:ascii="Arial" w:hAnsi="Arial" w:eastAsia="Arial" w:cs="Arial"/>
      <w:sz w:val="24"/>
    </w:rPr>
  </w:style>
  <w:style w:type="character" w:customStyle="1" w:styleId="213">
    <w:name w:val="正文文本缩进 3 字符1"/>
    <w:qFormat/>
    <w:uiPriority w:val="99"/>
    <w:rPr>
      <w:kern w:val="2"/>
      <w:sz w:val="16"/>
      <w:szCs w:val="16"/>
    </w:rPr>
  </w:style>
  <w:style w:type="character" w:customStyle="1" w:styleId="214">
    <w:name w:val="apple-style-span"/>
    <w:qFormat/>
    <w:uiPriority w:val="0"/>
  </w:style>
  <w:style w:type="character" w:customStyle="1" w:styleId="215">
    <w:name w:val="标题 5 Char"/>
    <w:qFormat/>
    <w:uiPriority w:val="0"/>
    <w:rPr>
      <w:rFonts w:ascii="宋体" w:hAnsi="宋体" w:cs="宋体"/>
      <w:sz w:val="24"/>
      <w:szCs w:val="24"/>
    </w:rPr>
  </w:style>
  <w:style w:type="character" w:customStyle="1" w:styleId="216">
    <w:name w:val="l_text Char Char2"/>
    <w:qFormat/>
    <w:uiPriority w:val="0"/>
    <w:rPr>
      <w:rFonts w:ascii="Calibri" w:hAnsi="Calibri" w:eastAsia="Calibri" w:cs="Tahoma"/>
      <w:sz w:val="28"/>
      <w:szCs w:val="28"/>
      <w:lang w:val="en-US" w:eastAsia="zh-CN" w:bidi="ar-SA"/>
    </w:rPr>
  </w:style>
  <w:style w:type="character" w:customStyle="1" w:styleId="217">
    <w:name w:val="yemian1"/>
    <w:qFormat/>
    <w:uiPriority w:val="0"/>
    <w:rPr>
      <w:rFonts w:hint="default"/>
      <w:sz w:val="21"/>
      <w:szCs w:val="21"/>
    </w:rPr>
  </w:style>
  <w:style w:type="character" w:customStyle="1" w:styleId="218">
    <w:name w:val="正文文本 字符2"/>
    <w:semiHidden/>
    <w:qFormat/>
    <w:uiPriority w:val="0"/>
    <w:rPr>
      <w:kern w:val="2"/>
      <w:sz w:val="21"/>
      <w:szCs w:val="24"/>
    </w:rPr>
  </w:style>
  <w:style w:type="character" w:customStyle="1" w:styleId="219">
    <w:name w:val="font101"/>
    <w:qFormat/>
    <w:uiPriority w:val="0"/>
    <w:rPr>
      <w:rFonts w:hint="default" w:ascii="仿宋_GB2312" w:hAnsi="仿宋_GB2312" w:cs="仿宋_GB2312"/>
      <w:color w:val="000000"/>
      <w:sz w:val="20"/>
      <w:szCs w:val="20"/>
      <w:u w:val="none"/>
      <w:vertAlign w:val="superscript"/>
    </w:rPr>
  </w:style>
  <w:style w:type="character" w:customStyle="1" w:styleId="220">
    <w:name w:val="正文文本首行缩进 字符1"/>
    <w:qFormat/>
    <w:uiPriority w:val="99"/>
  </w:style>
  <w:style w:type="character" w:customStyle="1" w:styleId="221">
    <w:name w:val="样式 标题 3 + 宋体 红色 Char Char"/>
    <w:link w:val="222"/>
    <w:qFormat/>
    <w:uiPriority w:val="0"/>
    <w:rPr>
      <w:rFonts w:ascii="Calibri" w:hAnsi="Calibri"/>
      <w:bCs/>
      <w:kern w:val="2"/>
      <w:sz w:val="28"/>
      <w:szCs w:val="24"/>
    </w:rPr>
  </w:style>
  <w:style w:type="paragraph" w:customStyle="1" w:styleId="222">
    <w:name w:val="样式 标题 3 + 宋体 红色"/>
    <w:basedOn w:val="4"/>
    <w:link w:val="221"/>
    <w:qFormat/>
    <w:uiPriority w:val="0"/>
    <w:pPr>
      <w:numPr>
        <w:ilvl w:val="0"/>
        <w:numId w:val="0"/>
      </w:numPr>
      <w:spacing w:line="240" w:lineRule="auto"/>
    </w:pPr>
    <w:rPr>
      <w:rFonts w:ascii="Calibri" w:hAnsi="Calibri" w:eastAsia="Calibri"/>
      <w:b w:val="0"/>
      <w:bCs/>
      <w:sz w:val="28"/>
    </w:rPr>
  </w:style>
  <w:style w:type="character" w:customStyle="1" w:styleId="223">
    <w:name w:val="small1"/>
    <w:qFormat/>
    <w:uiPriority w:val="0"/>
    <w:rPr>
      <w:sz w:val="18"/>
      <w:szCs w:val="18"/>
    </w:rPr>
  </w:style>
  <w:style w:type="character" w:customStyle="1" w:styleId="224">
    <w:name w:val="font21"/>
    <w:qFormat/>
    <w:uiPriority w:val="0"/>
    <w:rPr>
      <w:rFonts w:hint="default" w:ascii="仿宋" w:hAnsi="仿宋" w:eastAsia="仿宋" w:cs="仿宋"/>
      <w:color w:val="000000"/>
      <w:sz w:val="24"/>
      <w:szCs w:val="24"/>
      <w:u w:val="none"/>
    </w:rPr>
  </w:style>
  <w:style w:type="character" w:customStyle="1" w:styleId="225">
    <w:name w:val="font31"/>
    <w:qFormat/>
    <w:uiPriority w:val="0"/>
    <w:rPr>
      <w:rFonts w:hint="default" w:ascii="仿宋" w:hAnsi="仿宋" w:eastAsia="仿宋" w:cs="仿宋"/>
      <w:color w:val="000000"/>
      <w:sz w:val="16"/>
      <w:szCs w:val="16"/>
      <w:u w:val="none"/>
    </w:rPr>
  </w:style>
  <w:style w:type="character" w:customStyle="1" w:styleId="226">
    <w:name w:val="font91"/>
    <w:qFormat/>
    <w:uiPriority w:val="0"/>
    <w:rPr>
      <w:rFonts w:hint="eastAsia" w:ascii="Calibri" w:hAnsi="Calibri" w:eastAsia="Calibri" w:cs="Calibri"/>
      <w:color w:val="000000"/>
      <w:sz w:val="20"/>
      <w:szCs w:val="20"/>
      <w:u w:val="none"/>
    </w:rPr>
  </w:style>
  <w:style w:type="character" w:customStyle="1" w:styleId="227">
    <w:name w:val="15"/>
    <w:qFormat/>
    <w:uiPriority w:val="0"/>
    <w:rPr>
      <w:rFonts w:hint="default" w:ascii="Times New Roman" w:hAnsi="Times New Roman" w:cs="Times New Roman"/>
      <w:color w:val="0000FF"/>
      <w:u w:val="single"/>
    </w:rPr>
  </w:style>
  <w:style w:type="character" w:customStyle="1" w:styleId="228">
    <w:name w:val="question-title2"/>
    <w:qFormat/>
    <w:uiPriority w:val="0"/>
  </w:style>
  <w:style w:type="character" w:customStyle="1" w:styleId="229">
    <w:name w:val="标题 4 Char"/>
    <w:qFormat/>
    <w:uiPriority w:val="0"/>
    <w:rPr>
      <w:rFonts w:ascii="Arial" w:hAnsi="Arial" w:cs="宋体"/>
      <w:b/>
      <w:bCs/>
      <w:sz w:val="24"/>
      <w:szCs w:val="28"/>
    </w:rPr>
  </w:style>
  <w:style w:type="character" w:customStyle="1" w:styleId="230">
    <w:name w:val="丽海正文 Char"/>
    <w:link w:val="231"/>
    <w:qFormat/>
    <w:uiPriority w:val="0"/>
    <w:rPr>
      <w:rFonts w:ascii="Calibri" w:hAnsi="Calibri"/>
      <w:kern w:val="2"/>
      <w:sz w:val="24"/>
      <w:szCs w:val="24"/>
    </w:rPr>
  </w:style>
  <w:style w:type="paragraph" w:customStyle="1" w:styleId="231">
    <w:name w:val="丽海正文"/>
    <w:basedOn w:val="1"/>
    <w:link w:val="230"/>
    <w:qFormat/>
    <w:uiPriority w:val="0"/>
    <w:pPr>
      <w:ind w:firstLine="200"/>
    </w:pPr>
    <w:rPr>
      <w:rFonts w:ascii="Calibri" w:hAnsi="Calibri"/>
      <w:sz w:val="24"/>
    </w:rPr>
  </w:style>
  <w:style w:type="character" w:customStyle="1" w:styleId="232">
    <w:name w:val="hei41"/>
    <w:qFormat/>
    <w:uiPriority w:val="0"/>
    <w:rPr>
      <w:color w:val="000000"/>
      <w:sz w:val="21"/>
      <w:szCs w:val="21"/>
      <w:u w:val="none"/>
    </w:rPr>
  </w:style>
  <w:style w:type="character" w:customStyle="1" w:styleId="233">
    <w:name w:val="批注文字 Char"/>
    <w:qFormat/>
    <w:uiPriority w:val="0"/>
    <w:rPr>
      <w:rFonts w:ascii="宋体" w:hAnsi="宋体" w:cs="宋体"/>
      <w:sz w:val="24"/>
      <w:szCs w:val="24"/>
    </w:rPr>
  </w:style>
  <w:style w:type="character" w:customStyle="1" w:styleId="234">
    <w:name w:val="批注主题 字符2"/>
    <w:semiHidden/>
    <w:qFormat/>
    <w:uiPriority w:val="0"/>
    <w:rPr>
      <w:b/>
      <w:bCs/>
      <w:kern w:val="2"/>
      <w:sz w:val="21"/>
      <w:szCs w:val="24"/>
    </w:rPr>
  </w:style>
  <w:style w:type="character" w:customStyle="1" w:styleId="235">
    <w:name w:val="doc_title fs_c_76"/>
    <w:qFormat/>
    <w:uiPriority w:val="0"/>
  </w:style>
  <w:style w:type="character" w:customStyle="1" w:styleId="236">
    <w:name w:val="正文首行缩进 2 Char1"/>
    <w:semiHidden/>
    <w:qFormat/>
    <w:uiPriority w:val="99"/>
  </w:style>
  <w:style w:type="character" w:customStyle="1" w:styleId="237">
    <w:name w:val="font131"/>
    <w:qFormat/>
    <w:uiPriority w:val="0"/>
    <w:rPr>
      <w:rFonts w:hint="eastAsia" w:ascii="宋体" w:hAnsi="宋体" w:eastAsia="宋体" w:cs="宋体"/>
      <w:color w:val="000000"/>
      <w:sz w:val="20"/>
      <w:szCs w:val="20"/>
      <w:u w:val="none"/>
    </w:rPr>
  </w:style>
  <w:style w:type="character" w:customStyle="1" w:styleId="238">
    <w:name w:val="文档结构图 Char1"/>
    <w:link w:val="239"/>
    <w:qFormat/>
    <w:uiPriority w:val="0"/>
    <w:rPr>
      <w:kern w:val="2"/>
      <w:sz w:val="21"/>
      <w:szCs w:val="24"/>
    </w:rPr>
  </w:style>
  <w:style w:type="paragraph" w:customStyle="1" w:styleId="239">
    <w:name w:val="文档结构图1"/>
    <w:basedOn w:val="1"/>
    <w:link w:val="238"/>
    <w:qFormat/>
    <w:uiPriority w:val="0"/>
  </w:style>
  <w:style w:type="character" w:customStyle="1" w:styleId="240">
    <w:name w:val="标题 8 Char"/>
    <w:qFormat/>
    <w:uiPriority w:val="0"/>
    <w:rPr>
      <w:rFonts w:ascii="宋体" w:hAnsi="宋体" w:cs="宋体"/>
      <w:sz w:val="24"/>
      <w:szCs w:val="24"/>
    </w:rPr>
  </w:style>
  <w:style w:type="character" w:customStyle="1" w:styleId="241">
    <w:name w:val="正文文本 2 Char"/>
    <w:link w:val="242"/>
    <w:qFormat/>
    <w:uiPriority w:val="0"/>
    <w:rPr>
      <w:kern w:val="2"/>
      <w:sz w:val="21"/>
      <w:szCs w:val="24"/>
    </w:rPr>
  </w:style>
  <w:style w:type="paragraph" w:customStyle="1" w:styleId="242">
    <w:name w:val="正文文本 21"/>
    <w:basedOn w:val="1"/>
    <w:link w:val="241"/>
    <w:qFormat/>
    <w:uiPriority w:val="0"/>
    <w:pPr>
      <w:adjustRightInd w:val="0"/>
      <w:spacing w:line="360" w:lineRule="atLeast"/>
      <w:jc w:val="center"/>
      <w:textAlignment w:val="baseline"/>
    </w:pPr>
  </w:style>
  <w:style w:type="character" w:customStyle="1" w:styleId="243">
    <w:name w:val="正文文本缩进 2 字符1"/>
    <w:qFormat/>
    <w:uiPriority w:val="99"/>
    <w:rPr>
      <w:kern w:val="2"/>
      <w:sz w:val="21"/>
      <w:szCs w:val="24"/>
    </w:rPr>
  </w:style>
  <w:style w:type="character" w:customStyle="1" w:styleId="244">
    <w:name w:val="正文文本首行缩进 2 字符1"/>
    <w:semiHidden/>
    <w:qFormat/>
    <w:uiPriority w:val="99"/>
    <w:rPr>
      <w:rFonts w:hint="default" w:ascii="Arial" w:hAnsi="Arial" w:eastAsia="Arial" w:cs="Arial"/>
      <w:kern w:val="2"/>
      <w:sz w:val="21"/>
      <w:szCs w:val="22"/>
    </w:rPr>
  </w:style>
  <w:style w:type="character" w:customStyle="1" w:styleId="245">
    <w:name w:val="font01"/>
    <w:qFormat/>
    <w:uiPriority w:val="0"/>
    <w:rPr>
      <w:rFonts w:hint="default" w:ascii="仿宋_GB2312" w:hAnsi="仿宋_GB2312" w:cs="仿宋_GB2312"/>
      <w:color w:val="000000"/>
      <w:sz w:val="20"/>
      <w:szCs w:val="20"/>
      <w:u w:val="none"/>
    </w:rPr>
  </w:style>
  <w:style w:type="character" w:customStyle="1" w:styleId="246">
    <w:name w:val="日期 Char Char"/>
    <w:link w:val="247"/>
    <w:qFormat/>
    <w:uiPriority w:val="0"/>
    <w:rPr>
      <w:rFonts w:ascii="Calibri" w:eastAsia="MingLiU"/>
      <w:sz w:val="24"/>
    </w:rPr>
  </w:style>
  <w:style w:type="paragraph" w:customStyle="1" w:styleId="247">
    <w:name w:val="日期1"/>
    <w:basedOn w:val="1"/>
    <w:next w:val="1"/>
    <w:link w:val="246"/>
    <w:qFormat/>
    <w:uiPriority w:val="0"/>
    <w:pPr>
      <w:adjustRightInd w:val="0"/>
      <w:spacing w:line="360" w:lineRule="atLeast"/>
      <w:textAlignment w:val="baseline"/>
    </w:pPr>
    <w:rPr>
      <w:rFonts w:ascii="Calibri" w:eastAsia="MingLiU"/>
      <w:kern w:val="0"/>
      <w:sz w:val="24"/>
      <w:szCs w:val="20"/>
    </w:rPr>
  </w:style>
  <w:style w:type="character" w:customStyle="1" w:styleId="248">
    <w:name w:val="font51"/>
    <w:qFormat/>
    <w:uiPriority w:val="0"/>
    <w:rPr>
      <w:rFonts w:hint="eastAsia" w:ascii="Calibri" w:hAnsi="Calibri" w:eastAsia="Calibri" w:cs="Calibri"/>
      <w:color w:val="000000"/>
      <w:sz w:val="18"/>
      <w:szCs w:val="18"/>
      <w:u w:val="none"/>
    </w:rPr>
  </w:style>
  <w:style w:type="character" w:customStyle="1" w:styleId="249">
    <w:name w:val="THZX006 字符"/>
    <w:link w:val="250"/>
    <w:qFormat/>
    <w:uiPriority w:val="0"/>
    <w:rPr>
      <w:rFonts w:ascii="Times New Roman" w:hAnsi="Times New Roman" w:cs="Times New Roman"/>
      <w:sz w:val="28"/>
      <w:szCs w:val="24"/>
    </w:rPr>
  </w:style>
  <w:style w:type="paragraph" w:customStyle="1" w:styleId="250">
    <w:name w:val="THZX006"/>
    <w:basedOn w:val="1"/>
    <w:link w:val="249"/>
    <w:qFormat/>
    <w:uiPriority w:val="0"/>
    <w:pPr>
      <w:tabs>
        <w:tab w:val="left" w:pos="110"/>
      </w:tabs>
      <w:ind w:firstLine="200"/>
    </w:pPr>
  </w:style>
  <w:style w:type="character" w:customStyle="1" w:styleId="251">
    <w:name w:val="正文文本缩进 Char Char"/>
    <w:link w:val="252"/>
    <w:qFormat/>
    <w:uiPriority w:val="0"/>
    <w:rPr>
      <w:rFonts w:ascii="Calibri" w:hAnsi="Calibri"/>
      <w:kern w:val="2"/>
      <w:sz w:val="28"/>
      <w:szCs w:val="24"/>
    </w:rPr>
  </w:style>
  <w:style w:type="paragraph" w:customStyle="1" w:styleId="252">
    <w:name w:val="正文文本缩进1"/>
    <w:basedOn w:val="1"/>
    <w:link w:val="251"/>
    <w:qFormat/>
    <w:uiPriority w:val="0"/>
    <w:pPr>
      <w:ind w:firstLine="482"/>
    </w:pPr>
    <w:rPr>
      <w:rFonts w:ascii="Calibri" w:hAnsi="Calibri"/>
    </w:rPr>
  </w:style>
  <w:style w:type="character" w:customStyle="1" w:styleId="253">
    <w:name w:val="批注文字 字符2"/>
    <w:semiHidden/>
    <w:qFormat/>
    <w:uiPriority w:val="0"/>
    <w:rPr>
      <w:kern w:val="2"/>
      <w:sz w:val="21"/>
      <w:szCs w:val="24"/>
    </w:rPr>
  </w:style>
  <w:style w:type="character" w:customStyle="1" w:styleId="254">
    <w:name w:val="样式 正文缩进正文（首行缩进两字） + 宋体 四号 Char"/>
    <w:link w:val="255"/>
    <w:qFormat/>
    <w:uiPriority w:val="0"/>
    <w:rPr>
      <w:rFonts w:ascii="Calibri" w:hAnsi="Calibri"/>
      <w:kern w:val="2"/>
      <w:sz w:val="28"/>
    </w:rPr>
  </w:style>
  <w:style w:type="paragraph" w:customStyle="1" w:styleId="255">
    <w:name w:val="样式 正文缩进正文（首行缩进两字） + 宋体 四号"/>
    <w:basedOn w:val="14"/>
    <w:link w:val="254"/>
    <w:qFormat/>
    <w:uiPriority w:val="0"/>
    <w:pPr>
      <w:ind w:left="0" w:firstLine="200"/>
    </w:pPr>
    <w:rPr>
      <w:rFonts w:ascii="Calibri" w:hAnsi="Calibri"/>
    </w:rPr>
  </w:style>
  <w:style w:type="character" w:customStyle="1" w:styleId="256">
    <w:name w:val="页眉 Char"/>
    <w:qFormat/>
    <w:uiPriority w:val="99"/>
    <w:rPr>
      <w:kern w:val="2"/>
      <w:sz w:val="18"/>
    </w:rPr>
  </w:style>
  <w:style w:type="character" w:customStyle="1" w:styleId="257">
    <w:name w:val="标题1 字符"/>
    <w:link w:val="258"/>
    <w:qFormat/>
    <w:uiPriority w:val="0"/>
    <w:rPr>
      <w:rFonts w:ascii="楷体_GB2312" w:eastAsia="楷体_GB2312"/>
      <w:color w:val="000000"/>
      <w:kern w:val="44"/>
      <w:sz w:val="44"/>
      <w:szCs w:val="24"/>
    </w:rPr>
  </w:style>
  <w:style w:type="paragraph" w:customStyle="1" w:styleId="258">
    <w:name w:val="标题1"/>
    <w:basedOn w:val="2"/>
    <w:link w:val="257"/>
    <w:qFormat/>
    <w:uiPriority w:val="0"/>
    <w:pPr>
      <w:numPr>
        <w:numId w:val="0"/>
      </w:numPr>
    </w:pPr>
    <w:rPr>
      <w:rFonts w:ascii="楷体_GB2312" w:eastAsia="楷体_GB2312"/>
      <w:color w:val="000000"/>
    </w:rPr>
  </w:style>
  <w:style w:type="character" w:customStyle="1" w:styleId="259">
    <w:name w:val="纯文本 字符"/>
    <w:qFormat/>
    <w:uiPriority w:val="0"/>
    <w:rPr>
      <w:rFonts w:ascii="Calibri" w:hAnsi="宋体-PUA"/>
      <w:kern w:val="2"/>
      <w:sz w:val="21"/>
    </w:rPr>
  </w:style>
  <w:style w:type="character" w:customStyle="1" w:styleId="260">
    <w:name w:val="font71"/>
    <w:qFormat/>
    <w:uiPriority w:val="0"/>
    <w:rPr>
      <w:rFonts w:hint="default" w:ascii="仿宋_GB2312" w:hAnsi="仿宋_GB2312" w:cs="仿宋_GB2312"/>
      <w:color w:val="000000"/>
      <w:sz w:val="20"/>
      <w:szCs w:val="20"/>
      <w:u w:val="none"/>
      <w:vertAlign w:val="superscript"/>
    </w:rPr>
  </w:style>
  <w:style w:type="character" w:customStyle="1" w:styleId="261">
    <w:name w:val="M表中字体 Char"/>
    <w:link w:val="262"/>
    <w:qFormat/>
    <w:uiPriority w:val="0"/>
    <w:rPr>
      <w:kern w:val="2"/>
      <w:sz w:val="21"/>
      <w:szCs w:val="21"/>
    </w:rPr>
  </w:style>
  <w:style w:type="paragraph" w:customStyle="1" w:styleId="262">
    <w:name w:val="M表中字体"/>
    <w:link w:val="26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263">
    <w:name w:val="纯文本 Char"/>
    <w:qFormat/>
    <w:uiPriority w:val="0"/>
    <w:rPr>
      <w:rFonts w:ascii="Calibri" w:hAnsi="宋体-PUA" w:eastAsia="Calibri"/>
      <w:kern w:val="2"/>
      <w:sz w:val="21"/>
      <w:lang w:val="en-US" w:eastAsia="zh-CN" w:bidi="ar-SA"/>
    </w:rPr>
  </w:style>
  <w:style w:type="character" w:customStyle="1" w:styleId="264">
    <w:name w:val="标题 7 Char"/>
    <w:qFormat/>
    <w:uiPriority w:val="0"/>
    <w:rPr>
      <w:rFonts w:ascii="宋体" w:hAnsi="宋体" w:cs="宋体"/>
      <w:sz w:val="24"/>
      <w:szCs w:val="24"/>
    </w:rPr>
  </w:style>
  <w:style w:type="character" w:customStyle="1" w:styleId="265">
    <w:name w:val="en-text1"/>
    <w:qFormat/>
    <w:uiPriority w:val="0"/>
    <w:rPr>
      <w:rFonts w:ascii="楷体_GB2312" w:hAnsi="Arial" w:eastAsia="楷体_GB2312" w:cs="Arial"/>
      <w:sz w:val="24"/>
      <w:szCs w:val="22"/>
    </w:rPr>
  </w:style>
  <w:style w:type="character" w:customStyle="1" w:styleId="266">
    <w:name w:val="标题 9 Char"/>
    <w:qFormat/>
    <w:uiPriority w:val="0"/>
    <w:rPr>
      <w:rFonts w:ascii="Arial" w:hAnsi="Arial" w:eastAsia="黑体" w:cs="宋体"/>
      <w:sz w:val="24"/>
      <w:szCs w:val="24"/>
    </w:rPr>
  </w:style>
  <w:style w:type="character" w:customStyle="1" w:styleId="267">
    <w:name w:val="批注文字 字符1"/>
    <w:qFormat/>
    <w:uiPriority w:val="0"/>
    <w:rPr>
      <w:kern w:val="2"/>
      <w:sz w:val="21"/>
      <w:szCs w:val="24"/>
    </w:rPr>
  </w:style>
  <w:style w:type="character" w:customStyle="1" w:styleId="268">
    <w:name w:val="标题22 字符"/>
    <w:link w:val="269"/>
    <w:qFormat/>
    <w:uiPriority w:val="0"/>
    <w:rPr>
      <w:rFonts w:eastAsia="楷体_GB2312"/>
      <w:b/>
      <w:color w:val="000000"/>
      <w:spacing w:val="2"/>
      <w:kern w:val="28"/>
      <w:position w:val="-6"/>
      <w:sz w:val="32"/>
    </w:rPr>
  </w:style>
  <w:style w:type="paragraph" w:customStyle="1" w:styleId="269">
    <w:name w:val="标题22"/>
    <w:basedOn w:val="3"/>
    <w:link w:val="268"/>
    <w:qFormat/>
    <w:uiPriority w:val="0"/>
    <w:pPr>
      <w:numPr>
        <w:ilvl w:val="0"/>
        <w:numId w:val="0"/>
      </w:numPr>
      <w:ind w:left="4537"/>
    </w:pPr>
    <w:rPr>
      <w:rFonts w:eastAsia="楷体_GB2312"/>
      <w:color w:val="000000"/>
    </w:rPr>
  </w:style>
  <w:style w:type="character" w:customStyle="1" w:styleId="270">
    <w:name w:val="样式 样式4 四号 + 首行缩进:  2 字符 Char Char"/>
    <w:link w:val="271"/>
    <w:qFormat/>
    <w:uiPriority w:val="0"/>
    <w:rPr>
      <w:b/>
      <w:kern w:val="2"/>
      <w:sz w:val="24"/>
    </w:rPr>
  </w:style>
  <w:style w:type="paragraph" w:customStyle="1" w:styleId="271">
    <w:name w:val="样式 样式4 四号 + 首行缩进:  2 字符"/>
    <w:basedOn w:val="1"/>
    <w:link w:val="270"/>
    <w:qFormat/>
    <w:uiPriority w:val="0"/>
    <w:pPr>
      <w:keepNext/>
      <w:spacing w:before="156" w:beforeLines="50"/>
      <w:jc w:val="left"/>
      <w:outlineLvl w:val="3"/>
    </w:pPr>
    <w:rPr>
      <w:b/>
      <w:sz w:val="24"/>
      <w:szCs w:val="20"/>
    </w:rPr>
  </w:style>
  <w:style w:type="character" w:customStyle="1" w:styleId="272">
    <w:name w:val="fontstyle21"/>
    <w:qFormat/>
    <w:uiPriority w:val="0"/>
    <w:rPr>
      <w:rFonts w:ascii="Calibri" w:hAnsi="Calibri" w:eastAsia="Calibri" w:cs="Calibri"/>
      <w:color w:val="000000"/>
      <w:sz w:val="24"/>
      <w:szCs w:val="24"/>
    </w:rPr>
  </w:style>
  <w:style w:type="character" w:customStyle="1" w:styleId="273">
    <w:name w:val="页码 New New New New New New New New New New New New New New New New New New New New New New New New"/>
    <w:qFormat/>
    <w:uiPriority w:val="0"/>
  </w:style>
  <w:style w:type="character" w:customStyle="1" w:styleId="274">
    <w:name w:val="z-窗体顶端 字符"/>
    <w:link w:val="275"/>
    <w:qFormat/>
    <w:uiPriority w:val="0"/>
    <w:rPr>
      <w:rFonts w:ascii="Arial" w:hAnsi="Arial" w:eastAsia="宋体" w:cs="Arial"/>
      <w:vanish/>
      <w:sz w:val="16"/>
      <w:szCs w:val="16"/>
    </w:rPr>
  </w:style>
  <w:style w:type="paragraph" w:customStyle="1" w:styleId="275">
    <w:name w:val="_Style 421"/>
    <w:basedOn w:val="1"/>
    <w:next w:val="1"/>
    <w:link w:val="274"/>
    <w:qFormat/>
    <w:uiPriority w:val="0"/>
    <w:pPr>
      <w:widowControl/>
      <w:pBdr>
        <w:bottom w:val="single" w:color="auto" w:sz="6" w:space="1"/>
      </w:pBdr>
      <w:jc w:val="center"/>
    </w:pPr>
    <w:rPr>
      <w:rFonts w:ascii="Arial" w:hAnsi="Arial" w:eastAsia="宋体" w:cs="Arial"/>
      <w:vanish/>
      <w:kern w:val="0"/>
      <w:sz w:val="16"/>
      <w:szCs w:val="16"/>
    </w:rPr>
  </w:style>
  <w:style w:type="character" w:customStyle="1" w:styleId="276">
    <w:name w:val="文档结构图 字符2"/>
    <w:semiHidden/>
    <w:qFormat/>
    <w:uiPriority w:val="0"/>
    <w:rPr>
      <w:rFonts w:ascii="Microsoft YaHei UI" w:eastAsia="Microsoft YaHei UI"/>
      <w:kern w:val="2"/>
      <w:sz w:val="18"/>
      <w:szCs w:val="18"/>
    </w:rPr>
  </w:style>
  <w:style w:type="character" w:customStyle="1" w:styleId="277">
    <w:name w:val="页眉 字符1"/>
    <w:semiHidden/>
    <w:qFormat/>
    <w:uiPriority w:val="0"/>
    <w:rPr>
      <w:rFonts w:ascii="仿宋_GB2312" w:eastAsia="仿宋_GB2312"/>
      <w:kern w:val="2"/>
      <w:sz w:val="18"/>
      <w:szCs w:val="18"/>
    </w:rPr>
  </w:style>
  <w:style w:type="character" w:customStyle="1" w:styleId="278">
    <w:name w:val="纯文本 Char2"/>
    <w:semiHidden/>
    <w:qFormat/>
    <w:uiPriority w:val="99"/>
    <w:rPr>
      <w:rFonts w:ascii="宋体" w:hAnsi="Courier New" w:cs="Courier New"/>
      <w:kern w:val="2"/>
      <w:sz w:val="21"/>
      <w:szCs w:val="21"/>
    </w:rPr>
  </w:style>
  <w:style w:type="character" w:customStyle="1" w:styleId="279">
    <w:name w:val="页码 New New New New New New New New New New New New New New New"/>
    <w:qFormat/>
    <w:uiPriority w:val="0"/>
  </w:style>
  <w:style w:type="character" w:customStyle="1" w:styleId="280">
    <w:name w:val="font201"/>
    <w:qFormat/>
    <w:uiPriority w:val="0"/>
    <w:rPr>
      <w:rFonts w:hint="default" w:ascii="仿宋_GB2312" w:hAnsi="仿宋_GB2312" w:cs="仿宋_GB2312"/>
      <w:b/>
      <w:color w:val="000000"/>
      <w:sz w:val="20"/>
      <w:szCs w:val="20"/>
      <w:u w:val="none"/>
      <w:vertAlign w:val="superscript"/>
    </w:rPr>
  </w:style>
  <w:style w:type="character" w:customStyle="1" w:styleId="281">
    <w:name w:val="apple-converted-space"/>
    <w:qFormat/>
    <w:uiPriority w:val="0"/>
  </w:style>
  <w:style w:type="character" w:customStyle="1" w:styleId="282">
    <w:name w:val="hei141"/>
    <w:qFormat/>
    <w:uiPriority w:val="0"/>
    <w:rPr>
      <w:color w:val="000000"/>
      <w:sz w:val="21"/>
      <w:szCs w:val="21"/>
    </w:rPr>
  </w:style>
  <w:style w:type="character" w:customStyle="1" w:styleId="283">
    <w:name w:val="njgk_content_hjj1"/>
    <w:qFormat/>
    <w:uiPriority w:val="0"/>
  </w:style>
  <w:style w:type="character" w:customStyle="1" w:styleId="284">
    <w:name w:val="正文文本缩进 3 字符2"/>
    <w:semiHidden/>
    <w:qFormat/>
    <w:uiPriority w:val="0"/>
    <w:rPr>
      <w:kern w:val="2"/>
      <w:sz w:val="16"/>
      <w:szCs w:val="16"/>
    </w:rPr>
  </w:style>
  <w:style w:type="character" w:customStyle="1" w:styleId="285">
    <w:name w:val="表 Char"/>
    <w:link w:val="286"/>
    <w:qFormat/>
    <w:uiPriority w:val="0"/>
    <w:rPr>
      <w:rFonts w:eastAsia="仿宋_GB2312"/>
      <w:kern w:val="2"/>
      <w:sz w:val="24"/>
      <w:szCs w:val="24"/>
    </w:rPr>
  </w:style>
  <w:style w:type="paragraph" w:customStyle="1" w:styleId="286">
    <w:name w:val="表"/>
    <w:basedOn w:val="1"/>
    <w:link w:val="285"/>
    <w:qFormat/>
    <w:uiPriority w:val="0"/>
    <w:pPr>
      <w:widowControl/>
      <w:adjustRightInd w:val="0"/>
      <w:snapToGrid w:val="0"/>
      <w:jc w:val="center"/>
    </w:pPr>
    <w:rPr>
      <w:sz w:val="24"/>
    </w:rPr>
  </w:style>
  <w:style w:type="character" w:customStyle="1" w:styleId="287">
    <w:name w:val="words2"/>
    <w:qFormat/>
    <w:uiPriority w:val="0"/>
    <w:rPr>
      <w:rFonts w:hint="default"/>
      <w:color w:val="000000"/>
      <w:sz w:val="21"/>
      <w:szCs w:val="21"/>
      <w:u w:val="none"/>
    </w:rPr>
  </w:style>
  <w:style w:type="character" w:customStyle="1" w:styleId="288">
    <w:name w:val="正文标准样式 Char"/>
    <w:link w:val="289"/>
    <w:qFormat/>
    <w:uiPriority w:val="0"/>
    <w:rPr>
      <w:rFonts w:cs="宋体"/>
      <w:kern w:val="2"/>
      <w:sz w:val="28"/>
    </w:rPr>
  </w:style>
  <w:style w:type="paragraph" w:customStyle="1" w:styleId="289">
    <w:name w:val="正文标准样式"/>
    <w:basedOn w:val="1"/>
    <w:link w:val="288"/>
    <w:qFormat/>
    <w:uiPriority w:val="0"/>
    <w:pPr>
      <w:snapToGrid w:val="0"/>
      <w:spacing w:line="600" w:lineRule="exact"/>
      <w:ind w:firstLine="200"/>
    </w:pPr>
    <w:rPr>
      <w:rFonts w:cs="宋体"/>
      <w:szCs w:val="20"/>
    </w:rPr>
  </w:style>
  <w:style w:type="character" w:customStyle="1" w:styleId="290">
    <w:name w:val="font241"/>
    <w:qFormat/>
    <w:uiPriority w:val="0"/>
    <w:rPr>
      <w:rFonts w:hint="default" w:ascii="仿宋_GB2312" w:hAnsi="仿宋_GB2312" w:cs="仿宋_GB2312"/>
      <w:color w:val="000000"/>
      <w:sz w:val="20"/>
      <w:szCs w:val="20"/>
      <w:u w:val="none"/>
    </w:rPr>
  </w:style>
  <w:style w:type="character" w:customStyle="1" w:styleId="291">
    <w:name w:val="clsfontdeepgray121"/>
    <w:qFormat/>
    <w:uiPriority w:val="0"/>
    <w:rPr>
      <w:color w:val="333333"/>
      <w:sz w:val="18"/>
      <w:szCs w:val="18"/>
    </w:rPr>
  </w:style>
  <w:style w:type="character" w:customStyle="1" w:styleId="292">
    <w:name w:val="正文文本 3 Char"/>
    <w:qFormat/>
    <w:uiPriority w:val="0"/>
    <w:rPr>
      <w:rFonts w:ascii="宋体" w:hAnsi="宋体" w:cs="宋体"/>
      <w:sz w:val="16"/>
      <w:szCs w:val="16"/>
    </w:rPr>
  </w:style>
  <w:style w:type="character" w:customStyle="1" w:styleId="293">
    <w:name w:val="纯文本 Char1"/>
    <w:qFormat/>
    <w:uiPriority w:val="0"/>
    <w:rPr>
      <w:rFonts w:hint="eastAsia" w:ascii="宋体" w:hAnsi="Courier New" w:cs="Courier New"/>
      <w:kern w:val="2"/>
      <w:sz w:val="21"/>
      <w:szCs w:val="21"/>
    </w:rPr>
  </w:style>
  <w:style w:type="character" w:customStyle="1" w:styleId="294">
    <w:name w:val="标题4 Char Char"/>
    <w:link w:val="295"/>
    <w:qFormat/>
    <w:uiPriority w:val="0"/>
    <w:rPr>
      <w:rFonts w:ascii="Cambria" w:hAnsi="Cambria" w:eastAsia="Calibri"/>
      <w:b/>
      <w:kern w:val="2"/>
      <w:sz w:val="28"/>
      <w:szCs w:val="24"/>
    </w:rPr>
  </w:style>
  <w:style w:type="paragraph" w:customStyle="1" w:styleId="295">
    <w:name w:val="标题4"/>
    <w:basedOn w:val="5"/>
    <w:link w:val="294"/>
    <w:qFormat/>
    <w:uiPriority w:val="0"/>
    <w:pPr>
      <w:spacing w:before="50" w:beforeLines="50" w:after="50" w:afterLines="50"/>
    </w:pPr>
    <w:rPr>
      <w:rFonts w:ascii="Cambria" w:hAnsi="Cambria" w:eastAsia="Calibri" w:cs="仿宋_GB2312"/>
    </w:rPr>
  </w:style>
  <w:style w:type="character" w:customStyle="1" w:styleId="296">
    <w:name w:val="文档结构图 字符1"/>
    <w:qFormat/>
    <w:uiPriority w:val="0"/>
    <w:rPr>
      <w:rFonts w:ascii="华文楷体" w:eastAsia="华文楷体"/>
      <w:kern w:val="2"/>
      <w:sz w:val="18"/>
      <w:szCs w:val="18"/>
    </w:rPr>
  </w:style>
  <w:style w:type="character" w:customStyle="1" w:styleId="297">
    <w:name w:val="页码 New New New New New New New New New New New New New New New New New New New New New New New New New New New New New New New"/>
    <w:qFormat/>
    <w:uiPriority w:val="0"/>
  </w:style>
  <w:style w:type="character" w:customStyle="1" w:styleId="298">
    <w:name w:val="文档结构图 Char"/>
    <w:qFormat/>
    <w:uiPriority w:val="99"/>
    <w:rPr>
      <w:rFonts w:ascii="宋体"/>
      <w:kern w:val="2"/>
      <w:sz w:val="18"/>
      <w:szCs w:val="18"/>
    </w:rPr>
  </w:style>
  <w:style w:type="character" w:customStyle="1" w:styleId="299">
    <w:name w:val="unnamed31"/>
    <w:qFormat/>
    <w:uiPriority w:val="0"/>
    <w:rPr>
      <w:sz w:val="18"/>
      <w:szCs w:val="18"/>
    </w:rPr>
  </w:style>
  <w:style w:type="character" w:customStyle="1" w:styleId="300">
    <w:name w:val="正文文本 Char1"/>
    <w:semiHidden/>
    <w:qFormat/>
    <w:uiPriority w:val="99"/>
    <w:rPr>
      <w:kern w:val="2"/>
      <w:sz w:val="21"/>
    </w:rPr>
  </w:style>
  <w:style w:type="character" w:customStyle="1" w:styleId="301">
    <w:name w:val="正文文本缩进 Char"/>
    <w:qFormat/>
    <w:uiPriority w:val="0"/>
    <w:rPr>
      <w:rFonts w:ascii="宋体" w:hAnsi="宋体" w:cs="宋体"/>
      <w:sz w:val="24"/>
      <w:szCs w:val="24"/>
    </w:rPr>
  </w:style>
  <w:style w:type="character" w:customStyle="1" w:styleId="302">
    <w:name w:val="正文首行缩进 Char1"/>
    <w:semiHidden/>
    <w:qFormat/>
    <w:uiPriority w:val="99"/>
  </w:style>
  <w:style w:type="character" w:customStyle="1" w:styleId="303">
    <w:name w:val="正文首行缩进 2 Char"/>
    <w:qFormat/>
    <w:uiPriority w:val="0"/>
  </w:style>
  <w:style w:type="character" w:customStyle="1" w:styleId="304">
    <w:name w:val="font121"/>
    <w:qFormat/>
    <w:uiPriority w:val="0"/>
    <w:rPr>
      <w:rFonts w:hint="eastAsia" w:ascii="Calibri" w:hAnsi="Calibri" w:eastAsia="Calibri" w:cs="Calibri"/>
      <w:b/>
      <w:color w:val="000000"/>
      <w:sz w:val="20"/>
      <w:szCs w:val="20"/>
      <w:u w:val="none"/>
    </w:rPr>
  </w:style>
  <w:style w:type="character" w:customStyle="1" w:styleId="305">
    <w:name w:val="标题 6 Char"/>
    <w:qFormat/>
    <w:uiPriority w:val="0"/>
    <w:rPr>
      <w:rFonts w:ascii="宋体" w:hAnsi="宋体" w:cs="宋体"/>
      <w:sz w:val="24"/>
      <w:szCs w:val="24"/>
    </w:rPr>
  </w:style>
  <w:style w:type="character" w:customStyle="1" w:styleId="306">
    <w:name w:val="毕业论文图标题 Char"/>
    <w:link w:val="307"/>
    <w:qFormat/>
    <w:uiPriority w:val="0"/>
    <w:rPr>
      <w:rFonts w:eastAsia="Verdana"/>
      <w:kern w:val="2"/>
      <w:sz w:val="28"/>
      <w:szCs w:val="21"/>
    </w:rPr>
  </w:style>
  <w:style w:type="paragraph" w:customStyle="1" w:styleId="307">
    <w:name w:val="毕业论文图标题"/>
    <w:basedOn w:val="1"/>
    <w:link w:val="306"/>
    <w:qFormat/>
    <w:uiPriority w:val="0"/>
    <w:pPr>
      <w:ind w:firstLine="200"/>
    </w:pPr>
    <w:rPr>
      <w:rFonts w:eastAsia="Verdana"/>
      <w:szCs w:val="21"/>
    </w:rPr>
  </w:style>
  <w:style w:type="character" w:customStyle="1" w:styleId="308">
    <w:name w:val="font61"/>
    <w:qFormat/>
    <w:uiPriority w:val="0"/>
    <w:rPr>
      <w:rFonts w:hint="eastAsia" w:ascii="Calibri" w:hAnsi="Calibri" w:eastAsia="Calibri" w:cs="Calibri"/>
      <w:color w:val="000000"/>
      <w:sz w:val="20"/>
      <w:szCs w:val="20"/>
      <w:u w:val="none"/>
    </w:rPr>
  </w:style>
  <w:style w:type="character" w:customStyle="1" w:styleId="309">
    <w:name w:val="标文 Char Char"/>
    <w:link w:val="310"/>
    <w:qFormat/>
    <w:uiPriority w:val="0"/>
    <w:rPr>
      <w:kern w:val="2"/>
      <w:sz w:val="21"/>
    </w:rPr>
  </w:style>
  <w:style w:type="paragraph" w:customStyle="1" w:styleId="310">
    <w:name w:val="标文"/>
    <w:basedOn w:val="1"/>
    <w:link w:val="309"/>
    <w:qFormat/>
    <w:uiPriority w:val="0"/>
    <w:pPr>
      <w:ind w:firstLine="607"/>
    </w:pPr>
    <w:rPr>
      <w:szCs w:val="20"/>
    </w:rPr>
  </w:style>
  <w:style w:type="paragraph" w:customStyle="1" w:styleId="311">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left"/>
    </w:pPr>
    <w:rPr>
      <w:b/>
      <w:bCs/>
      <w:kern w:val="0"/>
      <w:sz w:val="20"/>
      <w:szCs w:val="20"/>
    </w:rPr>
  </w:style>
  <w:style w:type="paragraph" w:customStyle="1" w:styleId="31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13">
    <w:name w:val="xl217"/>
    <w:basedOn w:val="1"/>
    <w:qFormat/>
    <w:uiPriority w:val="0"/>
    <w:pPr>
      <w:widowControl/>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14">
    <w:name w:val="p15"/>
    <w:basedOn w:val="1"/>
    <w:qFormat/>
    <w:uiPriority w:val="0"/>
    <w:pPr>
      <w:widowControl/>
      <w:ind w:firstLine="420"/>
    </w:pPr>
    <w:rPr>
      <w:rFonts w:ascii="Yu Mincho Light" w:hAnsi="Yu Mincho Light" w:cs="Calibri"/>
      <w:kern w:val="0"/>
      <w:szCs w:val="21"/>
    </w:rPr>
  </w:style>
  <w:style w:type="paragraph" w:customStyle="1" w:styleId="315">
    <w:name w:val="reader-word-layer reader-word-s1-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16">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color w:val="000000"/>
      <w:kern w:val="0"/>
      <w:sz w:val="16"/>
      <w:szCs w:val="16"/>
    </w:rPr>
  </w:style>
  <w:style w:type="paragraph" w:customStyle="1" w:styleId="317">
    <w:name w:val="表头"/>
    <w:basedOn w:val="14"/>
    <w:next w:val="1"/>
    <w:qFormat/>
    <w:uiPriority w:val="0"/>
    <w:pPr>
      <w:spacing w:before="120" w:line="400" w:lineRule="exact"/>
      <w:ind w:left="0"/>
      <w:jc w:val="center"/>
    </w:pPr>
    <w:rPr>
      <w:rFonts w:ascii="Calibri" w:eastAsia="Arial Narrow"/>
      <w:spacing w:val="6"/>
      <w:position w:val="10"/>
      <w:sz w:val="21"/>
    </w:rPr>
  </w:style>
  <w:style w:type="paragraph" w:customStyle="1" w:styleId="318">
    <w:name w:val="xl25"/>
    <w:basedOn w:val="1"/>
    <w:qFormat/>
    <w:uiPriority w:val="0"/>
    <w:pPr>
      <w:widowControl/>
      <w:spacing w:before="100" w:beforeAutospacing="1" w:after="100" w:afterAutospacing="1"/>
      <w:jc w:val="center"/>
    </w:pPr>
    <w:rPr>
      <w:rFonts w:ascii="宋体" w:hAnsi="宋体" w:eastAsia="宋体"/>
      <w:kern w:val="0"/>
      <w:sz w:val="24"/>
    </w:rPr>
  </w:style>
  <w:style w:type="paragraph" w:customStyle="1" w:styleId="319">
    <w:name w:val="CM72"/>
    <w:basedOn w:val="320"/>
    <w:next w:val="320"/>
    <w:qFormat/>
    <w:uiPriority w:val="0"/>
    <w:pPr>
      <w:spacing w:after="580"/>
    </w:pPr>
    <w:rPr>
      <w:rFonts w:cs="仿宋_GB2312"/>
      <w:color w:val="auto"/>
    </w:rPr>
  </w:style>
  <w:style w:type="paragraph" w:customStyle="1" w:styleId="320">
    <w:name w:val="Default"/>
    <w:qFormat/>
    <w:uiPriority w:val="0"/>
    <w:pPr>
      <w:widowControl w:val="0"/>
      <w:autoSpaceDE w:val="0"/>
      <w:autoSpaceDN w:val="0"/>
      <w:adjustRightInd w:val="0"/>
    </w:pPr>
    <w:rPr>
      <w:rFonts w:ascii="Calibri" w:hAnsi="Times New Roman" w:eastAsia="宋体" w:cs="Calibri"/>
      <w:color w:val="000000"/>
      <w:sz w:val="24"/>
      <w:szCs w:val="24"/>
      <w:lang w:val="en-US" w:eastAsia="zh-CN" w:bidi="ar-SA"/>
    </w:rPr>
  </w:style>
  <w:style w:type="paragraph" w:customStyle="1" w:styleId="321">
    <w:name w:val="1.1.1项目名称"/>
    <w:basedOn w:val="4"/>
    <w:qFormat/>
    <w:uiPriority w:val="0"/>
    <w:pPr>
      <w:keepNext w:val="0"/>
      <w:numPr>
        <w:ilvl w:val="0"/>
        <w:numId w:val="0"/>
      </w:numPr>
      <w:spacing w:beforeLines="30" w:afterLines="30"/>
      <w:ind w:firstLine="562" w:firstLineChars="200"/>
    </w:pPr>
    <w:rPr>
      <w:rFonts w:eastAsia="宋体" w:cs="Arial"/>
      <w:bCs/>
      <w:szCs w:val="28"/>
    </w:rPr>
  </w:style>
  <w:style w:type="paragraph" w:customStyle="1" w:styleId="322">
    <w:name w:val="font16"/>
    <w:basedOn w:val="1"/>
    <w:qFormat/>
    <w:uiPriority w:val="0"/>
    <w:pPr>
      <w:widowControl/>
      <w:spacing w:before="100" w:beforeAutospacing="1" w:after="100" w:afterAutospacing="1"/>
      <w:jc w:val="left"/>
    </w:pPr>
    <w:rPr>
      <w:rFonts w:hint="eastAsia" w:ascii="宋体" w:hAnsi="宋体" w:eastAsia="宋体" w:cs="Arial Unicode MS"/>
      <w:kern w:val="0"/>
      <w:sz w:val="24"/>
    </w:rPr>
  </w:style>
  <w:style w:type="paragraph" w:customStyle="1" w:styleId="323">
    <w:name w:val="xl67"/>
    <w:basedOn w:val="1"/>
    <w:qFormat/>
    <w:uiPriority w:val="0"/>
    <w:pPr>
      <w:widowControl/>
      <w:spacing w:before="100" w:beforeAutospacing="1" w:after="100" w:afterAutospacing="1"/>
      <w:jc w:val="left"/>
    </w:pPr>
    <w:rPr>
      <w:rFonts w:ascii="Calibri" w:hAnsi="Calibri" w:cs="Calibri"/>
      <w:b/>
      <w:bCs/>
      <w:kern w:val="0"/>
      <w:sz w:val="24"/>
    </w:rPr>
  </w:style>
  <w:style w:type="paragraph" w:customStyle="1" w:styleId="324">
    <w:name w:val="xl121"/>
    <w:basedOn w:val="1"/>
    <w:qFormat/>
    <w:uiPriority w:val="0"/>
    <w:pPr>
      <w:widowControl/>
      <w:pBdr>
        <w:left w:val="single" w:color="auto" w:sz="4" w:space="0"/>
      </w:pBdr>
      <w:spacing w:before="100" w:beforeAutospacing="1" w:after="100" w:afterAutospacing="1"/>
      <w:jc w:val="center"/>
    </w:pPr>
    <w:rPr>
      <w:rFonts w:ascii="Calibri" w:hAnsi="Calibri" w:cs="Calibri"/>
      <w:kern w:val="0"/>
      <w:sz w:val="24"/>
    </w:rPr>
  </w:style>
  <w:style w:type="paragraph" w:customStyle="1" w:styleId="325">
    <w:name w:val="xl26"/>
    <w:basedOn w:val="1"/>
    <w:qFormat/>
    <w:uiPriority w:val="0"/>
    <w:pPr>
      <w:widowControl/>
      <w:adjustRightInd w:val="0"/>
      <w:snapToGrid w:val="0"/>
      <w:spacing w:before="100" w:beforeAutospacing="1" w:after="100" w:afterAutospacing="1" w:line="300" w:lineRule="auto"/>
    </w:pPr>
    <w:rPr>
      <w:rFonts w:ascii="Calibri" w:hAnsi="Calibri"/>
      <w:kern w:val="0"/>
      <w:szCs w:val="21"/>
    </w:rPr>
  </w:style>
  <w:style w:type="paragraph" w:customStyle="1" w:styleId="326">
    <w:name w:val="Char Char Char Char Char Char Char Char Char"/>
    <w:basedOn w:val="1"/>
    <w:qFormat/>
    <w:uiPriority w:val="0"/>
    <w:rPr>
      <w:sz w:val="24"/>
    </w:rPr>
  </w:style>
  <w:style w:type="paragraph" w:customStyle="1" w:styleId="327">
    <w:name w:val="表中齐"/>
    <w:basedOn w:val="1"/>
    <w:qFormat/>
    <w:uiPriority w:val="0"/>
    <w:pPr>
      <w:adjustRightInd w:val="0"/>
      <w:snapToGrid w:val="0"/>
      <w:ind w:left="-54" w:leftChars="-23" w:right="-41" w:rightChars="-41" w:hanging="1"/>
      <w:jc w:val="center"/>
    </w:pPr>
    <w:rPr>
      <w:rFonts w:eastAsia="宋体"/>
      <w:kern w:val="18"/>
      <w:sz w:val="24"/>
      <w:szCs w:val="20"/>
      <w:shd w:val="clear" w:color="auto" w:fill="FFFFFF"/>
    </w:rPr>
  </w:style>
  <w:style w:type="paragraph" w:customStyle="1" w:styleId="328">
    <w:name w:val="Body text|1"/>
    <w:basedOn w:val="1"/>
    <w:qFormat/>
    <w:uiPriority w:val="0"/>
    <w:pPr>
      <w:spacing w:after="180" w:line="480" w:lineRule="auto"/>
      <w:ind w:firstLine="400"/>
    </w:pPr>
    <w:rPr>
      <w:rFonts w:ascii="Century" w:hAnsi="Century" w:eastAsia="Century" w:cs="Century"/>
      <w:sz w:val="18"/>
      <w:szCs w:val="18"/>
      <w:lang w:val="zh-TW" w:eastAsia="zh-TW" w:bidi="zh-TW"/>
    </w:rPr>
  </w:style>
  <w:style w:type="paragraph" w:customStyle="1" w:styleId="329">
    <w:name w:val="K01"/>
    <w:basedOn w:val="1"/>
    <w:qFormat/>
    <w:uiPriority w:val="0"/>
    <w:pPr>
      <w:widowControl/>
      <w:autoSpaceDE w:val="0"/>
      <w:autoSpaceDN w:val="0"/>
      <w:adjustRightInd w:val="0"/>
      <w:spacing w:after="62" w:afterLines="20" w:line="480" w:lineRule="atLeast"/>
      <w:ind w:left="840" w:hanging="360"/>
      <w:jc w:val="left"/>
      <w:textAlignment w:val="bottom"/>
    </w:pPr>
    <w:rPr>
      <w:rFonts w:ascii="Calibri"/>
      <w:kern w:val="0"/>
      <w:sz w:val="24"/>
      <w:szCs w:val="20"/>
    </w:rPr>
  </w:style>
  <w:style w:type="paragraph" w:customStyle="1" w:styleId="330">
    <w:name w:val="样式 样式 标题 1章 + 宋体 行距: 单倍行距1 + 段前: 1.16 行"/>
    <w:basedOn w:val="1"/>
    <w:qFormat/>
    <w:uiPriority w:val="0"/>
    <w:pPr>
      <w:keepNext/>
      <w:keepLines/>
      <w:tabs>
        <w:tab w:val="left" w:pos="432"/>
      </w:tabs>
      <w:snapToGrid w:val="0"/>
      <w:spacing w:before="100" w:beforeAutospacing="1" w:after="100" w:afterAutospacing="1"/>
      <w:jc w:val="center"/>
      <w:outlineLvl w:val="0"/>
    </w:pPr>
    <w:rPr>
      <w:rFonts w:cs="Calibri"/>
      <w:b/>
      <w:bCs/>
      <w:snapToGrid w:val="0"/>
      <w:kern w:val="44"/>
      <w:sz w:val="32"/>
      <w:szCs w:val="32"/>
    </w:rPr>
  </w:style>
  <w:style w:type="paragraph" w:customStyle="1" w:styleId="331">
    <w:name w:val="xl28"/>
    <w:basedOn w:val="1"/>
    <w:qFormat/>
    <w:uiPriority w:val="0"/>
    <w:pPr>
      <w:widowControl/>
      <w:pBdr>
        <w:right w:val="single" w:color="auto" w:sz="4" w:space="0"/>
      </w:pBdr>
      <w:spacing w:before="100" w:after="100" w:line="276" w:lineRule="auto"/>
      <w:jc w:val="center"/>
      <w:textAlignment w:val="top"/>
    </w:pPr>
    <w:rPr>
      <w:rFonts w:ascii="Calibri" w:hAnsi="Calibri"/>
      <w:color w:val="000000"/>
      <w:kern w:val="0"/>
      <w:sz w:val="24"/>
      <w:szCs w:val="22"/>
    </w:rPr>
  </w:style>
  <w:style w:type="paragraph" w:customStyle="1" w:styleId="332">
    <w:name w:val="默认段落字体 Para Char Char Char Char Char Char Char"/>
    <w:basedOn w:val="1"/>
    <w:qFormat/>
    <w:uiPriority w:val="0"/>
    <w:rPr>
      <w:rFonts w:eastAsia="宋体"/>
    </w:rPr>
  </w:style>
  <w:style w:type="paragraph" w:customStyle="1" w:styleId="333">
    <w:name w:val="样式 标题 1 + 段前: 5 磅 段后: 1 行 行距: 1.5 倍行距"/>
    <w:basedOn w:val="2"/>
    <w:qFormat/>
    <w:uiPriority w:val="0"/>
    <w:pPr>
      <w:keepNext w:val="0"/>
      <w:numPr>
        <w:numId w:val="0"/>
      </w:numPr>
      <w:tabs>
        <w:tab w:val="left" w:pos="360"/>
        <w:tab w:val="left" w:pos="432"/>
      </w:tabs>
      <w:snapToGrid w:val="0"/>
      <w:spacing w:before="156" w:after="156"/>
      <w:jc w:val="both"/>
    </w:pPr>
    <w:rPr>
      <w:rFonts w:hint="eastAsia" w:eastAsia="Calibri"/>
      <w:b w:val="0"/>
      <w:bCs/>
      <w:kern w:val="2"/>
      <w:sz w:val="30"/>
      <w:szCs w:val="44"/>
      <w:u w:val="dotDotDash"/>
    </w:rPr>
  </w:style>
  <w:style w:type="paragraph" w:customStyle="1" w:styleId="33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35">
    <w:name w:val="正文首行缩进2字"/>
    <w:basedOn w:val="1"/>
    <w:qFormat/>
    <w:uiPriority w:val="0"/>
    <w:pPr>
      <w:adjustRightInd w:val="0"/>
      <w:snapToGrid w:val="0"/>
      <w:spacing w:line="334" w:lineRule="auto"/>
      <w:ind w:firstLine="496"/>
      <w:jc w:val="left"/>
    </w:pPr>
    <w:rPr>
      <w:snapToGrid w:val="0"/>
      <w:spacing w:val="4"/>
      <w:kern w:val="0"/>
      <w:sz w:val="24"/>
      <w:szCs w:val="20"/>
    </w:rPr>
  </w:style>
  <w:style w:type="paragraph" w:customStyle="1" w:styleId="336">
    <w:name w:val="_Style 9"/>
    <w:basedOn w:val="1"/>
    <w:next w:val="1"/>
    <w:unhideWhenUsed/>
    <w:qFormat/>
    <w:uiPriority w:val="37"/>
  </w:style>
  <w:style w:type="paragraph" w:customStyle="1" w:styleId="337">
    <w:name w:val="标题2"/>
    <w:basedOn w:val="3"/>
    <w:qFormat/>
    <w:uiPriority w:val="0"/>
    <w:pPr>
      <w:numPr>
        <w:ilvl w:val="0"/>
        <w:numId w:val="0"/>
      </w:numPr>
      <w:tabs>
        <w:tab w:val="left" w:pos="468"/>
      </w:tabs>
      <w:snapToGrid/>
      <w:spacing w:before="0"/>
      <w:ind w:left="468" w:firstLine="482"/>
      <w:textAlignment w:val="baseline"/>
    </w:pPr>
    <w:rPr>
      <w:rFonts w:eastAsia="Calibri"/>
      <w:spacing w:val="0"/>
      <w:kern w:val="0"/>
      <w:position w:val="0"/>
      <w:sz w:val="24"/>
    </w:rPr>
  </w:style>
  <w:style w:type="paragraph" w:customStyle="1" w:styleId="33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szCs w:val="20"/>
    </w:rPr>
  </w:style>
  <w:style w:type="paragraph" w:customStyle="1" w:styleId="339">
    <w:name w:val="Char Char Char Char"/>
    <w:basedOn w:val="1"/>
    <w:qFormat/>
    <w:uiPriority w:val="0"/>
  </w:style>
  <w:style w:type="paragraph" w:customStyle="1" w:styleId="340">
    <w:name w:val="索引 11"/>
    <w:basedOn w:val="1"/>
    <w:next w:val="1"/>
    <w:qFormat/>
    <w:uiPriority w:val="0"/>
    <w:pPr>
      <w:jc w:val="center"/>
    </w:pPr>
  </w:style>
  <w:style w:type="paragraph" w:customStyle="1" w:styleId="341">
    <w:name w:val="xl16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42">
    <w:name w:val="正式文本"/>
    <w:basedOn w:val="1"/>
    <w:qFormat/>
    <w:uiPriority w:val="0"/>
    <w:pPr>
      <w:spacing w:line="540" w:lineRule="exact"/>
      <w:ind w:firstLine="200"/>
    </w:pPr>
    <w:rPr>
      <w:rFonts w:ascii="Calibri" w:hAnsi="宋体"/>
    </w:rPr>
  </w:style>
  <w:style w:type="paragraph" w:customStyle="1" w:styleId="343">
    <w:name w:val="！符号(1)"/>
    <w:basedOn w:val="344"/>
    <w:next w:val="344"/>
    <w:qFormat/>
    <w:uiPriority w:val="0"/>
    <w:pPr>
      <w:numPr>
        <w:ilvl w:val="0"/>
        <w:numId w:val="4"/>
      </w:numPr>
      <w:spacing w:before="50"/>
      <w:ind w:firstLine="0" w:firstLineChars="0"/>
    </w:pPr>
  </w:style>
  <w:style w:type="paragraph" w:customStyle="1" w:styleId="344">
    <w:name w:val="！正文 Alt+0"/>
    <w:basedOn w:val="1"/>
    <w:qFormat/>
    <w:uiPriority w:val="0"/>
    <w:pPr>
      <w:spacing w:beforeLines="50"/>
      <w:ind w:firstLine="200"/>
    </w:pPr>
    <w:rPr>
      <w:rFonts w:ascii="仿宋_GB2312" w:hAnsi="仿宋_GB2312"/>
      <w:szCs w:val="28"/>
    </w:rPr>
  </w:style>
  <w:style w:type="paragraph" w:customStyle="1" w:styleId="345">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eastAsia="宋体"/>
      <w:kern w:val="0"/>
      <w:sz w:val="24"/>
    </w:rPr>
  </w:style>
  <w:style w:type="paragraph" w:customStyle="1" w:styleId="34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b/>
      <w:bCs/>
      <w:kern w:val="0"/>
      <w:sz w:val="20"/>
      <w:szCs w:val="20"/>
    </w:rPr>
  </w:style>
  <w:style w:type="paragraph" w:customStyle="1" w:styleId="347">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8">
    <w:name w:val="_Style 23"/>
    <w:basedOn w:val="1"/>
    <w:qFormat/>
    <w:uiPriority w:val="0"/>
  </w:style>
  <w:style w:type="paragraph" w:customStyle="1" w:styleId="349">
    <w:name w:val="正文 New New New New New New New New New New New New New New New New New New New New New New New New New New New New New New"/>
    <w:qFormat/>
    <w:uiPriority w:val="0"/>
    <w:pPr>
      <w:widowControl w:val="0"/>
      <w:jc w:val="both"/>
    </w:pPr>
    <w:rPr>
      <w:rFonts w:ascii="Yu Mincho Light" w:hAnsi="Yu Mincho Light" w:eastAsia="宋体" w:cs="Times New Roman"/>
      <w:kern w:val="2"/>
      <w:sz w:val="21"/>
      <w:szCs w:val="24"/>
      <w:lang w:val="en-US" w:eastAsia="zh-CN" w:bidi="ar-SA"/>
    </w:rPr>
  </w:style>
  <w:style w:type="paragraph" w:customStyle="1" w:styleId="350">
    <w:name w:val="雷正文"/>
    <w:basedOn w:val="1"/>
    <w:qFormat/>
    <w:uiPriority w:val="0"/>
    <w:pPr>
      <w:ind w:firstLine="200"/>
    </w:pPr>
    <w:rPr>
      <w:rFonts w:ascii="Calibri" w:hAnsi="Calibri" w:eastAsia="宋体"/>
      <w:szCs w:val="28"/>
    </w:rPr>
  </w:style>
  <w:style w:type="paragraph" w:customStyle="1" w:styleId="351">
    <w:name w:val="列表接续 21"/>
    <w:basedOn w:val="1"/>
    <w:qFormat/>
    <w:uiPriority w:val="0"/>
    <w:pPr>
      <w:spacing w:after="120"/>
      <w:ind w:left="840" w:leftChars="400"/>
      <w:contextualSpacing/>
    </w:pPr>
  </w:style>
  <w:style w:type="paragraph" w:customStyle="1" w:styleId="352">
    <w:name w:val="xl218"/>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353">
    <w:name w:val="xl161"/>
    <w:basedOn w:val="1"/>
    <w:qFormat/>
    <w:uiPriority w:val="0"/>
    <w:pPr>
      <w:widowControl/>
      <w:pBdr>
        <w:left w:val="single" w:color="auto" w:sz="4" w:space="0"/>
        <w:right w:val="single" w:color="auto" w:sz="8" w:space="0"/>
      </w:pBdr>
      <w:spacing w:before="100" w:beforeAutospacing="1" w:after="100" w:afterAutospacing="1"/>
      <w:jc w:val="center"/>
    </w:pPr>
    <w:rPr>
      <w:rFonts w:eastAsia="宋体"/>
      <w:kern w:val="0"/>
      <w:sz w:val="20"/>
      <w:szCs w:val="20"/>
    </w:rPr>
  </w:style>
  <w:style w:type="paragraph" w:customStyle="1" w:styleId="3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355">
    <w:name w:val="样式4"/>
    <w:basedOn w:val="1"/>
    <w:qFormat/>
    <w:uiPriority w:val="0"/>
    <w:pPr>
      <w:ind w:firstLine="480"/>
    </w:pPr>
    <w:rPr>
      <w:rFonts w:ascii="等线 Light" w:hAnsi="等线 Light" w:eastAsia="等线 Light"/>
      <w:sz w:val="24"/>
    </w:rPr>
  </w:style>
  <w:style w:type="paragraph" w:customStyle="1" w:styleId="35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3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kern w:val="0"/>
      <w:sz w:val="24"/>
    </w:rPr>
  </w:style>
  <w:style w:type="paragraph" w:customStyle="1" w:styleId="358">
    <w:name w:val="p16"/>
    <w:basedOn w:val="1"/>
    <w:qFormat/>
    <w:uiPriority w:val="0"/>
    <w:pPr>
      <w:widowControl/>
      <w:spacing w:after="120"/>
      <w:ind w:left="420"/>
    </w:pPr>
    <w:rPr>
      <w:kern w:val="0"/>
      <w:sz w:val="16"/>
      <w:szCs w:val="16"/>
    </w:rPr>
  </w:style>
  <w:style w:type="paragraph" w:customStyle="1" w:styleId="359">
    <w:name w:val="xl36"/>
    <w:basedOn w:val="1"/>
    <w:qFormat/>
    <w:uiPriority w:val="0"/>
    <w:pPr>
      <w:widowControl/>
      <w:spacing w:before="100" w:beforeAutospacing="1" w:after="100" w:afterAutospacing="1"/>
      <w:jc w:val="left"/>
    </w:pPr>
    <w:rPr>
      <w:rFonts w:hint="eastAsia" w:ascii="宋体" w:hAnsi="宋体" w:eastAsia="宋体"/>
      <w:kern w:val="0"/>
      <w:sz w:val="24"/>
    </w:rPr>
  </w:style>
  <w:style w:type="paragraph" w:customStyle="1" w:styleId="360">
    <w:name w:val="a)2.初设标题"/>
    <w:basedOn w:val="1"/>
    <w:next w:val="1"/>
    <w:qFormat/>
    <w:uiPriority w:val="0"/>
    <w:pPr>
      <w:spacing w:line="560" w:lineRule="exact"/>
    </w:pPr>
    <w:rPr>
      <w:rFonts w:eastAsia="宋体"/>
      <w:bCs/>
      <w:szCs w:val="28"/>
      <w:lang w:val="zh-CN"/>
    </w:rPr>
  </w:style>
  <w:style w:type="paragraph" w:customStyle="1" w:styleId="361">
    <w:name w:val="Char Char2 Char Char Char Char"/>
    <w:basedOn w:val="1"/>
    <w:qFormat/>
    <w:uiPriority w:val="0"/>
    <w:pPr>
      <w:snapToGrid w:val="0"/>
      <w:spacing w:line="600" w:lineRule="exact"/>
      <w:ind w:firstLine="200"/>
    </w:pPr>
    <w:rPr>
      <w:sz w:val="32"/>
    </w:rPr>
  </w:style>
  <w:style w:type="paragraph" w:customStyle="1" w:styleId="362">
    <w:name w:val="xl125"/>
    <w:basedOn w:val="1"/>
    <w:qFormat/>
    <w:uiPriority w:val="0"/>
    <w:pPr>
      <w:widowControl/>
      <w:pBdr>
        <w:bottom w:val="single" w:color="auto" w:sz="4" w:space="0"/>
      </w:pBdr>
      <w:spacing w:before="100" w:beforeAutospacing="1" w:after="100" w:afterAutospacing="1"/>
      <w:jc w:val="center"/>
    </w:pPr>
    <w:rPr>
      <w:rFonts w:ascii="Calibri" w:hAnsi="Calibri" w:cs="Calibri"/>
      <w:kern w:val="0"/>
      <w:sz w:val="24"/>
    </w:rPr>
  </w:style>
  <w:style w:type="paragraph" w:customStyle="1" w:styleId="363">
    <w:name w:val="font14"/>
    <w:basedOn w:val="1"/>
    <w:qFormat/>
    <w:uiPriority w:val="0"/>
    <w:pPr>
      <w:widowControl/>
      <w:spacing w:before="100" w:beforeAutospacing="1" w:after="100" w:afterAutospacing="1"/>
      <w:jc w:val="left"/>
    </w:pPr>
    <w:rPr>
      <w:rFonts w:hint="eastAsia" w:ascii="宋体" w:hAnsi="宋体" w:eastAsia="宋体" w:cs="Arial Unicode MS"/>
      <w:b/>
      <w:bCs/>
      <w:kern w:val="0"/>
      <w:sz w:val="24"/>
    </w:rPr>
  </w:style>
  <w:style w:type="paragraph" w:customStyle="1" w:styleId="364">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kern w:val="0"/>
      <w:sz w:val="24"/>
    </w:rPr>
  </w:style>
  <w:style w:type="paragraph" w:customStyle="1" w:styleId="365">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b/>
      <w:bCs/>
      <w:kern w:val="0"/>
      <w:sz w:val="20"/>
      <w:szCs w:val="20"/>
    </w:rPr>
  </w:style>
  <w:style w:type="paragraph" w:customStyle="1" w:styleId="366">
    <w:name w:val="表格1.5倍行距"/>
    <w:basedOn w:val="1"/>
    <w:next w:val="1"/>
    <w:qFormat/>
    <w:uiPriority w:val="0"/>
    <w:pPr>
      <w:adjustRightInd w:val="0"/>
      <w:snapToGrid w:val="0"/>
      <w:jc w:val="center"/>
    </w:pPr>
    <w:rPr>
      <w:snapToGrid w:val="0"/>
      <w:kern w:val="0"/>
      <w:sz w:val="24"/>
      <w:szCs w:val="20"/>
    </w:rPr>
  </w:style>
  <w:style w:type="paragraph" w:customStyle="1" w:styleId="367">
    <w:name w:val="xl216"/>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36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369">
    <w:name w:val="font6"/>
    <w:basedOn w:val="1"/>
    <w:qFormat/>
    <w:uiPriority w:val="0"/>
    <w:pPr>
      <w:widowControl/>
      <w:spacing w:before="100" w:beforeAutospacing="1" w:after="100" w:afterAutospacing="1"/>
      <w:jc w:val="left"/>
    </w:pPr>
    <w:rPr>
      <w:rFonts w:ascii="Calibri" w:hAnsi="Calibri" w:cs="Calibri"/>
      <w:color w:val="000000"/>
      <w:kern w:val="0"/>
      <w:sz w:val="20"/>
      <w:szCs w:val="20"/>
    </w:rPr>
  </w:style>
  <w:style w:type="paragraph" w:customStyle="1" w:styleId="370">
    <w:name w:val="xl155"/>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71">
    <w:name w:val="xl132"/>
    <w:basedOn w:val="1"/>
    <w:qFormat/>
    <w:uiPriority w:val="0"/>
    <w:pPr>
      <w:widowControl/>
      <w:spacing w:before="100" w:beforeAutospacing="1" w:after="100" w:afterAutospacing="1"/>
      <w:jc w:val="center"/>
    </w:pPr>
    <w:rPr>
      <w:b/>
      <w:bCs/>
      <w:kern w:val="0"/>
      <w:sz w:val="20"/>
      <w:szCs w:val="20"/>
    </w:rPr>
  </w:style>
  <w:style w:type="paragraph" w:customStyle="1" w:styleId="372">
    <w:name w:val="Char"/>
    <w:basedOn w:val="1"/>
    <w:qFormat/>
    <w:uiPriority w:val="0"/>
    <w:pPr>
      <w:spacing w:before="312" w:beforeLines="100" w:line="500" w:lineRule="exact"/>
    </w:pPr>
    <w:rPr>
      <w:color w:val="000000"/>
      <w:sz w:val="24"/>
      <w:szCs w:val="20"/>
    </w:rPr>
  </w:style>
  <w:style w:type="paragraph" w:customStyle="1" w:styleId="373">
    <w:name w:val="正文 + 宋体"/>
    <w:basedOn w:val="1"/>
    <w:qFormat/>
    <w:uiPriority w:val="0"/>
    <w:rPr>
      <w:rFonts w:ascii="宋体" w:hAnsi="宋体" w:eastAsia="宋体"/>
      <w:caps/>
      <w:szCs w:val="21"/>
    </w:rPr>
  </w:style>
  <w:style w:type="paragraph" w:customStyle="1" w:styleId="374">
    <w:name w:val="xl32"/>
    <w:basedOn w:val="1"/>
    <w:qFormat/>
    <w:uiPriority w:val="0"/>
    <w:pPr>
      <w:widowControl/>
      <w:spacing w:before="100" w:beforeAutospacing="1" w:after="100" w:afterAutospacing="1"/>
      <w:jc w:val="center"/>
    </w:pPr>
    <w:rPr>
      <w:rFonts w:ascii="Calibri" w:hAnsi="Calibri"/>
      <w:kern w:val="0"/>
      <w:sz w:val="24"/>
    </w:rPr>
  </w:style>
  <w:style w:type="paragraph" w:customStyle="1" w:styleId="375">
    <w:name w:val="xl6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eastAsia="Arial Unicode MS"/>
      <w:kern w:val="0"/>
      <w:sz w:val="22"/>
      <w:szCs w:val="22"/>
    </w:rPr>
  </w:style>
  <w:style w:type="paragraph" w:customStyle="1" w:styleId="376">
    <w:name w:val="样式 (西文) 宋体 小四 行距: 1.5 倍行距"/>
    <w:basedOn w:val="1"/>
    <w:qFormat/>
    <w:uiPriority w:val="0"/>
    <w:pPr>
      <w:ind w:firstLine="480"/>
    </w:pPr>
    <w:rPr>
      <w:rFonts w:ascii="Calibri" w:hAnsi="Calibri" w:cs="Calibri"/>
      <w:sz w:val="24"/>
      <w:szCs w:val="20"/>
    </w:rPr>
  </w:style>
  <w:style w:type="paragraph" w:customStyle="1" w:styleId="377">
    <w:name w:val="表文字居中"/>
    <w:basedOn w:val="1"/>
    <w:qFormat/>
    <w:uiPriority w:val="99"/>
    <w:pPr>
      <w:adjustRightInd w:val="0"/>
      <w:snapToGrid w:val="0"/>
      <w:jc w:val="center"/>
    </w:pPr>
    <w:rPr>
      <w:rFonts w:ascii="Calibri" w:hAnsi="Calibri" w:cs="Calibri"/>
      <w:color w:val="000000"/>
      <w:kern w:val="0"/>
      <w:sz w:val="18"/>
      <w:szCs w:val="18"/>
      <w:u w:color="000000"/>
      <w:lang w:eastAsia="en-US"/>
    </w:rPr>
  </w:style>
  <w:style w:type="paragraph" w:customStyle="1" w:styleId="378">
    <w:name w:val="Char Char1"/>
    <w:basedOn w:val="1"/>
    <w:qFormat/>
    <w:uiPriority w:val="0"/>
    <w:pPr>
      <w:widowControl/>
      <w:ind w:firstLine="200"/>
    </w:pPr>
    <w:rPr>
      <w:rFonts w:ascii="Calibri" w:hAnsi="Calibri"/>
      <w:kern w:val="0"/>
      <w:sz w:val="24"/>
      <w:szCs w:val="20"/>
      <w:lang w:eastAsia="en-US"/>
    </w:rPr>
  </w:style>
  <w:style w:type="paragraph" w:customStyle="1" w:styleId="379">
    <w:name w:val="CM14"/>
    <w:basedOn w:val="320"/>
    <w:next w:val="320"/>
    <w:qFormat/>
    <w:uiPriority w:val="0"/>
    <w:pPr>
      <w:spacing w:line="558" w:lineRule="atLeast"/>
    </w:pPr>
    <w:rPr>
      <w:rFonts w:cs="仿宋_GB2312"/>
      <w:color w:val="auto"/>
    </w:rPr>
  </w:style>
  <w:style w:type="paragraph" w:customStyle="1" w:styleId="380">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38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382">
    <w:name w:val="xl240"/>
    <w:basedOn w:val="1"/>
    <w:qFormat/>
    <w:uiPriority w:val="0"/>
    <w:pPr>
      <w:widowControl/>
      <w:pBdr>
        <w:top w:val="single" w:color="000000" w:sz="8" w:space="0"/>
        <w:left w:val="single" w:color="000000" w:sz="8" w:space="0"/>
        <w:right w:val="single" w:color="000000" w:sz="8"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83">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4">
    <w:name w:val="_Style 35"/>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5">
    <w:name w:val="小标"/>
    <w:basedOn w:val="1"/>
    <w:qFormat/>
    <w:uiPriority w:val="0"/>
    <w:pPr>
      <w:jc w:val="left"/>
    </w:pPr>
    <w:rPr>
      <w:rFonts w:hint="eastAsia" w:ascii="Arial Narrow" w:eastAsia="Arial Narrow"/>
      <w:spacing w:val="20"/>
      <w:szCs w:val="20"/>
    </w:rPr>
  </w:style>
  <w:style w:type="paragraph" w:customStyle="1" w:styleId="386">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Calibri" w:eastAsia="Verdana" w:cs="Calibri"/>
      <w:kern w:val="0"/>
      <w:sz w:val="20"/>
      <w:szCs w:val="20"/>
    </w:rPr>
  </w:style>
  <w:style w:type="paragraph" w:customStyle="1" w:styleId="387">
    <w:name w:val="_Style 12"/>
    <w:basedOn w:val="1"/>
    <w:qFormat/>
    <w:uiPriority w:val="34"/>
    <w:pPr>
      <w:ind w:firstLine="420"/>
    </w:pPr>
  </w:style>
  <w:style w:type="paragraph" w:customStyle="1" w:styleId="3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Calibri" w:hAnsi="Calibri" w:cs="Calibri"/>
      <w:kern w:val="0"/>
      <w:sz w:val="20"/>
      <w:szCs w:val="20"/>
    </w:rPr>
  </w:style>
  <w:style w:type="paragraph" w:customStyle="1" w:styleId="38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kern w:val="0"/>
      <w:sz w:val="20"/>
      <w:szCs w:val="20"/>
    </w:rPr>
  </w:style>
  <w:style w:type="paragraph" w:customStyle="1" w:styleId="390">
    <w:name w:val="样式 表头 + 小四"/>
    <w:basedOn w:val="47"/>
    <w:qFormat/>
    <w:uiPriority w:val="0"/>
    <w:pPr>
      <w:ind w:left="420" w:hanging="420"/>
      <w:jc w:val="center"/>
    </w:pPr>
    <w:rPr>
      <w:rFonts w:eastAsia="宋体"/>
      <w:b/>
      <w:bCs/>
      <w:sz w:val="24"/>
      <w:szCs w:val="20"/>
    </w:rPr>
  </w:style>
  <w:style w:type="paragraph" w:customStyle="1" w:styleId="391">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Verdana" w:hAnsi="Calibri" w:eastAsia="Verdana" w:cs="Calibri"/>
      <w:color w:val="000000"/>
      <w:kern w:val="0"/>
      <w:sz w:val="20"/>
      <w:szCs w:val="20"/>
    </w:rPr>
  </w:style>
  <w:style w:type="paragraph" w:customStyle="1" w:styleId="392">
    <w:name w:val="Date1"/>
    <w:basedOn w:val="1"/>
    <w:next w:val="1"/>
    <w:qFormat/>
    <w:uiPriority w:val="0"/>
    <w:pPr>
      <w:adjustRightInd w:val="0"/>
      <w:spacing w:line="360" w:lineRule="atLeast"/>
      <w:textAlignment w:val="baseline"/>
    </w:pPr>
    <w:rPr>
      <w:rFonts w:ascii="Calibri"/>
      <w:kern w:val="0"/>
      <w:szCs w:val="20"/>
    </w:rPr>
  </w:style>
  <w:style w:type="paragraph" w:customStyle="1" w:styleId="393">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kern w:val="0"/>
      <w:sz w:val="20"/>
      <w:szCs w:val="20"/>
    </w:rPr>
  </w:style>
  <w:style w:type="paragraph" w:customStyle="1" w:styleId="394">
    <w:name w:val="reader-word-layer reader-word-s1-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95">
    <w:name w:val="Char Char Char"/>
    <w:basedOn w:val="1"/>
    <w:qFormat/>
    <w:uiPriority w:val="0"/>
    <w:rPr>
      <w:rFonts w:eastAsia="宋体"/>
      <w:color w:val="000000"/>
      <w:kern w:val="0"/>
      <w:szCs w:val="20"/>
      <w:u w:color="000000"/>
    </w:rPr>
  </w:style>
  <w:style w:type="paragraph" w:customStyle="1" w:styleId="396">
    <w:name w:val="样式 列表 + 首行缩进:  2 字符"/>
    <w:basedOn w:val="397"/>
    <w:qFormat/>
    <w:uiPriority w:val="0"/>
    <w:pPr>
      <w:spacing w:before="100" w:beforeAutospacing="1" w:after="100" w:afterAutospacing="1"/>
      <w:ind w:left="0" w:firstLine="0" w:firstLineChars="0"/>
    </w:pPr>
    <w:rPr>
      <w:rFonts w:cs="Calibri"/>
      <w:sz w:val="24"/>
      <w:szCs w:val="20"/>
    </w:rPr>
  </w:style>
  <w:style w:type="paragraph" w:customStyle="1" w:styleId="397">
    <w:name w:val="列表1"/>
    <w:basedOn w:val="1"/>
    <w:qFormat/>
    <w:uiPriority w:val="0"/>
    <w:pPr>
      <w:ind w:left="200" w:hanging="200" w:hangingChars="200"/>
    </w:pPr>
  </w:style>
  <w:style w:type="paragraph" w:customStyle="1" w:styleId="398">
    <w:name w:val="xl136"/>
    <w:basedOn w:val="1"/>
    <w:qFormat/>
    <w:uiPriority w:val="0"/>
    <w:pPr>
      <w:widowControl/>
      <w:pBdr>
        <w:bottom w:val="single" w:color="auto" w:sz="4" w:space="0"/>
        <w:right w:val="single" w:color="auto" w:sz="4" w:space="0"/>
      </w:pBdr>
      <w:spacing w:before="100" w:beforeAutospacing="1" w:after="100" w:afterAutospacing="1"/>
      <w:jc w:val="center"/>
    </w:pPr>
    <w:rPr>
      <w:b/>
      <w:bCs/>
      <w:kern w:val="0"/>
      <w:sz w:val="20"/>
      <w:szCs w:val="20"/>
    </w:rPr>
  </w:style>
  <w:style w:type="paragraph" w:customStyle="1" w:styleId="399">
    <w:name w:val="Char Char Char Char Char Char Char Char Char Char Char"/>
    <w:basedOn w:val="24"/>
    <w:qFormat/>
    <w:uiPriority w:val="0"/>
    <w:pPr>
      <w:tabs>
        <w:tab w:val="clear" w:pos="540"/>
      </w:tabs>
      <w:spacing w:after="120"/>
      <w:ind w:left="200" w:leftChars="200" w:firstLine="0"/>
    </w:pPr>
    <w:rPr>
      <w:rFonts w:ascii="仿宋_GB2312" w:hAnsi="仿宋_GB2312"/>
      <w:sz w:val="21"/>
    </w:rPr>
  </w:style>
  <w:style w:type="paragraph" w:customStyle="1" w:styleId="400">
    <w:name w:val="文章"/>
    <w:basedOn w:val="1"/>
    <w:qFormat/>
    <w:uiPriority w:val="0"/>
    <w:pPr>
      <w:adjustRightInd w:val="0"/>
      <w:spacing w:before="60" w:after="60"/>
      <w:ind w:firstLine="510"/>
    </w:pPr>
    <w:rPr>
      <w:rFonts w:ascii="宋体" w:hAnsi="Arial Narrow" w:eastAsia="宋体"/>
      <w:spacing w:val="2"/>
      <w:sz w:val="26"/>
      <w:szCs w:val="20"/>
    </w:rPr>
  </w:style>
  <w:style w:type="paragraph" w:customStyle="1" w:styleId="40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402">
    <w:name w:val="xl130"/>
    <w:basedOn w:val="1"/>
    <w:qFormat/>
    <w:uiPriority w:val="0"/>
    <w:pPr>
      <w:widowControl/>
      <w:pBdr>
        <w:top w:val="single" w:color="auto" w:sz="4" w:space="0"/>
        <w:right w:val="single" w:color="auto" w:sz="4" w:space="0"/>
      </w:pBdr>
      <w:spacing w:before="100" w:beforeAutospacing="1" w:after="100" w:afterAutospacing="1"/>
      <w:jc w:val="center"/>
    </w:pPr>
    <w:rPr>
      <w:b/>
      <w:bCs/>
      <w:kern w:val="0"/>
      <w:sz w:val="20"/>
      <w:szCs w:val="20"/>
    </w:rPr>
  </w:style>
  <w:style w:type="paragraph" w:customStyle="1" w:styleId="403">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kern w:val="0"/>
      <w:sz w:val="20"/>
      <w:szCs w:val="20"/>
    </w:rPr>
  </w:style>
  <w:style w:type="paragraph" w:customStyle="1" w:styleId="404">
    <w:name w:val="CM67"/>
    <w:basedOn w:val="320"/>
    <w:next w:val="320"/>
    <w:qFormat/>
    <w:uiPriority w:val="0"/>
    <w:pPr>
      <w:spacing w:after="230"/>
    </w:pPr>
    <w:rPr>
      <w:rFonts w:cs="仿宋_GB2312"/>
      <w:color w:val="auto"/>
    </w:rPr>
  </w:style>
  <w:style w:type="paragraph" w:customStyle="1" w:styleId="405">
    <w:name w:val="标题5"/>
    <w:basedOn w:val="6"/>
    <w:qFormat/>
    <w:uiPriority w:val="0"/>
    <w:rPr>
      <w:rFonts w:ascii="仿宋_GB2312" w:hAnsi="仿宋_GB2312" w:eastAsia="Calibri"/>
    </w:rPr>
  </w:style>
  <w:style w:type="paragraph" w:customStyle="1" w:styleId="406">
    <w:name w:val="正文-GF"/>
    <w:basedOn w:val="1"/>
    <w:next w:val="1"/>
    <w:qFormat/>
    <w:uiPriority w:val="0"/>
    <w:pPr>
      <w:widowControl/>
      <w:adjustRightInd w:val="0"/>
      <w:snapToGrid w:val="0"/>
      <w:ind w:firstLine="480"/>
      <w:jc w:val="left"/>
    </w:pPr>
    <w:rPr>
      <w:rFonts w:ascii="Calibri"/>
      <w:snapToGrid w:val="0"/>
      <w:kern w:val="0"/>
      <w:sz w:val="24"/>
    </w:rPr>
  </w:style>
  <w:style w:type="paragraph" w:customStyle="1" w:styleId="407">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D7D7D7"/>
      <w:spacing w:before="100" w:beforeAutospacing="1" w:after="100" w:afterAutospacing="1"/>
      <w:jc w:val="center"/>
    </w:pPr>
    <w:rPr>
      <w:color w:val="000000"/>
      <w:kern w:val="0"/>
      <w:sz w:val="20"/>
      <w:szCs w:val="20"/>
    </w:rPr>
  </w:style>
  <w:style w:type="paragraph" w:customStyle="1" w:styleId="4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kern w:val="0"/>
      <w:sz w:val="24"/>
    </w:rPr>
  </w:style>
  <w:style w:type="paragraph" w:customStyle="1" w:styleId="409">
    <w:name w:val="xl124"/>
    <w:basedOn w:val="1"/>
    <w:qFormat/>
    <w:uiPriority w:val="0"/>
    <w:pPr>
      <w:widowControl/>
      <w:pBdr>
        <w:left w:val="single" w:color="auto" w:sz="4" w:space="0"/>
        <w:bottom w:val="single" w:color="auto" w:sz="4" w:space="0"/>
      </w:pBdr>
      <w:spacing w:before="100" w:beforeAutospacing="1" w:after="100" w:afterAutospacing="1"/>
      <w:jc w:val="center"/>
    </w:pPr>
    <w:rPr>
      <w:rFonts w:ascii="Calibri" w:hAnsi="Calibri" w:cs="Calibri"/>
      <w:kern w:val="0"/>
      <w:sz w:val="24"/>
    </w:rPr>
  </w:style>
  <w:style w:type="paragraph" w:customStyle="1" w:styleId="410">
    <w:name w:val="msonormal"/>
    <w:basedOn w:val="1"/>
    <w:qFormat/>
    <w:uiPriority w:val="0"/>
    <w:pPr>
      <w:widowControl/>
      <w:spacing w:before="100" w:beforeAutospacing="1" w:after="100" w:afterAutospacing="1"/>
      <w:jc w:val="left"/>
    </w:pPr>
    <w:rPr>
      <w:rFonts w:ascii="Calibri" w:hAnsi="Calibri" w:cs="Calibri"/>
      <w:kern w:val="0"/>
      <w:sz w:val="24"/>
    </w:rPr>
  </w:style>
  <w:style w:type="paragraph" w:customStyle="1" w:styleId="411">
    <w:name w:val="xl131"/>
    <w:basedOn w:val="1"/>
    <w:qFormat/>
    <w:uiPriority w:val="0"/>
    <w:pPr>
      <w:widowControl/>
      <w:pBdr>
        <w:left w:val="single" w:color="auto" w:sz="4" w:space="0"/>
      </w:pBdr>
      <w:spacing w:before="100" w:beforeAutospacing="1" w:after="100" w:afterAutospacing="1"/>
      <w:jc w:val="center"/>
    </w:pPr>
    <w:rPr>
      <w:b/>
      <w:bCs/>
      <w:kern w:val="0"/>
      <w:sz w:val="20"/>
      <w:szCs w:val="20"/>
    </w:rPr>
  </w:style>
  <w:style w:type="paragraph" w:customStyle="1" w:styleId="412">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eastAsia="宋体"/>
      <w:kern w:val="0"/>
      <w:sz w:val="24"/>
    </w:rPr>
  </w:style>
  <w:style w:type="paragraph" w:customStyle="1" w:styleId="413">
    <w:name w:val="xl56"/>
    <w:basedOn w:val="1"/>
    <w:qFormat/>
    <w:uiPriority w:val="0"/>
    <w:pPr>
      <w:widowControl/>
      <w:pBdr>
        <w:top w:val="single" w:color="auto" w:sz="4" w:space="0"/>
        <w:bottom w:val="single" w:color="auto" w:sz="4" w:space="0"/>
      </w:pBdr>
      <w:shd w:val="clear" w:color="auto" w:fill="CCFFFF"/>
      <w:spacing w:before="100" w:beforeAutospacing="1" w:after="100" w:afterAutospacing="1"/>
      <w:jc w:val="left"/>
      <w:textAlignment w:val="center"/>
    </w:pPr>
    <w:rPr>
      <w:rFonts w:eastAsia="Arial Unicode MS"/>
      <w:kern w:val="0"/>
      <w:sz w:val="24"/>
    </w:rPr>
  </w:style>
  <w:style w:type="paragraph" w:customStyle="1" w:styleId="414">
    <w:name w:val="Heading #3|1"/>
    <w:basedOn w:val="1"/>
    <w:qFormat/>
    <w:uiPriority w:val="0"/>
    <w:pPr>
      <w:jc w:val="center"/>
      <w:outlineLvl w:val="2"/>
    </w:pPr>
    <w:rPr>
      <w:rFonts w:ascii="宋体" w:hAnsi="宋体" w:eastAsia="宋体" w:cs="宋体"/>
      <w:sz w:val="26"/>
      <w:szCs w:val="26"/>
      <w:lang w:val="zh-TW" w:eastAsia="zh-TW" w:bidi="zh-TW"/>
    </w:rPr>
  </w:style>
  <w:style w:type="paragraph" w:customStyle="1" w:styleId="415">
    <w:name w:val="xl23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16">
    <w:name w:val="font15"/>
    <w:basedOn w:val="1"/>
    <w:qFormat/>
    <w:uiPriority w:val="0"/>
    <w:pPr>
      <w:widowControl/>
      <w:spacing w:before="100" w:beforeAutospacing="1" w:after="100" w:afterAutospacing="1"/>
      <w:jc w:val="left"/>
    </w:pPr>
    <w:rPr>
      <w:rFonts w:ascii="Courier New" w:hAnsi="Courier New" w:eastAsia="Arial Unicode MS" w:cs="Courier New"/>
      <w:kern w:val="0"/>
      <w:sz w:val="22"/>
      <w:szCs w:val="22"/>
    </w:rPr>
  </w:style>
  <w:style w:type="paragraph" w:customStyle="1" w:styleId="417">
    <w:name w:val="Char1"/>
    <w:basedOn w:val="1"/>
    <w:qFormat/>
    <w:uiPriority w:val="0"/>
    <w:rPr>
      <w:sz w:val="24"/>
    </w:rPr>
  </w:style>
  <w:style w:type="paragraph" w:customStyle="1" w:styleId="418">
    <w:name w:val="样式1"/>
    <w:basedOn w:val="5"/>
    <w:next w:val="57"/>
    <w:qFormat/>
    <w:uiPriority w:val="0"/>
    <w:rPr>
      <w:rFonts w:ascii="Cambria" w:hAnsi="Cambria" w:eastAsia="Calibri" w:cs="仿宋_GB2312"/>
      <w:sz w:val="30"/>
    </w:rPr>
  </w:style>
  <w:style w:type="paragraph" w:customStyle="1" w:styleId="419">
    <w:name w:val="xl236"/>
    <w:basedOn w:val="1"/>
    <w:qFormat/>
    <w:uiPriority w:val="0"/>
    <w:pPr>
      <w:widowControl/>
      <w:pBdr>
        <w:top w:val="single" w:color="000000" w:sz="8" w:space="0"/>
        <w:bottom w:val="single" w:color="000000"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420">
    <w:name w:val="样式 行距: 1.5 倍行距"/>
    <w:basedOn w:val="1"/>
    <w:qFormat/>
    <w:uiPriority w:val="0"/>
    <w:pPr>
      <w:ind w:firstLine="480"/>
    </w:pPr>
    <w:rPr>
      <w:rFonts w:cs="Calibri"/>
      <w:szCs w:val="20"/>
    </w:rPr>
  </w:style>
  <w:style w:type="paragraph" w:customStyle="1" w:styleId="421">
    <w:name w:val="样式 文本全文 + 非加宽量 / 紧缩量 Char Char Char Char Char Char Char Char Char Char"/>
    <w:basedOn w:val="1"/>
    <w:qFormat/>
    <w:uiPriority w:val="0"/>
    <w:pPr>
      <w:overflowPunct w:val="0"/>
      <w:autoSpaceDE w:val="0"/>
      <w:autoSpaceDN w:val="0"/>
      <w:adjustRightInd w:val="0"/>
      <w:spacing w:line="540" w:lineRule="exact"/>
      <w:ind w:firstLine="565"/>
      <w:textAlignment w:val="baseline"/>
    </w:pPr>
    <w:rPr>
      <w:rFonts w:ascii="Calibri" w:hAnsi="Calibri" w:cs="Arial"/>
      <w:kern w:val="0"/>
      <w:szCs w:val="28"/>
    </w:rPr>
  </w:style>
  <w:style w:type="paragraph" w:customStyle="1" w:styleId="422">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kern w:val="0"/>
      <w:sz w:val="20"/>
      <w:szCs w:val="20"/>
    </w:rPr>
  </w:style>
  <w:style w:type="paragraph" w:customStyle="1" w:styleId="423">
    <w:name w:val="xl235"/>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424">
    <w:name w:val="THZX008"/>
    <w:basedOn w:val="250"/>
    <w:qFormat/>
    <w:uiPriority w:val="0"/>
    <w:pPr>
      <w:spacing w:line="240" w:lineRule="auto"/>
      <w:ind w:firstLine="0" w:firstLineChars="0"/>
      <w:jc w:val="center"/>
    </w:pPr>
    <w:rPr>
      <w:sz w:val="24"/>
    </w:rPr>
  </w:style>
  <w:style w:type="paragraph" w:customStyle="1" w:styleId="425">
    <w:name w:val="样式5"/>
    <w:basedOn w:val="4"/>
    <w:qFormat/>
    <w:uiPriority w:val="0"/>
    <w:pPr>
      <w:numPr>
        <w:ilvl w:val="0"/>
        <w:numId w:val="0"/>
      </w:numPr>
      <w:spacing w:beforeLines="50" w:afterLines="50"/>
    </w:pPr>
    <w:rPr>
      <w:bCs/>
      <w:sz w:val="36"/>
      <w:szCs w:val="36"/>
    </w:rPr>
  </w:style>
  <w:style w:type="paragraph" w:customStyle="1" w:styleId="42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szCs w:val="20"/>
    </w:rPr>
  </w:style>
  <w:style w:type="paragraph" w:customStyle="1" w:styleId="427">
    <w:name w:val="正文文字缩进2"/>
    <w:basedOn w:val="25"/>
    <w:qFormat/>
    <w:uiPriority w:val="0"/>
    <w:pPr>
      <w:spacing w:after="0" w:line="360" w:lineRule="auto"/>
      <w:ind w:left="0" w:leftChars="0"/>
    </w:pPr>
    <w:rPr>
      <w:rFonts w:ascii="Cambria Math" w:eastAsia="Cambria Math"/>
    </w:rPr>
  </w:style>
  <w:style w:type="paragraph" w:customStyle="1" w:styleId="428">
    <w:name w:val="xl233"/>
    <w:basedOn w:val="1"/>
    <w:qFormat/>
    <w:uiPriority w:val="0"/>
    <w:pPr>
      <w:widowControl/>
      <w:pBdr>
        <w:top w:val="single" w:color="000000" w:sz="8" w:space="0"/>
        <w:bottom w:val="single" w:color="000000" w:sz="8"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29">
    <w:name w:val="xl232"/>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30">
    <w:name w:val="xl49"/>
    <w:basedOn w:val="1"/>
    <w:qFormat/>
    <w:uiPriority w:val="0"/>
    <w:pPr>
      <w:widowControl/>
      <w:pBdr>
        <w:top w:val="single" w:color="auto" w:sz="4" w:space="0"/>
        <w:left w:val="single" w:color="auto" w:sz="4" w:space="0"/>
        <w:bottom w:val="single" w:color="auto" w:sz="4" w:space="0"/>
        <w:right w:val="double" w:color="auto" w:sz="6" w:space="0"/>
      </w:pBdr>
      <w:shd w:val="clear" w:color="auto" w:fill="CCFFFF"/>
      <w:spacing w:before="100" w:beforeAutospacing="1" w:after="100" w:afterAutospacing="1"/>
      <w:jc w:val="right"/>
      <w:textAlignment w:val="center"/>
    </w:pPr>
    <w:rPr>
      <w:rFonts w:eastAsia="Arial Unicode MS"/>
      <w:b/>
      <w:bCs/>
      <w:kern w:val="0"/>
      <w:sz w:val="22"/>
      <w:szCs w:val="22"/>
    </w:rPr>
  </w:style>
  <w:style w:type="paragraph" w:customStyle="1" w:styleId="431">
    <w:name w:val="报告标题3"/>
    <w:basedOn w:val="4"/>
    <w:qFormat/>
    <w:uiPriority w:val="0"/>
    <w:pPr>
      <w:numPr>
        <w:ilvl w:val="0"/>
        <w:numId w:val="0"/>
      </w:numPr>
      <w:spacing w:before="60" w:after="50"/>
    </w:pPr>
    <w:rPr>
      <w:rFonts w:hAnsi="Arial" w:eastAsia="黑体"/>
      <w:color w:val="000000"/>
      <w:sz w:val="30"/>
      <w:szCs w:val="32"/>
    </w:rPr>
  </w:style>
  <w:style w:type="paragraph" w:customStyle="1" w:styleId="432">
    <w:name w:val="xl224"/>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33">
    <w:name w:val="默认段落字体 Para Char"/>
    <w:basedOn w:val="1"/>
    <w:next w:val="1"/>
    <w:qFormat/>
    <w:uiPriority w:val="0"/>
    <w:pPr>
      <w:ind w:firstLine="200"/>
    </w:pPr>
    <w:rPr>
      <w:szCs w:val="20"/>
    </w:rPr>
  </w:style>
  <w:style w:type="paragraph" w:customStyle="1" w:styleId="434">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kern w:val="0"/>
      <w:sz w:val="24"/>
    </w:rPr>
  </w:style>
  <w:style w:type="paragraph" w:customStyle="1" w:styleId="43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kern w:val="0"/>
      <w:sz w:val="24"/>
    </w:rPr>
  </w:style>
  <w:style w:type="paragraph" w:customStyle="1" w:styleId="436">
    <w:name w:val="xl85"/>
    <w:basedOn w:val="1"/>
    <w:qFormat/>
    <w:uiPriority w:val="0"/>
    <w:pPr>
      <w:widowControl/>
      <w:pBdr>
        <w:top w:val="single" w:color="auto" w:sz="4" w:space="0"/>
        <w:bottom w:val="single" w:color="auto" w:sz="4" w:space="0"/>
      </w:pBdr>
      <w:spacing w:before="100" w:beforeAutospacing="1" w:after="100" w:afterAutospacing="1"/>
      <w:jc w:val="center"/>
    </w:pPr>
    <w:rPr>
      <w:rFonts w:ascii="Calibri" w:hAnsi="Calibri" w:cs="Calibri"/>
      <w:b/>
      <w:bCs/>
      <w:kern w:val="0"/>
      <w:sz w:val="30"/>
      <w:szCs w:val="30"/>
    </w:rPr>
  </w:style>
  <w:style w:type="paragraph" w:customStyle="1" w:styleId="437">
    <w:name w:val="reader-word-layer reader-word-s1-7"/>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38">
    <w:name w:val="章标题"/>
    <w:basedOn w:val="1"/>
    <w:qFormat/>
    <w:uiPriority w:val="0"/>
    <w:pPr>
      <w:spacing w:before="100" w:beforeAutospacing="1" w:after="100" w:afterAutospacing="1"/>
      <w:jc w:val="center"/>
    </w:pPr>
    <w:rPr>
      <w:b/>
      <w:sz w:val="36"/>
      <w:szCs w:val="36"/>
    </w:rPr>
  </w:style>
  <w:style w:type="paragraph" w:customStyle="1" w:styleId="439">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40">
    <w:name w:val="xl10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0"/>
      <w:szCs w:val="20"/>
    </w:rPr>
  </w:style>
  <w:style w:type="paragraph" w:customStyle="1" w:styleId="441">
    <w:name w:val="xl27"/>
    <w:basedOn w:val="1"/>
    <w:qFormat/>
    <w:uiPriority w:val="0"/>
    <w:pPr>
      <w:widowControl/>
      <w:spacing w:before="100" w:beforeAutospacing="1" w:after="100" w:afterAutospacing="1"/>
      <w:jc w:val="left"/>
    </w:pPr>
    <w:rPr>
      <w:rFonts w:hint="eastAsia" w:ascii="宋体" w:hAnsi="宋体" w:eastAsia="宋体"/>
      <w:kern w:val="0"/>
      <w:szCs w:val="28"/>
    </w:rPr>
  </w:style>
  <w:style w:type="paragraph" w:customStyle="1" w:styleId="44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kern w:val="0"/>
      <w:sz w:val="24"/>
    </w:rPr>
  </w:style>
  <w:style w:type="paragraph" w:customStyle="1" w:styleId="443">
    <w:name w:val="表号"/>
    <w:basedOn w:val="1"/>
    <w:qFormat/>
    <w:uiPriority w:val="0"/>
    <w:pPr>
      <w:spacing w:line="240" w:lineRule="exact"/>
      <w:ind w:firstLine="200"/>
      <w:jc w:val="left"/>
    </w:pPr>
    <w:rPr>
      <w:rFonts w:ascii="宋体" w:eastAsia="宋体"/>
      <w:sz w:val="18"/>
      <w:szCs w:val="20"/>
    </w:rPr>
  </w:style>
  <w:style w:type="paragraph" w:customStyle="1" w:styleId="444">
    <w:name w:val="font7"/>
    <w:basedOn w:val="1"/>
    <w:qFormat/>
    <w:uiPriority w:val="0"/>
    <w:pPr>
      <w:widowControl/>
      <w:spacing w:before="100" w:beforeAutospacing="1" w:after="100" w:afterAutospacing="1"/>
      <w:jc w:val="left"/>
    </w:pPr>
    <w:rPr>
      <w:color w:val="000000"/>
      <w:kern w:val="0"/>
      <w:sz w:val="20"/>
      <w:szCs w:val="20"/>
    </w:rPr>
  </w:style>
  <w:style w:type="paragraph" w:customStyle="1" w:styleId="44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44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b/>
      <w:bCs/>
      <w:color w:val="000000"/>
      <w:kern w:val="0"/>
      <w:sz w:val="20"/>
      <w:szCs w:val="20"/>
    </w:rPr>
  </w:style>
  <w:style w:type="paragraph" w:customStyle="1" w:styleId="447">
    <w:name w:val="xl30"/>
    <w:basedOn w:val="1"/>
    <w:qFormat/>
    <w:uiPriority w:val="0"/>
    <w:pPr>
      <w:widowControl/>
      <w:spacing w:before="100" w:beforeAutospacing="1" w:after="100" w:afterAutospacing="1"/>
      <w:jc w:val="center"/>
    </w:pPr>
    <w:rPr>
      <w:rFonts w:hint="eastAsia" w:ascii="宋体" w:hAnsi="宋体" w:eastAsia="宋体"/>
      <w:kern w:val="0"/>
      <w:sz w:val="24"/>
    </w:rPr>
  </w:style>
  <w:style w:type="paragraph" w:customStyle="1" w:styleId="448">
    <w:name w:val="正文带项目符号圆点"/>
    <w:basedOn w:val="1"/>
    <w:qFormat/>
    <w:uiPriority w:val="0"/>
    <w:pPr>
      <w:tabs>
        <w:tab w:val="left" w:pos="983"/>
        <w:tab w:val="left" w:pos="1403"/>
      </w:tabs>
      <w:autoSpaceDE w:val="0"/>
      <w:autoSpaceDN w:val="0"/>
      <w:adjustRightInd w:val="0"/>
      <w:spacing w:line="500" w:lineRule="atLeast"/>
      <w:ind w:left="720" w:hanging="720"/>
      <w:jc w:val="left"/>
      <w:textAlignment w:val="baseline"/>
    </w:pPr>
    <w:rPr>
      <w:rFonts w:ascii="Calibri"/>
      <w:kern w:val="0"/>
      <w:sz w:val="34"/>
      <w:szCs w:val="20"/>
    </w:rPr>
  </w:style>
  <w:style w:type="paragraph" w:customStyle="1" w:styleId="449">
    <w:name w:val="三级标题"/>
    <w:basedOn w:val="4"/>
    <w:next w:val="4"/>
    <w:qFormat/>
    <w:uiPriority w:val="0"/>
    <w:pPr>
      <w:numPr>
        <w:ilvl w:val="0"/>
        <w:numId w:val="0"/>
      </w:numPr>
      <w:spacing w:before="50" w:beforeLines="50" w:after="50" w:afterLines="50"/>
      <w:contextualSpacing/>
    </w:pPr>
    <w:rPr>
      <w:rFonts w:ascii="仿宋_GB2312" w:hAnsi="仿宋_GB2312"/>
      <w:bCs/>
      <w:sz w:val="28"/>
    </w:rPr>
  </w:style>
  <w:style w:type="paragraph" w:customStyle="1" w:styleId="450">
    <w:name w:val="xl59"/>
    <w:basedOn w:val="1"/>
    <w:qFormat/>
    <w:uiPriority w:val="0"/>
    <w:pPr>
      <w:widowControl/>
      <w:pBdr>
        <w:top w:val="single" w:color="auto" w:sz="4" w:space="0"/>
        <w:bottom w:val="single" w:color="auto" w:sz="4"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451">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452">
    <w:name w:val="xl50"/>
    <w:basedOn w:val="1"/>
    <w:qFormat/>
    <w:uiPriority w:val="0"/>
    <w:pPr>
      <w:widowControl/>
      <w:pBdr>
        <w:top w:val="single" w:color="auto" w:sz="4" w:space="0"/>
        <w:left w:val="single" w:color="auto" w:sz="4" w:space="0"/>
        <w:bottom w:val="double" w:color="auto" w:sz="6" w:space="0"/>
        <w:right w:val="single" w:color="auto" w:sz="4" w:space="0"/>
      </w:pBdr>
      <w:shd w:val="clear" w:color="auto" w:fill="FFCC99"/>
      <w:spacing w:before="100" w:beforeAutospacing="1" w:after="100" w:afterAutospacing="1"/>
      <w:jc w:val="right"/>
      <w:textAlignment w:val="center"/>
    </w:pPr>
    <w:rPr>
      <w:rFonts w:eastAsia="Arial Unicode MS"/>
      <w:b/>
      <w:bCs/>
      <w:kern w:val="0"/>
      <w:sz w:val="22"/>
      <w:szCs w:val="22"/>
    </w:rPr>
  </w:style>
  <w:style w:type="paragraph" w:customStyle="1" w:styleId="453">
    <w:name w:val="Table Paragraph"/>
    <w:basedOn w:val="1"/>
    <w:qFormat/>
    <w:uiPriority w:val="1"/>
  </w:style>
  <w:style w:type="paragraph" w:customStyle="1" w:styleId="4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szCs w:val="20"/>
    </w:rPr>
  </w:style>
  <w:style w:type="paragraph" w:customStyle="1" w:styleId="455">
    <w:name w:val="小标题"/>
    <w:basedOn w:val="1"/>
    <w:qFormat/>
    <w:uiPriority w:val="0"/>
    <w:rPr>
      <w:rFonts w:eastAsia="宋体"/>
      <w:szCs w:val="20"/>
    </w:rPr>
  </w:style>
  <w:style w:type="paragraph" w:customStyle="1" w:styleId="456">
    <w:name w:val="正文 缩进2"/>
    <w:basedOn w:val="1"/>
    <w:qFormat/>
    <w:uiPriority w:val="0"/>
    <w:pPr>
      <w:ind w:firstLine="200"/>
    </w:pPr>
    <w:rPr>
      <w:szCs w:val="22"/>
    </w:rPr>
  </w:style>
  <w:style w:type="paragraph" w:customStyle="1" w:styleId="457">
    <w:name w:val="GH1文本_02条款"/>
    <w:qFormat/>
    <w:uiPriority w:val="0"/>
    <w:pPr>
      <w:widowControl w:val="0"/>
      <w:numPr>
        <w:ilvl w:val="0"/>
        <w:numId w:val="3"/>
      </w:numPr>
      <w:spacing w:line="360" w:lineRule="auto"/>
      <w:outlineLvl w:val="2"/>
    </w:pPr>
    <w:rPr>
      <w:rFonts w:ascii="Times New Roman" w:hAnsi="Times New Roman" w:eastAsia="宋体" w:cs="Times New Roman"/>
      <w:kern w:val="2"/>
      <w:sz w:val="28"/>
      <w:szCs w:val="24"/>
      <w:lang w:val="en-US" w:eastAsia="zh-CN" w:bidi="ar-SA"/>
    </w:rPr>
  </w:style>
  <w:style w:type="paragraph" w:customStyle="1" w:styleId="4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宋体-PUA" w:hAnsi="宋体-PUA"/>
      <w:kern w:val="0"/>
      <w:sz w:val="20"/>
      <w:szCs w:val="20"/>
    </w:rPr>
  </w:style>
  <w:style w:type="paragraph" w:customStyle="1" w:styleId="459">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b/>
      <w:bCs/>
      <w:kern w:val="0"/>
      <w:sz w:val="20"/>
      <w:szCs w:val="20"/>
    </w:rPr>
  </w:style>
  <w:style w:type="paragraph" w:customStyle="1" w:styleId="46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Verdana" w:hAnsi="Calibri" w:eastAsia="Verdana" w:cs="Calibri"/>
      <w:kern w:val="0"/>
      <w:sz w:val="20"/>
      <w:szCs w:val="20"/>
    </w:rPr>
  </w:style>
  <w:style w:type="paragraph" w:customStyle="1" w:styleId="461">
    <w:name w:val="xl241"/>
    <w:basedOn w:val="1"/>
    <w:qFormat/>
    <w:uiPriority w:val="0"/>
    <w:pPr>
      <w:widowControl/>
      <w:pBdr>
        <w:left w:val="single" w:color="000000" w:sz="8" w:space="0"/>
        <w:bottom w:val="single" w:color="000000" w:sz="8" w:space="0"/>
        <w:right w:val="single" w:color="000000" w:sz="8"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6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46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16"/>
      <w:szCs w:val="16"/>
    </w:rPr>
  </w:style>
  <w:style w:type="paragraph" w:customStyle="1" w:styleId="464">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color w:val="000000"/>
      <w:kern w:val="0"/>
      <w:sz w:val="20"/>
      <w:szCs w:val="20"/>
    </w:rPr>
  </w:style>
  <w:style w:type="paragraph" w:customStyle="1" w:styleId="465">
    <w:name w:val="xl5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66">
    <w:name w:val="报告正文-季度报告"/>
    <w:next w:val="1"/>
    <w:qFormat/>
    <w:uiPriority w:val="0"/>
    <w:pPr>
      <w:spacing w:afterLines="50"/>
      <w:ind w:left="2100" w:leftChars="1000" w:firstLine="451" w:firstLineChars="188"/>
      <w:jc w:val="both"/>
    </w:pPr>
    <w:rPr>
      <w:rFonts w:ascii="Times New Roman" w:hAnsi="Times New Roman" w:eastAsia="楷体_GB2312" w:cs="Times New Roman"/>
      <w:sz w:val="24"/>
      <w:lang w:val="en-US" w:eastAsia="zh-CN" w:bidi="ar-SA"/>
    </w:rPr>
  </w:style>
  <w:style w:type="paragraph" w:customStyle="1" w:styleId="467">
    <w:name w:val="样式 标题 3 + 左侧:  0 厘米 悬挂缩进: 8.51 字符 行距: 1.5 倍行距"/>
    <w:basedOn w:val="4"/>
    <w:qFormat/>
    <w:uiPriority w:val="0"/>
    <w:pPr>
      <w:keepNext w:val="0"/>
      <w:keepLines w:val="0"/>
      <w:numPr>
        <w:ilvl w:val="0"/>
        <w:numId w:val="0"/>
      </w:numPr>
      <w:tabs>
        <w:tab w:val="left" w:pos="425"/>
        <w:tab w:val="left" w:pos="720"/>
        <w:tab w:val="left" w:pos="1260"/>
      </w:tabs>
      <w:wordWrap w:val="0"/>
      <w:spacing w:before="100" w:beforeAutospacing="1" w:after="100" w:afterAutospacing="1"/>
      <w:ind w:left="425" w:hanging="425"/>
    </w:pPr>
    <w:rPr>
      <w:rFonts w:hint="eastAsia" w:ascii="Arial Narrow" w:hAnsi="Cambria" w:cs="Cambria Math"/>
      <w:b w:val="0"/>
      <w:bCs/>
      <w:color w:val="0000FF"/>
      <w:sz w:val="28"/>
      <w:szCs w:val="28"/>
    </w:rPr>
  </w:style>
  <w:style w:type="paragraph" w:customStyle="1" w:styleId="468">
    <w:name w:val="文"/>
    <w:basedOn w:val="1"/>
    <w:qFormat/>
    <w:uiPriority w:val="0"/>
    <w:pPr>
      <w:spacing w:line="480" w:lineRule="exact"/>
    </w:pPr>
    <w:rPr>
      <w:rFonts w:hAnsi="宋体"/>
      <w:szCs w:val="28"/>
    </w:rPr>
  </w:style>
  <w:style w:type="paragraph" w:customStyle="1" w:styleId="469">
    <w:name w:val="CM70"/>
    <w:basedOn w:val="320"/>
    <w:next w:val="320"/>
    <w:qFormat/>
    <w:uiPriority w:val="0"/>
    <w:pPr>
      <w:spacing w:after="318"/>
    </w:pPr>
    <w:rPr>
      <w:rFonts w:cs="仿宋_GB2312"/>
      <w:color w:val="auto"/>
      <w:sz w:val="28"/>
    </w:rPr>
  </w:style>
  <w:style w:type="paragraph" w:customStyle="1" w:styleId="470">
    <w:name w:val="样式 样式1 + 加粗"/>
    <w:basedOn w:val="1"/>
    <w:qFormat/>
    <w:uiPriority w:val="0"/>
    <w:pPr>
      <w:tabs>
        <w:tab w:val="left" w:pos="1680"/>
      </w:tabs>
      <w:ind w:firstLine="627" w:firstLineChars="196"/>
    </w:pPr>
    <w:rPr>
      <w:rFonts w:ascii="宋体" w:hAnsi="宋体"/>
      <w:sz w:val="32"/>
      <w:szCs w:val="20"/>
    </w:rPr>
  </w:style>
  <w:style w:type="paragraph" w:customStyle="1" w:styleId="471">
    <w:name w:val="CM21"/>
    <w:basedOn w:val="320"/>
    <w:next w:val="320"/>
    <w:qFormat/>
    <w:uiPriority w:val="0"/>
    <w:pPr>
      <w:spacing w:line="560" w:lineRule="atLeast"/>
    </w:pPr>
    <w:rPr>
      <w:rFonts w:cs="仿宋_GB2312"/>
      <w:color w:val="auto"/>
      <w:sz w:val="28"/>
    </w:rPr>
  </w:style>
  <w:style w:type="paragraph" w:customStyle="1" w:styleId="472">
    <w:name w:val="1标题"/>
    <w:basedOn w:val="1"/>
    <w:next w:val="1"/>
    <w:qFormat/>
    <w:uiPriority w:val="0"/>
    <w:pPr>
      <w:spacing w:before="200" w:after="200"/>
      <w:jc w:val="center"/>
    </w:pPr>
    <w:rPr>
      <w:rFonts w:eastAsia="黑体"/>
      <w:b/>
      <w:spacing w:val="10"/>
      <w:sz w:val="44"/>
      <w:szCs w:val="20"/>
    </w:rPr>
  </w:style>
  <w:style w:type="paragraph" w:customStyle="1" w:styleId="473">
    <w:name w:val="正文文本缩进 31"/>
    <w:basedOn w:val="1"/>
    <w:qFormat/>
    <w:uiPriority w:val="0"/>
    <w:pPr>
      <w:autoSpaceDE w:val="0"/>
      <w:autoSpaceDN w:val="0"/>
      <w:adjustRightInd w:val="0"/>
      <w:spacing w:line="440" w:lineRule="exact"/>
      <w:ind w:firstLine="480"/>
      <w:jc w:val="left"/>
    </w:pPr>
    <w:rPr>
      <w:sz w:val="24"/>
    </w:rPr>
  </w:style>
  <w:style w:type="paragraph" w:customStyle="1" w:styleId="4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kern w:val="0"/>
      <w:sz w:val="20"/>
      <w:szCs w:val="20"/>
    </w:rPr>
  </w:style>
  <w:style w:type="paragraph" w:customStyle="1" w:styleId="475">
    <w:name w:val="xl55"/>
    <w:basedOn w:val="1"/>
    <w:qFormat/>
    <w:uiPriority w:val="0"/>
    <w:pPr>
      <w:widowControl/>
      <w:pBdr>
        <w:top w:val="single" w:color="auto" w:sz="4" w:space="0"/>
        <w:bottom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76">
    <w:name w:val="Heading #1|1"/>
    <w:basedOn w:val="1"/>
    <w:qFormat/>
    <w:uiPriority w:val="0"/>
    <w:pPr>
      <w:spacing w:after="230"/>
      <w:ind w:firstLine="780"/>
      <w:outlineLvl w:val="0"/>
    </w:pPr>
    <w:rPr>
      <w:rFonts w:ascii="宋体" w:hAnsi="宋体" w:eastAsia="宋体" w:cs="宋体"/>
      <w:sz w:val="30"/>
      <w:szCs w:val="30"/>
      <w:lang w:val="zh-TW" w:eastAsia="zh-TW" w:bidi="zh-TW"/>
    </w:rPr>
  </w:style>
  <w:style w:type="paragraph" w:customStyle="1" w:styleId="477">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Verdana" w:hAnsi="Calibri" w:eastAsia="Verdana" w:cs="Calibri"/>
      <w:b/>
      <w:bCs/>
      <w:color w:val="000000"/>
      <w:kern w:val="0"/>
      <w:sz w:val="20"/>
      <w:szCs w:val="20"/>
    </w:rPr>
  </w:style>
  <w:style w:type="paragraph" w:customStyle="1" w:styleId="478">
    <w:name w:val="图形框文字"/>
    <w:qFormat/>
    <w:uiPriority w:val="0"/>
    <w:pPr>
      <w:widowControl w:val="0"/>
      <w:adjustRightInd w:val="0"/>
      <w:spacing w:line="240" w:lineRule="atLeast"/>
      <w:jc w:val="center"/>
      <w:textAlignment w:val="baseline"/>
    </w:pPr>
    <w:rPr>
      <w:rFonts w:ascii="Cambria" w:hAnsi="Cambria" w:eastAsia="宋体" w:cs="Cambria"/>
      <w:sz w:val="24"/>
      <w:lang w:val="en-US" w:eastAsia="zh-CN" w:bidi="ar-SA"/>
    </w:rPr>
  </w:style>
  <w:style w:type="paragraph" w:customStyle="1" w:styleId="479">
    <w:name w:val="font12"/>
    <w:basedOn w:val="1"/>
    <w:qFormat/>
    <w:uiPriority w:val="0"/>
    <w:pPr>
      <w:widowControl/>
      <w:spacing w:before="100" w:beforeAutospacing="1" w:after="100" w:afterAutospacing="1"/>
      <w:jc w:val="left"/>
    </w:pPr>
    <w:rPr>
      <w:color w:val="000000"/>
      <w:kern w:val="0"/>
      <w:sz w:val="20"/>
      <w:szCs w:val="20"/>
    </w:rPr>
  </w:style>
  <w:style w:type="paragraph" w:customStyle="1" w:styleId="480">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Calibri" w:eastAsia="Verdana" w:cs="Calibri"/>
      <w:kern w:val="0"/>
      <w:sz w:val="20"/>
      <w:szCs w:val="20"/>
    </w:rPr>
  </w:style>
  <w:style w:type="paragraph" w:customStyle="1" w:styleId="481">
    <w:name w:val="font17"/>
    <w:basedOn w:val="1"/>
    <w:qFormat/>
    <w:uiPriority w:val="0"/>
    <w:pPr>
      <w:widowControl/>
      <w:spacing w:before="100" w:beforeAutospacing="1" w:after="100" w:afterAutospacing="1"/>
      <w:jc w:val="left"/>
    </w:pPr>
    <w:rPr>
      <w:rFonts w:hint="eastAsia" w:ascii="宋体" w:hAnsi="宋体" w:eastAsia="宋体" w:cs="Arial Unicode MS"/>
      <w:color w:val="000000"/>
      <w:kern w:val="0"/>
      <w:sz w:val="18"/>
      <w:szCs w:val="18"/>
    </w:rPr>
  </w:style>
  <w:style w:type="paragraph" w:customStyle="1" w:styleId="482">
    <w:name w:val="表格头"/>
    <w:qFormat/>
    <w:uiPriority w:val="0"/>
    <w:pPr>
      <w:spacing w:before="120"/>
      <w:jc w:val="center"/>
    </w:pPr>
    <w:rPr>
      <w:rFonts w:ascii="Times New Roman" w:hAnsi="Times New Roman" w:eastAsia="Arial Narrow" w:cs="Times New Roman"/>
      <w:sz w:val="28"/>
      <w:szCs w:val="22"/>
      <w:lang w:val="en-US" w:eastAsia="zh-CN" w:bidi="ar-SA"/>
    </w:rPr>
  </w:style>
  <w:style w:type="paragraph" w:customStyle="1" w:styleId="483">
    <w:name w:val="font13"/>
    <w:basedOn w:val="1"/>
    <w:qFormat/>
    <w:uiPriority w:val="0"/>
    <w:pPr>
      <w:widowControl/>
      <w:spacing w:before="100" w:beforeAutospacing="1" w:after="100" w:afterAutospacing="1"/>
      <w:jc w:val="left"/>
    </w:pPr>
    <w:rPr>
      <w:rFonts w:eastAsia="Arial Unicode MS"/>
      <w:b/>
      <w:bCs/>
      <w:kern w:val="0"/>
      <w:sz w:val="24"/>
    </w:rPr>
  </w:style>
  <w:style w:type="paragraph" w:customStyle="1" w:styleId="484">
    <w:name w:val="表标题-季度报告"/>
    <w:next w:val="1"/>
    <w:qFormat/>
    <w:uiPriority w:val="0"/>
    <w:pPr>
      <w:tabs>
        <w:tab w:val="left" w:pos="540"/>
        <w:tab w:val="left" w:pos="1080"/>
      </w:tabs>
      <w:spacing w:afterLines="50"/>
      <w:ind w:left="420" w:hanging="420"/>
    </w:pPr>
    <w:rPr>
      <w:rFonts w:ascii="黑体" w:hAnsi="Times New Roman" w:eastAsia="黑体" w:cs="Times New Roman"/>
      <w:w w:val="90"/>
      <w:sz w:val="21"/>
      <w:lang w:val="en-US" w:eastAsia="zh-CN" w:bidi="ar-SA"/>
    </w:rPr>
  </w:style>
  <w:style w:type="paragraph" w:customStyle="1" w:styleId="485">
    <w:name w:val="Char2"/>
    <w:basedOn w:val="1"/>
    <w:qFormat/>
    <w:uiPriority w:val="0"/>
    <w:pPr>
      <w:widowControl/>
      <w:jc w:val="left"/>
    </w:pPr>
    <w:rPr>
      <w:rFonts w:ascii="Calibri" w:hAnsi="Calibri" w:cs="Calibri"/>
      <w:kern w:val="0"/>
      <w:sz w:val="24"/>
    </w:rPr>
  </w:style>
  <w:style w:type="paragraph" w:customStyle="1" w:styleId="486">
    <w:name w:val="样式 标题 2 + (西文) Tw Cen MT (中文) 仿宋_GB2312 小三 行距: 最小值 1.25 磅"/>
    <w:basedOn w:val="3"/>
    <w:qFormat/>
    <w:uiPriority w:val="0"/>
    <w:pPr>
      <w:numPr>
        <w:ilvl w:val="0"/>
        <w:numId w:val="0"/>
      </w:numPr>
      <w:adjustRightInd/>
      <w:snapToGrid/>
      <w:spacing w:before="100" w:beforeAutospacing="1" w:after="100" w:afterAutospacing="1"/>
    </w:pPr>
    <w:rPr>
      <w:rFonts w:eastAsia="Calibri"/>
      <w:b w:val="0"/>
      <w:spacing w:val="0"/>
      <w:kern w:val="2"/>
      <w:position w:val="0"/>
    </w:rPr>
  </w:style>
  <w:style w:type="paragraph" w:customStyle="1" w:styleId="48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D7D7D7"/>
      <w:spacing w:before="100" w:beforeAutospacing="1" w:after="100" w:afterAutospacing="1"/>
      <w:jc w:val="center"/>
    </w:pPr>
    <w:rPr>
      <w:kern w:val="0"/>
      <w:sz w:val="20"/>
      <w:szCs w:val="20"/>
    </w:rPr>
  </w:style>
  <w:style w:type="paragraph" w:customStyle="1" w:styleId="488">
    <w:name w:val="表格后空行"/>
    <w:basedOn w:val="1"/>
    <w:next w:val="1"/>
    <w:qFormat/>
    <w:uiPriority w:val="0"/>
    <w:pPr>
      <w:adjustRightInd w:val="0"/>
      <w:spacing w:line="240" w:lineRule="atLeast"/>
    </w:pPr>
    <w:rPr>
      <w:rFonts w:ascii="Garamond" w:hAnsi="Garamond" w:eastAsia="宋体"/>
      <w:spacing w:val="2"/>
      <w:sz w:val="18"/>
      <w:szCs w:val="20"/>
    </w:rPr>
  </w:style>
  <w:style w:type="paragraph" w:customStyle="1" w:styleId="489">
    <w:name w:val="xl6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490">
    <w:name w:val="1.1项目概括"/>
    <w:basedOn w:val="3"/>
    <w:qFormat/>
    <w:uiPriority w:val="0"/>
    <w:pPr>
      <w:numPr>
        <w:ilvl w:val="0"/>
        <w:numId w:val="0"/>
      </w:numPr>
      <w:adjustRightInd/>
      <w:snapToGrid/>
      <w:spacing w:before="160" w:after="160" w:line="240" w:lineRule="auto"/>
    </w:pPr>
    <w:rPr>
      <w:rFonts w:eastAsia="Calibri"/>
      <w:b w:val="0"/>
      <w:bCs/>
      <w:spacing w:val="0"/>
      <w:kern w:val="2"/>
      <w:position w:val="0"/>
      <w:sz w:val="30"/>
    </w:rPr>
  </w:style>
  <w:style w:type="paragraph" w:customStyle="1" w:styleId="491">
    <w:name w:val="xl152"/>
    <w:basedOn w:val="1"/>
    <w:qFormat/>
    <w:uiPriority w:val="0"/>
    <w:pPr>
      <w:widowControl/>
      <w:pBdr>
        <w:bottom w:val="single" w:color="auto" w:sz="4" w:space="0"/>
      </w:pBdr>
      <w:spacing w:before="100" w:beforeAutospacing="1" w:after="100" w:afterAutospacing="1"/>
      <w:jc w:val="left"/>
    </w:pPr>
    <w:rPr>
      <w:rFonts w:ascii="Verdana" w:hAnsi="Calibri" w:eastAsia="Verdana" w:cs="Calibri"/>
      <w:kern w:val="0"/>
      <w:sz w:val="24"/>
    </w:rPr>
  </w:style>
  <w:style w:type="paragraph" w:customStyle="1" w:styleId="492">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b/>
      <w:bCs/>
      <w:color w:val="000000"/>
      <w:kern w:val="0"/>
      <w:sz w:val="16"/>
      <w:szCs w:val="16"/>
    </w:rPr>
  </w:style>
  <w:style w:type="paragraph" w:customStyle="1" w:styleId="493">
    <w:name w:val="Char Char Char1"/>
    <w:basedOn w:val="1"/>
    <w:qFormat/>
    <w:uiPriority w:val="0"/>
  </w:style>
  <w:style w:type="paragraph" w:customStyle="1" w:styleId="49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kern w:val="0"/>
      <w:sz w:val="20"/>
      <w:szCs w:val="20"/>
    </w:rPr>
  </w:style>
  <w:style w:type="paragraph" w:customStyle="1" w:styleId="495">
    <w:name w:val="表左齐"/>
    <w:basedOn w:val="327"/>
    <w:qFormat/>
    <w:uiPriority w:val="0"/>
    <w:pPr>
      <w:adjustRightInd/>
      <w:ind w:left="-140" w:leftChars="-50" w:right="-50" w:rightChars="-50" w:firstLine="55"/>
      <w:jc w:val="left"/>
    </w:pPr>
    <w:rPr>
      <w:color w:val="FF0000"/>
      <w:kern w:val="2"/>
    </w:rPr>
  </w:style>
  <w:style w:type="paragraph" w:customStyle="1" w:styleId="496">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Verdana" w:hAnsi="Calibri" w:eastAsia="Verdana" w:cs="Calibri"/>
      <w:color w:val="000000"/>
      <w:kern w:val="0"/>
      <w:sz w:val="20"/>
      <w:szCs w:val="20"/>
    </w:rPr>
  </w:style>
  <w:style w:type="paragraph" w:customStyle="1" w:styleId="497">
    <w:name w:val="默认段落字体 Para Char Char Char Char Char Char Char Char Char Char"/>
    <w:basedOn w:val="1"/>
    <w:qFormat/>
    <w:uiPriority w:val="0"/>
    <w:pPr>
      <w:adjustRightInd w:val="0"/>
      <w:spacing w:line="360" w:lineRule="atLeast"/>
      <w:textAlignment w:val="baseline"/>
    </w:pPr>
    <w:rPr>
      <w:rFonts w:ascii="Arial" w:hAnsi="Arial" w:eastAsia="宋体" w:cs="Arial"/>
      <w:sz w:val="20"/>
      <w:szCs w:val="20"/>
    </w:rPr>
  </w:style>
  <w:style w:type="paragraph" w:customStyle="1" w:styleId="49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szCs w:val="20"/>
    </w:rPr>
  </w:style>
  <w:style w:type="paragraph" w:customStyle="1" w:styleId="499">
    <w:name w:val="xl99"/>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kern w:val="0"/>
      <w:sz w:val="20"/>
      <w:szCs w:val="20"/>
    </w:rPr>
  </w:style>
  <w:style w:type="paragraph" w:customStyle="1" w:styleId="500">
    <w:name w:val="xl87"/>
    <w:basedOn w:val="1"/>
    <w:qFormat/>
    <w:uiPriority w:val="0"/>
    <w:pPr>
      <w:widowControl/>
      <w:spacing w:before="100" w:beforeAutospacing="1" w:after="100" w:afterAutospacing="1"/>
      <w:jc w:val="left"/>
    </w:pPr>
    <w:rPr>
      <w:rFonts w:ascii="Calibri" w:hAnsi="Calibri" w:cs="Calibri"/>
      <w:color w:val="FF0000"/>
      <w:kern w:val="0"/>
      <w:sz w:val="24"/>
    </w:rPr>
  </w:style>
  <w:style w:type="paragraph" w:customStyle="1" w:styleId="501">
    <w:name w:val="xl34"/>
    <w:basedOn w:val="1"/>
    <w:qFormat/>
    <w:uiPriority w:val="0"/>
    <w:pPr>
      <w:widowControl/>
      <w:pBdr>
        <w:bottom w:val="single" w:color="auto" w:sz="4" w:space="0"/>
      </w:pBdr>
      <w:spacing w:before="100" w:beforeAutospacing="1" w:after="100" w:afterAutospacing="1"/>
      <w:jc w:val="center"/>
    </w:pPr>
    <w:rPr>
      <w:rFonts w:hint="eastAsia" w:ascii="宋体" w:hAnsi="宋体" w:eastAsia="宋体"/>
      <w:kern w:val="0"/>
      <w:sz w:val="24"/>
    </w:rPr>
  </w:style>
  <w:style w:type="paragraph" w:customStyle="1" w:styleId="502">
    <w:name w:val="xl16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503">
    <w:name w:val="xl4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kern w:val="0"/>
      <w:sz w:val="24"/>
    </w:rPr>
  </w:style>
  <w:style w:type="paragraph" w:customStyle="1" w:styleId="504">
    <w:name w:val="我的标题3"/>
    <w:basedOn w:val="1"/>
    <w:next w:val="1"/>
    <w:qFormat/>
    <w:uiPriority w:val="0"/>
    <w:pPr>
      <w:tabs>
        <w:tab w:val="left" w:pos="0"/>
      </w:tabs>
    </w:pPr>
    <w:rPr>
      <w:rFonts w:ascii="Arial Narrow" w:eastAsia="Arial Narrow"/>
      <w:sz w:val="30"/>
      <w:szCs w:val="30"/>
    </w:rPr>
  </w:style>
  <w:style w:type="paragraph" w:customStyle="1" w:styleId="505">
    <w:name w:val="恒智正文"/>
    <w:basedOn w:val="1"/>
    <w:qFormat/>
    <w:uiPriority w:val="0"/>
    <w:pPr>
      <w:ind w:firstLine="480"/>
    </w:pPr>
    <w:rPr>
      <w:sz w:val="24"/>
    </w:rPr>
  </w:style>
  <w:style w:type="paragraph" w:customStyle="1" w:styleId="506">
    <w:name w:val="排，正文"/>
    <w:basedOn w:val="1"/>
    <w:qFormat/>
    <w:uiPriority w:val="0"/>
    <w:pPr>
      <w:adjustRightInd w:val="0"/>
      <w:spacing w:line="500" w:lineRule="exact"/>
      <w:ind w:firstLine="630" w:firstLineChars="225"/>
    </w:pPr>
    <w:rPr>
      <w:rFonts w:ascii="宋体" w:hAnsi="宋体" w:eastAsia="宋体"/>
      <w:color w:val="000000"/>
      <w:szCs w:val="20"/>
    </w:rPr>
  </w:style>
  <w:style w:type="paragraph" w:customStyle="1" w:styleId="507">
    <w:name w:val="正文文本 31"/>
    <w:basedOn w:val="1"/>
    <w:qFormat/>
    <w:uiPriority w:val="0"/>
    <w:pPr>
      <w:adjustRightInd w:val="0"/>
      <w:jc w:val="center"/>
    </w:pPr>
    <w:rPr>
      <w:rFonts w:ascii="Calibri"/>
      <w:b/>
      <w:color w:val="FF0000"/>
      <w:kern w:val="0"/>
      <w:sz w:val="24"/>
      <w:szCs w:val="20"/>
      <w:u w:val="single"/>
    </w:rPr>
  </w:style>
  <w:style w:type="paragraph" w:customStyle="1" w:styleId="508">
    <w:name w:val="font1"/>
    <w:basedOn w:val="1"/>
    <w:qFormat/>
    <w:uiPriority w:val="0"/>
    <w:pPr>
      <w:widowControl/>
      <w:spacing w:before="100" w:beforeAutospacing="1" w:after="100" w:afterAutospacing="1"/>
      <w:jc w:val="left"/>
    </w:pPr>
    <w:rPr>
      <w:rFonts w:hint="eastAsia" w:ascii="宋体" w:hAnsi="宋体" w:eastAsia="宋体" w:cs="Arial Unicode MS"/>
      <w:kern w:val="0"/>
      <w:sz w:val="24"/>
    </w:rPr>
  </w:style>
  <w:style w:type="paragraph" w:customStyle="1" w:styleId="509">
    <w:name w:val="_Style 195"/>
    <w:basedOn w:val="2"/>
    <w:next w:val="1"/>
    <w:qFormat/>
    <w:uiPriority w:val="39"/>
    <w:pPr>
      <w:widowControl/>
      <w:numPr>
        <w:numId w:val="0"/>
      </w:numPr>
      <w:spacing w:before="480" w:after="0" w:line="276" w:lineRule="auto"/>
      <w:jc w:val="left"/>
      <w:outlineLvl w:val="9"/>
    </w:pPr>
    <w:rPr>
      <w:rFonts w:ascii="黑体" w:hAnsi="黑体" w:eastAsia="Calibri"/>
      <w:b w:val="0"/>
      <w:bCs/>
      <w:color w:val="365F91"/>
      <w:kern w:val="0"/>
      <w:sz w:val="28"/>
      <w:szCs w:val="28"/>
    </w:rPr>
  </w:style>
  <w:style w:type="paragraph" w:customStyle="1" w:styleId="510">
    <w:name w:val="xl126"/>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Calibri"/>
      <w:kern w:val="0"/>
      <w:sz w:val="24"/>
    </w:rPr>
  </w:style>
  <w:style w:type="paragraph" w:customStyle="1" w:styleId="511">
    <w:name w:val="样式 样式 样式 正文首行缩进 2 + 首行缩进:  2.5 字符 + 首行缩进:  2 字符 Char + 首行缩进:  2 ... Char"/>
    <w:basedOn w:val="1"/>
    <w:qFormat/>
    <w:uiPriority w:val="0"/>
    <w:pPr>
      <w:adjustRightInd w:val="0"/>
      <w:ind w:firstLine="200"/>
      <w:textAlignment w:val="baseline"/>
    </w:pPr>
    <w:rPr>
      <w:rFonts w:ascii="Calibri" w:cs="Calibri"/>
      <w:kern w:val="0"/>
      <w:sz w:val="24"/>
    </w:rPr>
  </w:style>
  <w:style w:type="paragraph" w:customStyle="1" w:styleId="512">
    <w:name w:val="2号标题"/>
    <w:basedOn w:val="3"/>
    <w:qFormat/>
    <w:uiPriority w:val="0"/>
    <w:pPr>
      <w:numPr>
        <w:ilvl w:val="0"/>
        <w:numId w:val="0"/>
      </w:numPr>
      <w:adjustRightInd/>
      <w:spacing w:before="0" w:afterLines="50" w:line="600" w:lineRule="exact"/>
    </w:pPr>
    <w:rPr>
      <w:rFonts w:hAnsi="Arial"/>
      <w:bCs/>
      <w:spacing w:val="0"/>
      <w:kern w:val="2"/>
      <w:position w:val="0"/>
    </w:rPr>
  </w:style>
  <w:style w:type="paragraph" w:customStyle="1" w:styleId="513">
    <w:name w:val="xl76"/>
    <w:basedOn w:val="1"/>
    <w:qFormat/>
    <w:uiPriority w:val="0"/>
    <w:pPr>
      <w:widowControl/>
      <w:spacing w:before="100" w:beforeAutospacing="1" w:after="100" w:afterAutospacing="1"/>
      <w:jc w:val="left"/>
    </w:pPr>
    <w:rPr>
      <w:rFonts w:ascii="Calibri" w:hAnsi="Calibri" w:cs="Calibri"/>
      <w:kern w:val="0"/>
      <w:sz w:val="20"/>
      <w:szCs w:val="20"/>
    </w:rPr>
  </w:style>
  <w:style w:type="paragraph" w:customStyle="1" w:styleId="514">
    <w:name w:val="xl133"/>
    <w:basedOn w:val="1"/>
    <w:qFormat/>
    <w:uiPriority w:val="0"/>
    <w:pPr>
      <w:widowControl/>
      <w:pBdr>
        <w:right w:val="single" w:color="auto" w:sz="4" w:space="0"/>
      </w:pBdr>
      <w:spacing w:before="100" w:beforeAutospacing="1" w:after="100" w:afterAutospacing="1"/>
      <w:jc w:val="center"/>
    </w:pPr>
    <w:rPr>
      <w:b/>
      <w:bCs/>
      <w:kern w:val="0"/>
      <w:sz w:val="20"/>
      <w:szCs w:val="20"/>
    </w:rPr>
  </w:style>
  <w:style w:type="paragraph" w:customStyle="1" w:styleId="515">
    <w:name w:val="样式2"/>
    <w:basedOn w:val="5"/>
    <w:qFormat/>
    <w:uiPriority w:val="0"/>
    <w:rPr>
      <w:rFonts w:ascii="Cambria" w:hAnsi="Cambria"/>
    </w:rPr>
  </w:style>
  <w:style w:type="paragraph" w:customStyle="1" w:styleId="516">
    <w:name w:val="一号标题"/>
    <w:basedOn w:val="2"/>
    <w:qFormat/>
    <w:uiPriority w:val="0"/>
    <w:pPr>
      <w:numPr>
        <w:numId w:val="0"/>
      </w:numPr>
      <w:snapToGrid w:val="0"/>
      <w:spacing w:before="0" w:beforeLines="300" w:after="0" w:afterLines="300" w:line="600" w:lineRule="exact"/>
    </w:pPr>
    <w:rPr>
      <w:b w:val="0"/>
      <w:bCs/>
      <w:szCs w:val="44"/>
    </w:rPr>
  </w:style>
  <w:style w:type="paragraph" w:customStyle="1" w:styleId="517">
    <w:name w:val="font5"/>
    <w:basedOn w:val="1"/>
    <w:qFormat/>
    <w:uiPriority w:val="0"/>
    <w:pPr>
      <w:widowControl/>
      <w:spacing w:before="100" w:beforeAutospacing="1" w:after="100" w:afterAutospacing="1"/>
      <w:jc w:val="left"/>
    </w:pPr>
    <w:rPr>
      <w:rFonts w:ascii="Calibri" w:hAnsi="Calibri" w:cs="Calibri"/>
      <w:kern w:val="0"/>
      <w:sz w:val="18"/>
      <w:szCs w:val="18"/>
    </w:rPr>
  </w:style>
  <w:style w:type="paragraph" w:customStyle="1" w:styleId="518">
    <w:name w:val="标题行"/>
    <w:basedOn w:val="1"/>
    <w:next w:val="25"/>
    <w:qFormat/>
    <w:uiPriority w:val="0"/>
    <w:pPr>
      <w:jc w:val="center"/>
    </w:pPr>
    <w:rPr>
      <w:rFonts w:ascii="Calibri" w:hAnsi="Calibri"/>
    </w:rPr>
  </w:style>
  <w:style w:type="paragraph" w:customStyle="1" w:styleId="519">
    <w:name w:val="xl134"/>
    <w:basedOn w:val="1"/>
    <w:qFormat/>
    <w:uiPriority w:val="0"/>
    <w:pPr>
      <w:widowControl/>
      <w:pBdr>
        <w:left w:val="single" w:color="auto" w:sz="4" w:space="0"/>
        <w:bottom w:val="single" w:color="auto" w:sz="4" w:space="0"/>
      </w:pBdr>
      <w:spacing w:before="100" w:beforeAutospacing="1" w:after="100" w:afterAutospacing="1"/>
      <w:jc w:val="center"/>
    </w:pPr>
    <w:rPr>
      <w:b/>
      <w:bCs/>
      <w:kern w:val="0"/>
      <w:sz w:val="20"/>
      <w:szCs w:val="20"/>
    </w:rPr>
  </w:style>
  <w:style w:type="paragraph" w:customStyle="1" w:styleId="520">
    <w:name w:val="xl52"/>
    <w:basedOn w:val="1"/>
    <w:qFormat/>
    <w:uiPriority w:val="0"/>
    <w:pPr>
      <w:widowControl/>
      <w:pBdr>
        <w:top w:val="single" w:color="auto" w:sz="4" w:space="0"/>
        <w:left w:val="single" w:color="auto" w:sz="4" w:space="0"/>
        <w:bottom w:val="double" w:color="auto" w:sz="6" w:space="0"/>
        <w:right w:val="double" w:color="auto" w:sz="6" w:space="0"/>
      </w:pBdr>
      <w:shd w:val="clear" w:color="auto" w:fill="FFCC99"/>
      <w:spacing w:before="100" w:beforeAutospacing="1" w:after="100" w:afterAutospacing="1"/>
      <w:jc w:val="right"/>
      <w:textAlignment w:val="center"/>
    </w:pPr>
    <w:rPr>
      <w:rFonts w:eastAsia="Arial Unicode MS"/>
      <w:b/>
      <w:bCs/>
      <w:kern w:val="0"/>
      <w:sz w:val="22"/>
      <w:szCs w:val="22"/>
    </w:rPr>
  </w:style>
  <w:style w:type="paragraph" w:customStyle="1" w:styleId="521">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color w:val="000000"/>
      <w:kern w:val="0"/>
      <w:sz w:val="20"/>
      <w:szCs w:val="20"/>
    </w:rPr>
  </w:style>
  <w:style w:type="paragraph" w:customStyle="1" w:styleId="522">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5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524">
    <w:name w:val="Char3"/>
    <w:basedOn w:val="1"/>
    <w:qFormat/>
    <w:uiPriority w:val="0"/>
  </w:style>
  <w:style w:type="paragraph" w:customStyle="1" w:styleId="525">
    <w:name w:val="xl15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26">
    <w:name w:val="Body text|3"/>
    <w:basedOn w:val="1"/>
    <w:qFormat/>
    <w:uiPriority w:val="0"/>
    <w:pPr>
      <w:spacing w:line="583" w:lineRule="exact"/>
    </w:pPr>
    <w:rPr>
      <w:rFonts w:ascii="宋体" w:hAnsi="宋体" w:eastAsia="宋体" w:cs="宋体"/>
      <w:b/>
      <w:bCs/>
      <w:sz w:val="32"/>
      <w:szCs w:val="32"/>
      <w:lang w:val="zh-TW" w:eastAsia="zh-TW" w:bidi="zh-TW"/>
    </w:rPr>
  </w:style>
  <w:style w:type="paragraph" w:customStyle="1" w:styleId="527">
    <w:name w:val="样式 首行缩进:  2 字符2"/>
    <w:basedOn w:val="1"/>
    <w:qFormat/>
    <w:uiPriority w:val="0"/>
    <w:pPr>
      <w:ind w:firstLine="200"/>
    </w:pPr>
    <w:rPr>
      <w:rFonts w:cs="Calibri"/>
      <w:szCs w:val="20"/>
    </w:rPr>
  </w:style>
  <w:style w:type="paragraph" w:customStyle="1" w:styleId="52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529">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color w:val="FF0000"/>
      <w:kern w:val="0"/>
      <w:sz w:val="16"/>
      <w:szCs w:val="16"/>
    </w:rPr>
  </w:style>
  <w:style w:type="paragraph" w:customStyle="1" w:styleId="53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kern w:val="0"/>
      <w:sz w:val="24"/>
    </w:rPr>
  </w:style>
  <w:style w:type="paragraph" w:customStyle="1" w:styleId="531">
    <w:name w:val="L正文"/>
    <w:basedOn w:val="1"/>
    <w:qFormat/>
    <w:uiPriority w:val="0"/>
    <w:pPr>
      <w:ind w:firstLine="200"/>
    </w:pPr>
    <w:rPr>
      <w:rFonts w:cs="Arial"/>
      <w:bCs/>
      <w:sz w:val="24"/>
    </w:rPr>
  </w:style>
  <w:style w:type="paragraph" w:customStyle="1" w:styleId="532">
    <w:name w:val="_Style 20"/>
    <w:basedOn w:val="1"/>
    <w:qFormat/>
    <w:uiPriority w:val="0"/>
    <w:pPr>
      <w:widowControl/>
      <w:spacing w:after="160" w:line="240" w:lineRule="exact"/>
      <w:jc w:val="left"/>
    </w:pPr>
    <w:rPr>
      <w:rFonts w:ascii="Verdana" w:hAnsi="Verdana"/>
      <w:kern w:val="0"/>
      <w:sz w:val="24"/>
      <w:szCs w:val="20"/>
      <w:lang w:eastAsia="en-US"/>
    </w:rPr>
  </w:style>
  <w:style w:type="paragraph" w:customStyle="1" w:styleId="533">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534">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Calibri" w:hAnsi="Calibri" w:cs="Calibri"/>
      <w:b/>
      <w:bCs/>
      <w:kern w:val="0"/>
      <w:sz w:val="30"/>
      <w:szCs w:val="30"/>
    </w:rPr>
  </w:style>
  <w:style w:type="paragraph" w:customStyle="1" w:styleId="535">
    <w:name w:val="Table caption|1"/>
    <w:basedOn w:val="1"/>
    <w:qFormat/>
    <w:uiPriority w:val="0"/>
    <w:pPr>
      <w:ind w:firstLine="900"/>
    </w:pPr>
    <w:rPr>
      <w:rFonts w:ascii="宋体" w:hAnsi="宋体" w:eastAsia="宋体" w:cs="宋体"/>
      <w:sz w:val="16"/>
      <w:szCs w:val="16"/>
      <w:lang w:val="zh-TW" w:eastAsia="zh-TW" w:bidi="zh-TW"/>
    </w:rPr>
  </w:style>
  <w:style w:type="paragraph" w:customStyle="1" w:styleId="53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537">
    <w:name w:val="正文 New New New New New New New New New New New New New"/>
    <w:qFormat/>
    <w:uiPriority w:val="0"/>
    <w:pPr>
      <w:widowControl w:val="0"/>
      <w:jc w:val="both"/>
    </w:pPr>
    <w:rPr>
      <w:rFonts w:ascii="Yu Mincho Light" w:hAnsi="Yu Mincho Light" w:eastAsia="宋体" w:cs="Times New Roman"/>
      <w:kern w:val="2"/>
      <w:sz w:val="21"/>
      <w:szCs w:val="24"/>
      <w:lang w:val="en-US" w:eastAsia="zh-CN" w:bidi="ar-SA"/>
    </w:rPr>
  </w:style>
  <w:style w:type="paragraph" w:customStyle="1" w:styleId="538">
    <w:name w:val="不缩进"/>
    <w:basedOn w:val="1"/>
    <w:qFormat/>
    <w:uiPriority w:val="0"/>
    <w:pPr>
      <w:adjustRightInd w:val="0"/>
      <w:snapToGrid w:val="0"/>
      <w:spacing w:line="280" w:lineRule="atLeast"/>
      <w:jc w:val="center"/>
    </w:pPr>
    <w:rPr>
      <w:rFonts w:ascii="Calibri" w:hAnsi="Calibri"/>
    </w:rPr>
  </w:style>
  <w:style w:type="paragraph" w:customStyle="1" w:styleId="539">
    <w:name w:val="正文(首行缩进2字)"/>
    <w:basedOn w:val="1"/>
    <w:next w:val="1"/>
    <w:qFormat/>
    <w:uiPriority w:val="0"/>
    <w:pPr>
      <w:tabs>
        <w:tab w:val="left" w:pos="3891"/>
      </w:tabs>
      <w:suppressAutoHyphens/>
      <w:adjustRightInd w:val="0"/>
      <w:spacing w:line="600" w:lineRule="exact"/>
    </w:pPr>
    <w:rPr>
      <w:rFonts w:eastAsia="Courier New"/>
      <w:bCs/>
      <w:szCs w:val="28"/>
    </w:rPr>
  </w:style>
  <w:style w:type="paragraph" w:customStyle="1" w:styleId="540">
    <w:name w:val="xl128"/>
    <w:basedOn w:val="1"/>
    <w:qFormat/>
    <w:uiPriority w:val="0"/>
    <w:pPr>
      <w:widowControl/>
      <w:pBdr>
        <w:top w:val="single" w:color="auto" w:sz="4" w:space="0"/>
        <w:left w:val="single" w:color="auto" w:sz="4" w:space="0"/>
      </w:pBdr>
      <w:spacing w:before="100" w:beforeAutospacing="1" w:after="100" w:afterAutospacing="1"/>
      <w:jc w:val="center"/>
    </w:pPr>
    <w:rPr>
      <w:b/>
      <w:bCs/>
      <w:kern w:val="0"/>
      <w:sz w:val="20"/>
      <w:szCs w:val="20"/>
    </w:rPr>
  </w:style>
  <w:style w:type="paragraph" w:customStyle="1" w:styleId="541">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kern w:val="0"/>
      <w:sz w:val="20"/>
      <w:szCs w:val="20"/>
    </w:rPr>
  </w:style>
  <w:style w:type="paragraph" w:customStyle="1" w:styleId="542">
    <w:name w:val="首行缩进:  2 字符2"/>
    <w:basedOn w:val="1"/>
    <w:qFormat/>
    <w:uiPriority w:val="0"/>
    <w:pPr>
      <w:jc w:val="left"/>
    </w:pPr>
    <w:rPr>
      <w:rFonts w:ascii="Calibri" w:hAnsi="Calibri"/>
      <w:color w:val="000000"/>
      <w:sz w:val="24"/>
      <w:szCs w:val="20"/>
    </w:rPr>
  </w:style>
  <w:style w:type="paragraph" w:customStyle="1" w:styleId="543">
    <w:name w:val="正文 New New New New New New New New New"/>
    <w:next w:val="1"/>
    <w:qFormat/>
    <w:uiPriority w:val="0"/>
    <w:pPr>
      <w:widowControl w:val="0"/>
      <w:jc w:val="both"/>
    </w:pPr>
    <w:rPr>
      <w:rFonts w:ascii="Yu Mincho Light" w:hAnsi="Yu Mincho Light" w:eastAsia="宋体" w:cs="Times New Roman"/>
      <w:kern w:val="2"/>
      <w:sz w:val="21"/>
      <w:szCs w:val="24"/>
      <w:lang w:val="en-US" w:eastAsia="zh-CN" w:bidi="ar-SA"/>
    </w:rPr>
  </w:style>
  <w:style w:type="paragraph" w:customStyle="1" w:styleId="544">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Verdana" w:hAnsi="Calibri" w:eastAsia="Verdana" w:cs="Calibri"/>
      <w:kern w:val="0"/>
      <w:sz w:val="20"/>
      <w:szCs w:val="20"/>
    </w:rPr>
  </w:style>
  <w:style w:type="paragraph" w:customStyle="1" w:styleId="545">
    <w:name w:val="Char11"/>
    <w:basedOn w:val="1"/>
    <w:qFormat/>
    <w:uiPriority w:val="0"/>
    <w:pPr>
      <w:snapToGrid w:val="0"/>
      <w:spacing w:line="600" w:lineRule="exact"/>
      <w:ind w:firstLine="200"/>
    </w:pPr>
    <w:rPr>
      <w:rFonts w:eastAsia="宋体"/>
      <w:sz w:val="24"/>
    </w:rPr>
  </w:style>
  <w:style w:type="paragraph" w:customStyle="1" w:styleId="54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0"/>
      <w:szCs w:val="20"/>
    </w:rPr>
  </w:style>
  <w:style w:type="paragraph" w:customStyle="1" w:styleId="547">
    <w:name w:val="xl53"/>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eastAsia="Arial Unicode MS"/>
      <w:kern w:val="0"/>
      <w:sz w:val="20"/>
      <w:szCs w:val="20"/>
    </w:rPr>
  </w:style>
  <w:style w:type="paragraph" w:customStyle="1" w:styleId="548">
    <w:name w:val="编号1."/>
    <w:basedOn w:val="1"/>
    <w:qFormat/>
    <w:uiPriority w:val="0"/>
    <w:pPr>
      <w:tabs>
        <w:tab w:val="left" w:pos="907"/>
      </w:tabs>
    </w:pPr>
    <w:rPr>
      <w:rFonts w:eastAsia="宋体"/>
      <w:szCs w:val="22"/>
    </w:rPr>
  </w:style>
  <w:style w:type="paragraph" w:customStyle="1" w:styleId="549">
    <w:name w:val="xl2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Calibri" w:hAnsi="Calibri"/>
      <w:kern w:val="0"/>
      <w:sz w:val="24"/>
    </w:rPr>
  </w:style>
  <w:style w:type="paragraph" w:customStyle="1" w:styleId="550">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Calibri" w:eastAsia="Verdana" w:cs="Calibri"/>
      <w:b/>
      <w:bCs/>
      <w:kern w:val="0"/>
      <w:sz w:val="20"/>
      <w:szCs w:val="20"/>
    </w:rPr>
  </w:style>
  <w:style w:type="paragraph" w:customStyle="1" w:styleId="55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552">
    <w:name w:val="三级标题齐行"/>
    <w:basedOn w:val="1"/>
    <w:qFormat/>
    <w:uiPriority w:val="0"/>
    <w:pPr>
      <w:snapToGrid w:val="0"/>
      <w:spacing w:line="320" w:lineRule="exact"/>
      <w:ind w:left="998" w:leftChars="200" w:hanging="104" w:hangingChars="104"/>
      <w:jc w:val="left"/>
    </w:pPr>
    <w:rPr>
      <w:rFonts w:ascii="楷体_GB2312" w:hAnsi="Courier New" w:eastAsia="楷体_GB2312"/>
      <w:sz w:val="24"/>
    </w:rPr>
  </w:style>
  <w:style w:type="paragraph" w:customStyle="1" w:styleId="553">
    <w:name w:val="样式 首行缩进:  2 字符"/>
    <w:basedOn w:val="1"/>
    <w:qFormat/>
    <w:uiPriority w:val="0"/>
    <w:pPr>
      <w:spacing w:beforeLines="20" w:afterLines="20"/>
    </w:pPr>
    <w:rPr>
      <w:rFonts w:ascii="宋体" w:hAnsi="宋体" w:eastAsia="宋体" w:cs="宋体"/>
      <w:szCs w:val="20"/>
    </w:rPr>
  </w:style>
  <w:style w:type="paragraph" w:customStyle="1" w:styleId="554">
    <w:name w:val="xl239"/>
    <w:basedOn w:val="1"/>
    <w:qFormat/>
    <w:uiPriority w:val="0"/>
    <w:pPr>
      <w:widowControl/>
      <w:pBdr>
        <w:top w:val="single" w:color="000000" w:sz="8" w:space="0"/>
        <w:bottom w:val="single" w:color="000000" w:sz="8"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55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D7D7D7"/>
      <w:spacing w:before="100" w:beforeAutospacing="1" w:after="100" w:afterAutospacing="1"/>
      <w:jc w:val="center"/>
    </w:pPr>
    <w:rPr>
      <w:kern w:val="0"/>
      <w:sz w:val="20"/>
      <w:szCs w:val="20"/>
    </w:rPr>
  </w:style>
  <w:style w:type="paragraph" w:customStyle="1" w:styleId="556">
    <w:name w:val="xl123"/>
    <w:basedOn w:val="1"/>
    <w:qFormat/>
    <w:uiPriority w:val="0"/>
    <w:pPr>
      <w:widowControl/>
      <w:pBdr>
        <w:right w:val="single" w:color="auto" w:sz="4" w:space="0"/>
      </w:pBdr>
      <w:spacing w:before="100" w:beforeAutospacing="1" w:after="100" w:afterAutospacing="1"/>
      <w:jc w:val="center"/>
    </w:pPr>
    <w:rPr>
      <w:rFonts w:ascii="Calibri" w:hAnsi="Calibri" w:cs="Calibri"/>
      <w:kern w:val="0"/>
      <w:sz w:val="24"/>
    </w:rPr>
  </w:style>
  <w:style w:type="paragraph" w:customStyle="1" w:styleId="557">
    <w:name w:val="普通(网站)1"/>
    <w:basedOn w:val="1"/>
    <w:qFormat/>
    <w:uiPriority w:val="0"/>
    <w:pPr>
      <w:widowControl/>
      <w:spacing w:before="100" w:beforeAutospacing="1" w:after="100" w:afterAutospacing="1"/>
      <w:jc w:val="left"/>
    </w:pPr>
    <w:rPr>
      <w:rFonts w:ascii="Calibri" w:hAnsi="Calibri" w:cs="Calibri"/>
      <w:kern w:val="0"/>
      <w:sz w:val="24"/>
    </w:rPr>
  </w:style>
  <w:style w:type="paragraph" w:customStyle="1" w:styleId="558">
    <w:name w:val="dian"/>
    <w:basedOn w:val="1"/>
    <w:qFormat/>
    <w:uiPriority w:val="0"/>
    <w:pPr>
      <w:widowControl/>
      <w:tabs>
        <w:tab w:val="left" w:pos="900"/>
      </w:tabs>
      <w:overflowPunct w:val="0"/>
      <w:autoSpaceDE w:val="0"/>
      <w:autoSpaceDN w:val="0"/>
      <w:adjustRightInd w:val="0"/>
      <w:snapToGrid w:val="0"/>
      <w:ind w:left="908" w:hanging="454"/>
      <w:textAlignment w:val="baseline"/>
    </w:pPr>
    <w:rPr>
      <w:rFonts w:ascii="Calibri"/>
      <w:snapToGrid w:val="0"/>
      <w:kern w:val="0"/>
      <w:sz w:val="24"/>
      <w:szCs w:val="20"/>
    </w:rPr>
  </w:style>
  <w:style w:type="paragraph" w:customStyle="1" w:styleId="559">
    <w:name w:val="_Style 4"/>
    <w:basedOn w:val="1"/>
    <w:next w:val="1"/>
    <w:unhideWhenUsed/>
    <w:qFormat/>
    <w:uiPriority w:val="37"/>
  </w:style>
  <w:style w:type="paragraph" w:customStyle="1" w:styleId="560">
    <w:name w:val="二级标题"/>
    <w:basedOn w:val="3"/>
    <w:qFormat/>
    <w:uiPriority w:val="0"/>
    <w:pPr>
      <w:numPr>
        <w:ilvl w:val="0"/>
        <w:numId w:val="0"/>
      </w:numPr>
      <w:adjustRightInd/>
      <w:snapToGrid/>
      <w:spacing w:before="260" w:after="260" w:line="415" w:lineRule="auto"/>
      <w:contextualSpacing/>
    </w:pPr>
    <w:rPr>
      <w:rFonts w:ascii="黑体" w:hAnsi="黑体" w:eastAsia="Calibri"/>
      <w:b w:val="0"/>
      <w:bCs/>
      <w:spacing w:val="0"/>
      <w:kern w:val="2"/>
      <w:position w:val="0"/>
      <w:sz w:val="32"/>
      <w:szCs w:val="32"/>
    </w:rPr>
  </w:style>
  <w:style w:type="paragraph" w:customStyle="1" w:styleId="561">
    <w:name w:val="xl23"/>
    <w:basedOn w:val="1"/>
    <w:qFormat/>
    <w:uiPriority w:val="0"/>
    <w:pPr>
      <w:widowControl/>
      <w:spacing w:before="100" w:beforeAutospacing="1" w:after="100" w:afterAutospacing="1"/>
      <w:textAlignment w:val="top"/>
    </w:pPr>
    <w:rPr>
      <w:rFonts w:ascii="Calibri"/>
      <w:kern w:val="0"/>
      <w:sz w:val="24"/>
    </w:rPr>
  </w:style>
  <w:style w:type="paragraph" w:customStyle="1" w:styleId="56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kern w:val="0"/>
      <w:sz w:val="24"/>
    </w:rPr>
  </w:style>
  <w:style w:type="paragraph" w:customStyle="1" w:styleId="563">
    <w:name w:val="xl10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564">
    <w:name w:val="节标题"/>
    <w:basedOn w:val="3"/>
    <w:qFormat/>
    <w:uiPriority w:val="0"/>
    <w:pPr>
      <w:numPr>
        <w:ilvl w:val="0"/>
        <w:numId w:val="0"/>
      </w:numPr>
      <w:adjustRightInd/>
      <w:spacing w:before="0"/>
      <w:outlineLvl w:val="4"/>
    </w:pPr>
    <w:rPr>
      <w:rFonts w:eastAsia="Calibri"/>
      <w:b w:val="0"/>
      <w:bCs/>
      <w:spacing w:val="0"/>
      <w:kern w:val="2"/>
      <w:position w:val="0"/>
      <w:sz w:val="24"/>
      <w:szCs w:val="24"/>
    </w:rPr>
  </w:style>
  <w:style w:type="paragraph" w:customStyle="1" w:styleId="565">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alibri" w:hAnsi="Calibri" w:cs="Calibri"/>
      <w:b/>
      <w:bCs/>
      <w:kern w:val="0"/>
      <w:sz w:val="30"/>
      <w:szCs w:val="30"/>
    </w:rPr>
  </w:style>
  <w:style w:type="paragraph" w:customStyle="1" w:styleId="566">
    <w:name w:val="样式 标题 2 + 仿宋_GB2312 加粗 首行缩进:  0 厘米 段前: 1 行 段后: 1 行 行距: 固定值 ...1"/>
    <w:basedOn w:val="3"/>
    <w:qFormat/>
    <w:uiPriority w:val="0"/>
    <w:pPr>
      <w:numPr>
        <w:ilvl w:val="0"/>
        <w:numId w:val="0"/>
      </w:numPr>
      <w:adjustRightInd/>
      <w:spacing w:before="0" w:line="600" w:lineRule="exact"/>
    </w:pPr>
    <w:rPr>
      <w:rFonts w:hAnsi="宋体" w:cs="宋体"/>
      <w:bCs/>
      <w:spacing w:val="0"/>
      <w:kern w:val="44"/>
      <w:position w:val="0"/>
    </w:rPr>
  </w:style>
  <w:style w:type="paragraph" w:customStyle="1" w:styleId="56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Calibri" w:hAnsi="Calibri" w:cs="Calibri"/>
      <w:kern w:val="0"/>
      <w:sz w:val="24"/>
    </w:rPr>
  </w:style>
  <w:style w:type="paragraph" w:customStyle="1" w:styleId="568">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rPr>
  </w:style>
  <w:style w:type="paragraph" w:customStyle="1" w:styleId="569">
    <w:name w:val="表格内文字"/>
    <w:basedOn w:val="23"/>
    <w:qFormat/>
    <w:uiPriority w:val="0"/>
    <w:pPr>
      <w:spacing w:line="320" w:lineRule="exact"/>
      <w:ind w:left="624"/>
      <w:jc w:val="center"/>
    </w:pPr>
    <w:rPr>
      <w:rFonts w:eastAsia="宋体"/>
      <w:spacing w:val="10"/>
      <w:sz w:val="24"/>
      <w:szCs w:val="20"/>
    </w:rPr>
  </w:style>
  <w:style w:type="paragraph" w:customStyle="1" w:styleId="570">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b/>
      <w:bCs/>
      <w:color w:val="000000"/>
      <w:kern w:val="0"/>
      <w:sz w:val="20"/>
      <w:szCs w:val="20"/>
    </w:rPr>
  </w:style>
  <w:style w:type="paragraph" w:customStyle="1" w:styleId="571">
    <w:name w:val="TOC 标题1"/>
    <w:basedOn w:val="2"/>
    <w:next w:val="1"/>
    <w:unhideWhenUsed/>
    <w:qFormat/>
    <w:uiPriority w:val="39"/>
    <w:pPr>
      <w:widowControl/>
      <w:numPr>
        <w:numId w:val="0"/>
      </w:numPr>
      <w:spacing w:before="480" w:after="0" w:line="276" w:lineRule="auto"/>
      <w:jc w:val="left"/>
      <w:outlineLvl w:val="9"/>
    </w:pPr>
    <w:rPr>
      <w:rFonts w:ascii="Cambria" w:hAnsi="Cambria" w:eastAsia="宋体"/>
      <w:b w:val="0"/>
      <w:bCs/>
      <w:color w:val="366091"/>
      <w:kern w:val="0"/>
      <w:sz w:val="28"/>
      <w:szCs w:val="28"/>
    </w:rPr>
  </w:style>
  <w:style w:type="paragraph" w:customStyle="1" w:styleId="572">
    <w:name w:val="xl159"/>
    <w:basedOn w:val="1"/>
    <w:qFormat/>
    <w:uiPriority w:val="0"/>
    <w:pPr>
      <w:widowControl/>
      <w:pBdr>
        <w:right w:val="single" w:color="auto" w:sz="4" w:space="0"/>
      </w:pBdr>
      <w:spacing w:before="100" w:beforeAutospacing="1" w:after="100" w:afterAutospacing="1"/>
      <w:jc w:val="center"/>
    </w:pPr>
    <w:rPr>
      <w:rFonts w:eastAsia="宋体"/>
      <w:b/>
      <w:bCs/>
      <w:kern w:val="0"/>
      <w:sz w:val="20"/>
      <w:szCs w:val="20"/>
    </w:rPr>
  </w:style>
  <w:style w:type="paragraph" w:customStyle="1" w:styleId="573">
    <w:name w:val="xl127"/>
    <w:basedOn w:val="1"/>
    <w:qFormat/>
    <w:uiPriority w:val="0"/>
    <w:pPr>
      <w:widowControl/>
      <w:pBdr>
        <w:top w:val="single" w:color="auto" w:sz="4" w:space="0"/>
        <w:left w:val="single" w:color="auto" w:sz="4" w:space="0"/>
      </w:pBdr>
      <w:spacing w:before="100" w:beforeAutospacing="1" w:after="100" w:afterAutospacing="1"/>
      <w:jc w:val="center"/>
    </w:pPr>
    <w:rPr>
      <w:kern w:val="0"/>
      <w:sz w:val="20"/>
      <w:szCs w:val="20"/>
    </w:rPr>
  </w:style>
  <w:style w:type="paragraph" w:customStyle="1" w:styleId="574">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575">
    <w:name w:val="Char Char Char Char Char Char Char"/>
    <w:basedOn w:val="1"/>
    <w:qFormat/>
    <w:uiPriority w:val="0"/>
  </w:style>
  <w:style w:type="paragraph" w:customStyle="1" w:styleId="576">
    <w:name w:val="报告正文"/>
    <w:basedOn w:val="1"/>
    <w:qFormat/>
    <w:uiPriority w:val="0"/>
    <w:pPr>
      <w:ind w:firstLine="200"/>
    </w:pPr>
    <w:rPr>
      <w:rFonts w:eastAsia="宋体"/>
      <w:sz w:val="24"/>
      <w:szCs w:val="22"/>
    </w:rPr>
  </w:style>
  <w:style w:type="paragraph" w:customStyle="1" w:styleId="577">
    <w:name w:val="标题 4 + 宋体"/>
    <w:basedOn w:val="1"/>
    <w:qFormat/>
    <w:uiPriority w:val="0"/>
    <w:rPr>
      <w:rFonts w:eastAsia="宋体"/>
    </w:rPr>
  </w:style>
  <w:style w:type="paragraph" w:customStyle="1" w:styleId="578">
    <w:name w:val="纯文本1"/>
    <w:basedOn w:val="1"/>
    <w:qFormat/>
    <w:uiPriority w:val="0"/>
    <w:pPr>
      <w:adjustRightInd w:val="0"/>
      <w:spacing w:line="312" w:lineRule="atLeast"/>
      <w:textAlignment w:val="baseline"/>
    </w:pPr>
    <w:rPr>
      <w:rFonts w:ascii="Calibri" w:hAnsi="宋体-PUA"/>
      <w:kern w:val="0"/>
      <w:sz w:val="24"/>
      <w:szCs w:val="20"/>
    </w:rPr>
  </w:style>
  <w:style w:type="paragraph" w:customStyle="1" w:styleId="579">
    <w:name w:val="reader-word-layer reader-word-s1-4"/>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80">
    <w:name w:val="内部地址"/>
    <w:basedOn w:val="1"/>
    <w:qFormat/>
    <w:uiPriority w:val="0"/>
    <w:pPr>
      <w:widowControl/>
      <w:jc w:val="left"/>
    </w:pPr>
    <w:rPr>
      <w:rFonts w:ascii="Calibri" w:hAnsi="Calibri" w:cs="Calibri"/>
      <w:kern w:val="0"/>
      <w:sz w:val="24"/>
    </w:rPr>
  </w:style>
  <w:style w:type="paragraph" w:customStyle="1" w:styleId="581">
    <w:name w:val="xl9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Calibri" w:hAnsi="Calibri" w:cs="Calibri"/>
      <w:kern w:val="0"/>
      <w:sz w:val="20"/>
      <w:szCs w:val="20"/>
    </w:rPr>
  </w:style>
  <w:style w:type="paragraph" w:customStyle="1" w:styleId="582">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b/>
      <w:bCs/>
      <w:color w:val="000000"/>
      <w:kern w:val="0"/>
      <w:sz w:val="20"/>
      <w:szCs w:val="20"/>
    </w:rPr>
  </w:style>
  <w:style w:type="paragraph" w:customStyle="1" w:styleId="583">
    <w:name w:val="xl160"/>
    <w:basedOn w:val="1"/>
    <w:qFormat/>
    <w:uiPriority w:val="0"/>
    <w:pPr>
      <w:widowControl/>
      <w:pBdr>
        <w:left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584">
    <w:name w:val="我的标题4"/>
    <w:basedOn w:val="1"/>
    <w:next w:val="1"/>
    <w:qFormat/>
    <w:uiPriority w:val="0"/>
    <w:pPr>
      <w:tabs>
        <w:tab w:val="left" w:pos="0"/>
        <w:tab w:val="left" w:pos="814"/>
      </w:tabs>
    </w:pPr>
    <w:rPr>
      <w:rFonts w:ascii="Arial Narrow" w:hAnsi="Calibri" w:eastAsia="Arial Narrow"/>
      <w:sz w:val="24"/>
    </w:rPr>
  </w:style>
  <w:style w:type="paragraph" w:customStyle="1" w:styleId="585">
    <w:name w:val="CM15"/>
    <w:basedOn w:val="320"/>
    <w:next w:val="320"/>
    <w:qFormat/>
    <w:uiPriority w:val="0"/>
    <w:pPr>
      <w:spacing w:line="560" w:lineRule="atLeast"/>
    </w:pPr>
    <w:rPr>
      <w:rFonts w:cs="仿宋_GB2312"/>
      <w:color w:val="auto"/>
      <w:sz w:val="28"/>
    </w:rPr>
  </w:style>
  <w:style w:type="paragraph" w:customStyle="1" w:styleId="586">
    <w:name w:val="font18"/>
    <w:basedOn w:val="1"/>
    <w:qFormat/>
    <w:uiPriority w:val="0"/>
    <w:pPr>
      <w:widowControl/>
      <w:spacing w:before="100" w:beforeAutospacing="1" w:after="100" w:afterAutospacing="1"/>
      <w:jc w:val="left"/>
    </w:pPr>
    <w:rPr>
      <w:rFonts w:hint="eastAsia" w:ascii="宋体" w:hAnsi="宋体" w:eastAsia="宋体" w:cs="Arial Unicode MS"/>
      <w:b/>
      <w:bCs/>
      <w:color w:val="000000"/>
      <w:kern w:val="0"/>
      <w:sz w:val="18"/>
      <w:szCs w:val="18"/>
    </w:rPr>
  </w:style>
  <w:style w:type="paragraph" w:customStyle="1" w:styleId="58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kern w:val="0"/>
      <w:sz w:val="18"/>
      <w:szCs w:val="18"/>
    </w:rPr>
  </w:style>
  <w:style w:type="paragraph" w:customStyle="1" w:styleId="58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rFonts w:ascii="Calibri" w:hAnsi="Calibri" w:cs="Calibri"/>
      <w:b/>
      <w:bCs/>
      <w:kern w:val="0"/>
      <w:sz w:val="20"/>
      <w:szCs w:val="20"/>
    </w:rPr>
  </w:style>
  <w:style w:type="paragraph" w:customStyle="1" w:styleId="589">
    <w:name w:val="font9"/>
    <w:basedOn w:val="1"/>
    <w:qFormat/>
    <w:uiPriority w:val="0"/>
    <w:pPr>
      <w:widowControl/>
      <w:spacing w:before="100" w:beforeAutospacing="1" w:after="100" w:afterAutospacing="1"/>
      <w:jc w:val="left"/>
    </w:pPr>
    <w:rPr>
      <w:rFonts w:ascii="Calibri" w:hAnsi="Calibri" w:cs="Calibri"/>
      <w:b/>
      <w:bCs/>
      <w:color w:val="000000"/>
      <w:kern w:val="0"/>
      <w:sz w:val="20"/>
      <w:szCs w:val="20"/>
    </w:rPr>
  </w:style>
  <w:style w:type="paragraph" w:customStyle="1" w:styleId="590">
    <w:name w:val="无间隔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591">
    <w:name w:val="xl51"/>
    <w:basedOn w:val="1"/>
    <w:qFormat/>
    <w:uiPriority w:val="0"/>
    <w:pPr>
      <w:widowControl/>
      <w:pBdr>
        <w:top w:val="single" w:color="auto" w:sz="4" w:space="0"/>
        <w:left w:val="single" w:color="auto" w:sz="4" w:space="0"/>
        <w:bottom w:val="double" w:color="auto" w:sz="6" w:space="0"/>
        <w:right w:val="single" w:color="auto" w:sz="4" w:space="0"/>
      </w:pBdr>
      <w:shd w:val="clear" w:color="auto" w:fill="FFCC99"/>
      <w:spacing w:before="100" w:beforeAutospacing="1" w:after="100" w:afterAutospacing="1"/>
      <w:jc w:val="right"/>
      <w:textAlignment w:val="center"/>
    </w:pPr>
    <w:rPr>
      <w:rFonts w:eastAsia="Arial Unicode MS"/>
      <w:kern w:val="0"/>
      <w:sz w:val="22"/>
      <w:szCs w:val="22"/>
    </w:rPr>
  </w:style>
  <w:style w:type="paragraph" w:customStyle="1" w:styleId="592">
    <w:name w:val="表内容1"/>
    <w:basedOn w:val="1"/>
    <w:qFormat/>
    <w:uiPriority w:val="0"/>
    <w:rPr>
      <w:rFonts w:ascii="宋体" w:hAnsi="Calibri" w:eastAsia="宋体"/>
      <w:kern w:val="0"/>
      <w:sz w:val="24"/>
    </w:rPr>
  </w:style>
  <w:style w:type="paragraph" w:customStyle="1" w:styleId="593">
    <w:name w:val="xl231"/>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594">
    <w:name w:val="Heading #2|1"/>
    <w:basedOn w:val="1"/>
    <w:qFormat/>
    <w:uiPriority w:val="0"/>
    <w:pPr>
      <w:spacing w:after="40"/>
      <w:jc w:val="center"/>
      <w:outlineLvl w:val="1"/>
    </w:pPr>
    <w:rPr>
      <w:rFonts w:ascii="宋体" w:hAnsi="宋体" w:eastAsia="宋体" w:cs="宋体"/>
      <w:sz w:val="26"/>
      <w:szCs w:val="26"/>
      <w:lang w:val="zh-TW" w:eastAsia="zh-TW" w:bidi="zh-TW"/>
    </w:rPr>
  </w:style>
  <w:style w:type="paragraph" w:customStyle="1" w:styleId="595">
    <w:name w:val="font10"/>
    <w:basedOn w:val="1"/>
    <w:qFormat/>
    <w:uiPriority w:val="0"/>
    <w:pPr>
      <w:widowControl/>
      <w:spacing w:before="100" w:beforeAutospacing="1" w:after="100" w:afterAutospacing="1"/>
      <w:jc w:val="left"/>
    </w:pPr>
    <w:rPr>
      <w:b/>
      <w:bCs/>
      <w:color w:val="000000"/>
      <w:kern w:val="0"/>
      <w:sz w:val="20"/>
      <w:szCs w:val="20"/>
    </w:rPr>
  </w:style>
  <w:style w:type="paragraph" w:customStyle="1" w:styleId="596">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eastAsia="宋体" w:cs="宋体-PUA"/>
      <w:spacing w:val="6"/>
      <w:kern w:val="20"/>
    </w:rPr>
  </w:style>
  <w:style w:type="paragraph" w:customStyle="1" w:styleId="597">
    <w:name w:val="明显引用1"/>
    <w:basedOn w:val="1"/>
    <w:next w:val="1"/>
    <w:qFormat/>
    <w:uiPriority w:val="99"/>
    <w:pPr>
      <w:widowControl/>
      <w:wordWrap w:val="0"/>
      <w:spacing w:before="360" w:after="360"/>
      <w:ind w:left="950" w:right="950"/>
      <w:jc w:val="center"/>
    </w:pPr>
    <w:rPr>
      <w:rFonts w:eastAsia="宋体"/>
      <w:i/>
      <w:iCs/>
      <w:szCs w:val="28"/>
    </w:rPr>
  </w:style>
  <w:style w:type="paragraph" w:customStyle="1" w:styleId="598">
    <w:name w:val="xl238"/>
    <w:basedOn w:val="1"/>
    <w:qFormat/>
    <w:uiPriority w:val="0"/>
    <w:pPr>
      <w:widowControl/>
      <w:pBdr>
        <w:top w:val="single" w:color="000000" w:sz="8" w:space="0"/>
        <w:left w:val="single" w:color="000000" w:sz="8" w:space="0"/>
        <w:bottom w:val="single" w:color="000000" w:sz="8"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599">
    <w:name w:val="1正文段落"/>
    <w:basedOn w:val="1"/>
    <w:qFormat/>
    <w:uiPriority w:val="0"/>
    <w:pPr>
      <w:snapToGrid w:val="0"/>
      <w:spacing w:line="480" w:lineRule="exact"/>
      <w:ind w:firstLine="200"/>
      <w:jc w:val="left"/>
    </w:pPr>
    <w:rPr>
      <w:kern w:val="0"/>
      <w:sz w:val="24"/>
    </w:rPr>
  </w:style>
  <w:style w:type="paragraph" w:customStyle="1" w:styleId="600">
    <w:name w:val="xl64"/>
    <w:basedOn w:val="1"/>
    <w:qFormat/>
    <w:uiPriority w:val="0"/>
    <w:pPr>
      <w:widowControl/>
      <w:spacing w:before="100" w:beforeAutospacing="1" w:after="100" w:afterAutospacing="1"/>
      <w:jc w:val="left"/>
    </w:pPr>
    <w:rPr>
      <w:rFonts w:ascii="Calibri" w:hAnsi="Calibri" w:cs="Calibri"/>
      <w:kern w:val="0"/>
      <w:sz w:val="18"/>
      <w:szCs w:val="18"/>
    </w:rPr>
  </w:style>
  <w:style w:type="paragraph" w:customStyle="1" w:styleId="601">
    <w:name w:val="表文"/>
    <w:basedOn w:val="1"/>
    <w:qFormat/>
    <w:uiPriority w:val="0"/>
    <w:pPr>
      <w:snapToGrid w:val="0"/>
      <w:jc w:val="center"/>
    </w:pPr>
    <w:rPr>
      <w:rFonts w:eastAsia="宋体"/>
      <w:szCs w:val="20"/>
    </w:rPr>
  </w:style>
  <w:style w:type="paragraph" w:customStyle="1" w:styleId="602">
    <w:name w:val="Char Char Char Char1"/>
    <w:basedOn w:val="1"/>
    <w:qFormat/>
    <w:uiPriority w:val="0"/>
    <w:pPr>
      <w:spacing w:beforeLines="50" w:afterLines="50"/>
    </w:pPr>
    <w:rPr>
      <w:rFonts w:ascii="Tahoma" w:hAnsi="Tahoma" w:eastAsia="宋体" w:cs="Tahoma"/>
      <w:sz w:val="24"/>
    </w:rPr>
  </w:style>
  <w:style w:type="paragraph" w:customStyle="1" w:styleId="603">
    <w:name w:val="Char Char Char1 Char Char Char Char Char Char Char"/>
    <w:basedOn w:val="1"/>
    <w:qFormat/>
    <w:uiPriority w:val="0"/>
    <w:pPr>
      <w:tabs>
        <w:tab w:val="left" w:pos="360"/>
      </w:tabs>
      <w:snapToGrid w:val="0"/>
      <w:spacing w:line="600" w:lineRule="exact"/>
      <w:ind w:firstLine="200"/>
    </w:pPr>
    <w:rPr>
      <w:sz w:val="24"/>
    </w:rPr>
  </w:style>
  <w:style w:type="paragraph" w:customStyle="1" w:styleId="604">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605">
    <w:name w:val="正文 New New New New"/>
    <w:qFormat/>
    <w:uiPriority w:val="0"/>
    <w:pPr>
      <w:widowControl w:val="0"/>
      <w:jc w:val="both"/>
    </w:pPr>
    <w:rPr>
      <w:rFonts w:ascii="Yu Mincho Light" w:hAnsi="Yu Mincho Light" w:eastAsia="宋体" w:cs="Times New Roman"/>
      <w:kern w:val="2"/>
      <w:sz w:val="21"/>
      <w:szCs w:val="24"/>
      <w:lang w:val="en-US" w:eastAsia="zh-CN" w:bidi="ar-SA"/>
    </w:rPr>
  </w:style>
  <w:style w:type="paragraph" w:customStyle="1" w:styleId="606">
    <w:name w:val="xl122"/>
    <w:basedOn w:val="1"/>
    <w:qFormat/>
    <w:uiPriority w:val="0"/>
    <w:pPr>
      <w:widowControl/>
      <w:spacing w:before="100" w:beforeAutospacing="1" w:after="100" w:afterAutospacing="1"/>
      <w:jc w:val="center"/>
    </w:pPr>
    <w:rPr>
      <w:rFonts w:ascii="Calibri" w:hAnsi="Calibri" w:cs="Calibri"/>
      <w:kern w:val="0"/>
      <w:sz w:val="24"/>
    </w:rPr>
  </w:style>
  <w:style w:type="paragraph" w:customStyle="1" w:styleId="607">
    <w:name w:val="xl158"/>
    <w:basedOn w:val="1"/>
    <w:qFormat/>
    <w:uiPriority w:val="0"/>
    <w:pPr>
      <w:widowControl/>
      <w:pBdr>
        <w:left w:val="single" w:color="auto" w:sz="8" w:space="0"/>
        <w:right w:val="single" w:color="auto" w:sz="4" w:space="0"/>
      </w:pBdr>
      <w:spacing w:before="100" w:beforeAutospacing="1" w:after="100" w:afterAutospacing="1"/>
      <w:jc w:val="center"/>
    </w:pPr>
    <w:rPr>
      <w:rFonts w:eastAsia="宋体"/>
      <w:b/>
      <w:bCs/>
      <w:kern w:val="0"/>
      <w:sz w:val="20"/>
      <w:szCs w:val="20"/>
    </w:rPr>
  </w:style>
  <w:style w:type="paragraph" w:customStyle="1" w:styleId="608">
    <w:name w:val="_Style 321"/>
    <w:basedOn w:val="1"/>
    <w:next w:val="1"/>
    <w:unhideWhenUsed/>
    <w:qFormat/>
    <w:uiPriority w:val="37"/>
  </w:style>
  <w:style w:type="paragraph" w:customStyle="1" w:styleId="609">
    <w:name w:val="p0"/>
    <w:basedOn w:val="1"/>
    <w:qFormat/>
    <w:uiPriority w:val="0"/>
    <w:pPr>
      <w:widowControl/>
    </w:pPr>
    <w:rPr>
      <w:rFonts w:ascii="Yu Mincho Light" w:hAnsi="Yu Mincho Light" w:cs="Yu Mincho Light"/>
      <w:kern w:val="0"/>
      <w:szCs w:val="21"/>
    </w:rPr>
  </w:style>
  <w:style w:type="paragraph" w:customStyle="1" w:styleId="610">
    <w:name w:val="正文001"/>
    <w:basedOn w:val="1"/>
    <w:qFormat/>
    <w:uiPriority w:val="0"/>
    <w:pPr>
      <w:ind w:firstLine="880"/>
    </w:pPr>
  </w:style>
  <w:style w:type="paragraph" w:customStyle="1" w:styleId="611">
    <w:name w:val="Char Char Char Char Char Char Char Char Char Char Char Char Char Char Char Char"/>
    <w:basedOn w:val="18"/>
    <w:qFormat/>
    <w:uiPriority w:val="0"/>
    <w:pPr>
      <w:shd w:val="clear" w:color="auto" w:fill="000080"/>
    </w:pPr>
    <w:rPr>
      <w:rFonts w:ascii="TimesNewRomanPSMT" w:hAnsi="TimesNewRomanPSMT"/>
      <w:sz w:val="24"/>
      <w:szCs w:val="24"/>
      <w:shd w:val="clear" w:color="auto" w:fill="000080"/>
    </w:rPr>
  </w:style>
  <w:style w:type="paragraph" w:customStyle="1" w:styleId="612">
    <w:name w:val="xl170"/>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eastAsia="宋体"/>
      <w:kern w:val="0"/>
      <w:sz w:val="20"/>
      <w:szCs w:val="20"/>
    </w:rPr>
  </w:style>
  <w:style w:type="paragraph" w:customStyle="1" w:styleId="613">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b/>
      <w:bCs/>
      <w:kern w:val="0"/>
      <w:sz w:val="20"/>
      <w:szCs w:val="20"/>
    </w:rPr>
  </w:style>
  <w:style w:type="paragraph" w:customStyle="1" w:styleId="614">
    <w:name w:val="样式 3号标题 + (符号) 仿宋_GB2312 黑色"/>
    <w:basedOn w:val="136"/>
    <w:qFormat/>
    <w:uiPriority w:val="99"/>
    <w:rPr>
      <w:color w:val="000000"/>
    </w:rPr>
  </w:style>
  <w:style w:type="paragraph" w:customStyle="1" w:styleId="615">
    <w:name w:val="CM64"/>
    <w:basedOn w:val="320"/>
    <w:next w:val="320"/>
    <w:qFormat/>
    <w:uiPriority w:val="0"/>
    <w:pPr>
      <w:spacing w:after="113"/>
    </w:pPr>
    <w:rPr>
      <w:rFonts w:cs="仿宋_GB2312"/>
      <w:color w:val="auto"/>
    </w:rPr>
  </w:style>
  <w:style w:type="paragraph" w:customStyle="1" w:styleId="616">
    <w:name w:val="xl9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 w:val="20"/>
      <w:szCs w:val="20"/>
    </w:rPr>
  </w:style>
  <w:style w:type="paragraph" w:customStyle="1" w:styleId="617">
    <w:name w:val="font0"/>
    <w:basedOn w:val="1"/>
    <w:qFormat/>
    <w:uiPriority w:val="0"/>
    <w:pPr>
      <w:widowControl/>
      <w:spacing w:before="100" w:beforeAutospacing="1" w:after="100" w:afterAutospacing="1"/>
      <w:jc w:val="left"/>
    </w:pPr>
    <w:rPr>
      <w:rFonts w:hint="eastAsia" w:ascii="Calibri" w:hAnsi="Calibri" w:cs="Calibri"/>
      <w:kern w:val="0"/>
      <w:sz w:val="24"/>
    </w:rPr>
  </w:style>
  <w:style w:type="paragraph" w:customStyle="1" w:styleId="618">
    <w:name w:val="xl237"/>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619">
    <w:name w:val="xl9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 w:val="20"/>
      <w:szCs w:val="20"/>
    </w:rPr>
  </w:style>
  <w:style w:type="paragraph" w:customStyle="1" w:styleId="62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b/>
      <w:bCs/>
      <w:kern w:val="0"/>
      <w:sz w:val="24"/>
    </w:rPr>
  </w:style>
  <w:style w:type="paragraph" w:customStyle="1" w:styleId="62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kern w:val="0"/>
      <w:sz w:val="20"/>
      <w:szCs w:val="20"/>
    </w:rPr>
  </w:style>
  <w:style w:type="paragraph" w:customStyle="1" w:styleId="622">
    <w:name w:val="(1)"/>
    <w:basedOn w:val="1"/>
    <w:qFormat/>
    <w:uiPriority w:val="0"/>
    <w:pPr>
      <w:tabs>
        <w:tab w:val="left" w:pos="573"/>
      </w:tabs>
      <w:adjustRightInd w:val="0"/>
      <w:snapToGrid w:val="0"/>
      <w:spacing w:before="80" w:after="100" w:line="240" w:lineRule="atLeast"/>
      <w:textAlignment w:val="baseline"/>
    </w:pPr>
    <w:rPr>
      <w:rFonts w:ascii="Cambria" w:hAnsi="Cambria"/>
      <w:kern w:val="44"/>
      <w:sz w:val="24"/>
    </w:rPr>
  </w:style>
  <w:style w:type="paragraph" w:customStyle="1" w:styleId="623">
    <w:name w:val="1.1.1  项目名称"/>
    <w:basedOn w:val="55"/>
    <w:next w:val="1"/>
    <w:qFormat/>
    <w:uiPriority w:val="0"/>
    <w:pPr>
      <w:adjustRightInd w:val="0"/>
      <w:snapToGrid w:val="0"/>
      <w:spacing w:before="120" w:after="120"/>
      <w:ind w:firstLine="640"/>
      <w:jc w:val="left"/>
    </w:pPr>
    <w:rPr>
      <w:rFonts w:ascii="仿宋_GB2312" w:hAnsi="仿宋_GB2312"/>
      <w:bCs w:val="0"/>
      <w:sz w:val="28"/>
    </w:rPr>
  </w:style>
  <w:style w:type="paragraph" w:customStyle="1" w:styleId="624">
    <w:name w:val="首行缩进2字"/>
    <w:basedOn w:val="1"/>
    <w:qFormat/>
    <w:uiPriority w:val="0"/>
    <w:pPr>
      <w:adjustRightInd w:val="0"/>
      <w:snapToGrid w:val="0"/>
      <w:spacing w:line="334" w:lineRule="auto"/>
    </w:pPr>
    <w:rPr>
      <w:snapToGrid w:val="0"/>
      <w:spacing w:val="4"/>
      <w:kern w:val="0"/>
      <w:sz w:val="24"/>
      <w:szCs w:val="20"/>
    </w:rPr>
  </w:style>
  <w:style w:type="paragraph" w:customStyle="1" w:styleId="625">
    <w:name w:val="表右齐"/>
    <w:basedOn w:val="327"/>
    <w:qFormat/>
    <w:uiPriority w:val="0"/>
    <w:pPr>
      <w:shd w:val="clear" w:color="auto" w:fill="FFFFFF"/>
      <w:ind w:left="0" w:leftChars="0" w:right="8" w:rightChars="8" w:firstLine="0"/>
      <w:jc w:val="right"/>
    </w:pPr>
  </w:style>
  <w:style w:type="paragraph" w:customStyle="1" w:styleId="626">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627">
    <w:name w:val="附录标识"/>
    <w:basedOn w:val="1"/>
    <w:next w:val="1"/>
    <w:qFormat/>
    <w:uiPriority w:val="0"/>
    <w:pPr>
      <w:widowControl/>
      <w:shd w:val="clear" w:color="FFFFFF" w:fill="FFFFFF"/>
      <w:spacing w:before="640" w:after="200"/>
      <w:jc w:val="center"/>
      <w:outlineLvl w:val="0"/>
    </w:pPr>
    <w:rPr>
      <w:rFonts w:ascii="Arial Narrow" w:eastAsia="Arial Narrow"/>
      <w:bCs/>
      <w:color w:val="000000"/>
      <w:kern w:val="0"/>
      <w:szCs w:val="20"/>
    </w:rPr>
  </w:style>
  <w:style w:type="paragraph" w:customStyle="1" w:styleId="628">
    <w:name w:val="xl165"/>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629">
    <w:name w:val="Char Char Char Char Char Char"/>
    <w:basedOn w:val="1"/>
    <w:qFormat/>
    <w:uiPriority w:val="0"/>
    <w:rPr>
      <w:rFonts w:eastAsia="宋体"/>
      <w:sz w:val="24"/>
      <w:szCs w:val="20"/>
    </w:rPr>
  </w:style>
  <w:style w:type="paragraph" w:customStyle="1" w:styleId="630">
    <w:name w:val="xl7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0"/>
      <w:szCs w:val="20"/>
    </w:rPr>
  </w:style>
  <w:style w:type="paragraph" w:customStyle="1" w:styleId="631">
    <w:name w:val="点"/>
    <w:basedOn w:val="1"/>
    <w:qFormat/>
    <w:uiPriority w:val="0"/>
    <w:pPr>
      <w:tabs>
        <w:tab w:val="left" w:pos="425"/>
        <w:tab w:val="left" w:pos="567"/>
        <w:tab w:val="left" w:pos="6521"/>
      </w:tabs>
      <w:autoSpaceDE w:val="0"/>
      <w:autoSpaceDN w:val="0"/>
      <w:adjustRightInd w:val="0"/>
      <w:ind w:left="425" w:hanging="425"/>
      <w:jc w:val="left"/>
      <w:textAlignment w:val="bottom"/>
    </w:pPr>
    <w:rPr>
      <w:rFonts w:ascii="Cambria" w:hAnsi="Cambria"/>
      <w:kern w:val="0"/>
      <w:sz w:val="26"/>
      <w:szCs w:val="20"/>
    </w:rPr>
  </w:style>
  <w:style w:type="paragraph" w:customStyle="1" w:styleId="632">
    <w:name w:val="正文缩进1"/>
    <w:basedOn w:val="1"/>
    <w:qFormat/>
    <w:uiPriority w:val="0"/>
    <w:pPr>
      <w:adjustRightInd w:val="0"/>
      <w:spacing w:line="312" w:lineRule="atLeast"/>
      <w:ind w:firstLine="420"/>
      <w:textAlignment w:val="baseline"/>
    </w:pPr>
    <w:rPr>
      <w:kern w:val="0"/>
      <w:szCs w:val="20"/>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b/>
      <w:bCs/>
      <w:kern w:val="0"/>
      <w:sz w:val="20"/>
      <w:szCs w:val="20"/>
    </w:rPr>
  </w:style>
  <w:style w:type="paragraph" w:customStyle="1" w:styleId="634">
    <w:name w:val="样式 标题 2 + 左侧:  0 厘米 悬挂缩进: 6.24 字符"/>
    <w:basedOn w:val="3"/>
    <w:qFormat/>
    <w:uiPriority w:val="0"/>
    <w:pPr>
      <w:keepNext w:val="0"/>
      <w:numPr>
        <w:ilvl w:val="0"/>
        <w:numId w:val="0"/>
      </w:numPr>
      <w:tabs>
        <w:tab w:val="left" w:pos="360"/>
        <w:tab w:val="left" w:pos="576"/>
      </w:tabs>
      <w:wordWrap w:val="0"/>
      <w:adjustRightInd/>
      <w:spacing w:before="100" w:beforeAutospacing="1" w:after="100" w:afterAutospacing="1" w:line="440" w:lineRule="exact"/>
    </w:pPr>
    <w:rPr>
      <w:rFonts w:hint="eastAsia" w:cs="Cambria Math"/>
      <w:color w:val="008000"/>
      <w:spacing w:val="0"/>
      <w:kern w:val="2"/>
      <w:position w:val="0"/>
      <w:sz w:val="28"/>
      <w:szCs w:val="28"/>
    </w:rPr>
  </w:style>
  <w:style w:type="paragraph" w:customStyle="1" w:styleId="635">
    <w:name w:val="xl41"/>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eastAsia="宋体"/>
      <w:kern w:val="0"/>
      <w:sz w:val="24"/>
    </w:rPr>
  </w:style>
  <w:style w:type="paragraph" w:customStyle="1" w:styleId="636">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637">
    <w:name w:val="l_text"/>
    <w:basedOn w:val="1"/>
    <w:qFormat/>
    <w:uiPriority w:val="0"/>
    <w:pPr>
      <w:widowControl/>
      <w:overflowPunct w:val="0"/>
      <w:autoSpaceDE w:val="0"/>
      <w:autoSpaceDN w:val="0"/>
      <w:adjustRightInd w:val="0"/>
      <w:ind w:firstLine="567"/>
      <w:textAlignment w:val="baseline"/>
    </w:pPr>
    <w:rPr>
      <w:kern w:val="0"/>
      <w:szCs w:val="20"/>
      <w:lang w:val="en-GB"/>
    </w:rPr>
  </w:style>
  <w:style w:type="paragraph" w:customStyle="1" w:styleId="638">
    <w:name w:val="内容"/>
    <w:basedOn w:val="1"/>
    <w:qFormat/>
    <w:uiPriority w:val="0"/>
    <w:pPr>
      <w:ind w:firstLine="420"/>
    </w:pPr>
    <w:rPr>
      <w:rFonts w:eastAsia="宋体"/>
      <w:szCs w:val="20"/>
    </w:rPr>
  </w:style>
  <w:style w:type="paragraph" w:customStyle="1" w:styleId="639">
    <w:name w:val="_Style 5"/>
    <w:basedOn w:val="1"/>
    <w:next w:val="1"/>
    <w:unhideWhenUsed/>
    <w:qFormat/>
    <w:uiPriority w:val="37"/>
  </w:style>
  <w:style w:type="paragraph" w:customStyle="1" w:styleId="640">
    <w:name w:val="Char Char1 Char Char Char Char"/>
    <w:basedOn w:val="1"/>
    <w:next w:val="1"/>
    <w:qFormat/>
    <w:uiPriority w:val="0"/>
    <w:pPr>
      <w:ind w:firstLine="200"/>
    </w:pPr>
    <w:rPr>
      <w:rFonts w:ascii="Calibri" w:hAnsi="Calibri" w:cs="Calibri"/>
      <w:snapToGrid w:val="0"/>
      <w:kern w:val="0"/>
      <w:sz w:val="24"/>
    </w:rPr>
  </w:style>
  <w:style w:type="paragraph" w:customStyle="1" w:styleId="641">
    <w:name w:val="流程图文字"/>
    <w:basedOn w:val="1"/>
    <w:qFormat/>
    <w:uiPriority w:val="0"/>
    <w:pPr>
      <w:spacing w:line="320" w:lineRule="atLeast"/>
      <w:jc w:val="center"/>
    </w:pPr>
    <w:rPr>
      <w:rFonts w:hint="eastAsia" w:ascii="Calibri" w:hAnsi="Calibri"/>
    </w:rPr>
  </w:style>
  <w:style w:type="paragraph" w:customStyle="1" w:styleId="642">
    <w:name w:val="图表格式"/>
    <w:basedOn w:val="1"/>
    <w:qFormat/>
    <w:uiPriority w:val="0"/>
    <w:pPr>
      <w:adjustRightInd w:val="0"/>
      <w:snapToGrid w:val="0"/>
      <w:jc w:val="center"/>
    </w:pPr>
    <w:rPr>
      <w:b/>
      <w:snapToGrid w:val="0"/>
      <w:kern w:val="0"/>
      <w:sz w:val="24"/>
    </w:rPr>
  </w:style>
  <w:style w:type="paragraph" w:customStyle="1" w:styleId="64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 w:val="20"/>
      <w:szCs w:val="20"/>
    </w:rPr>
  </w:style>
  <w:style w:type="paragraph" w:customStyle="1" w:styleId="644">
    <w:name w:val="我的标题2"/>
    <w:basedOn w:val="1"/>
    <w:next w:val="1"/>
    <w:qFormat/>
    <w:uiPriority w:val="0"/>
    <w:pPr>
      <w:tabs>
        <w:tab w:val="left" w:pos="0"/>
      </w:tabs>
      <w:spacing w:line="520" w:lineRule="exact"/>
    </w:pPr>
    <w:rPr>
      <w:rFonts w:ascii="Arial Narrow" w:eastAsia="Arial Narrow"/>
      <w:sz w:val="30"/>
      <w:szCs w:val="30"/>
    </w:rPr>
  </w:style>
  <w:style w:type="paragraph" w:customStyle="1" w:styleId="64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Calibri" w:hAnsi="Calibri"/>
      <w:b/>
      <w:bCs/>
      <w:color w:val="000000"/>
      <w:kern w:val="0"/>
      <w:sz w:val="24"/>
    </w:rPr>
  </w:style>
  <w:style w:type="paragraph" w:customStyle="1" w:styleId="6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647">
    <w:name w:val="纯文本11"/>
    <w:basedOn w:val="1"/>
    <w:qFormat/>
    <w:uiPriority w:val="0"/>
    <w:pPr>
      <w:autoSpaceDE w:val="0"/>
      <w:autoSpaceDN w:val="0"/>
      <w:adjustRightInd w:val="0"/>
      <w:textAlignment w:val="baseline"/>
    </w:pPr>
    <w:rPr>
      <w:rFonts w:ascii="宋体" w:hAnsi="Calibri" w:eastAsia="宋体"/>
    </w:rPr>
  </w:style>
  <w:style w:type="paragraph" w:customStyle="1" w:styleId="648">
    <w:name w:val="默认段落字体 Para Char Char Char Char"/>
    <w:basedOn w:val="1"/>
    <w:qFormat/>
    <w:uiPriority w:val="0"/>
    <w:pPr>
      <w:widowControl/>
      <w:snapToGrid w:val="0"/>
      <w:spacing w:line="480" w:lineRule="atLeast"/>
      <w:jc w:val="left"/>
    </w:pPr>
    <w:rPr>
      <w:rFonts w:ascii="Calibri" w:hAnsi="Calibri" w:cs="Calibri"/>
      <w:spacing w:val="6"/>
      <w:kern w:val="0"/>
      <w:szCs w:val="20"/>
    </w:rPr>
  </w:style>
  <w:style w:type="paragraph" w:customStyle="1" w:styleId="649">
    <w:name w:val="xl230"/>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b/>
      <w:bCs/>
      <w:color w:val="FF0000"/>
      <w:kern w:val="0"/>
      <w:sz w:val="20"/>
      <w:szCs w:val="20"/>
    </w:rPr>
  </w:style>
  <w:style w:type="paragraph" w:customStyle="1" w:styleId="650">
    <w:name w:val="表字"/>
    <w:basedOn w:val="1"/>
    <w:qFormat/>
    <w:uiPriority w:val="0"/>
    <w:pPr>
      <w:jc w:val="center"/>
    </w:pPr>
    <w:rPr>
      <w:rFonts w:hint="eastAsia"/>
      <w:spacing w:val="-10"/>
      <w:szCs w:val="20"/>
    </w:rPr>
  </w:style>
  <w:style w:type="paragraph" w:customStyle="1" w:styleId="651">
    <w:name w:val="xl35"/>
    <w:basedOn w:val="1"/>
    <w:qFormat/>
    <w:uiPriority w:val="0"/>
    <w:pPr>
      <w:widowControl/>
      <w:pBdr>
        <w:top w:val="single" w:color="auto" w:sz="4" w:space="0"/>
      </w:pBdr>
      <w:spacing w:before="100" w:beforeAutospacing="1" w:after="100" w:afterAutospacing="1"/>
      <w:jc w:val="left"/>
    </w:pPr>
    <w:rPr>
      <w:rFonts w:hint="eastAsia" w:ascii="宋体" w:hAnsi="宋体" w:eastAsia="宋体"/>
      <w:kern w:val="0"/>
      <w:sz w:val="24"/>
    </w:rPr>
  </w:style>
  <w:style w:type="paragraph" w:customStyle="1" w:styleId="65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653">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54">
    <w:name w:val="xl39"/>
    <w:basedOn w:val="1"/>
    <w:qFormat/>
    <w:uiPriority w:val="0"/>
    <w:pPr>
      <w:widowControl/>
      <w:pBdr>
        <w:top w:val="single" w:color="auto" w:sz="4" w:space="0"/>
      </w:pBdr>
      <w:spacing w:before="100" w:beforeAutospacing="1" w:after="100" w:afterAutospacing="1"/>
      <w:jc w:val="left"/>
    </w:pPr>
    <w:rPr>
      <w:rFonts w:hint="eastAsia" w:ascii="宋体" w:hAnsi="宋体" w:eastAsia="宋体"/>
      <w:kern w:val="0"/>
      <w:sz w:val="24"/>
    </w:rPr>
  </w:style>
  <w:style w:type="paragraph" w:customStyle="1" w:styleId="655">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Calibri" w:eastAsia="Verdana" w:cs="Calibri"/>
      <w:color w:val="000000"/>
      <w:kern w:val="0"/>
      <w:sz w:val="20"/>
      <w:szCs w:val="20"/>
    </w:rPr>
  </w:style>
  <w:style w:type="paragraph" w:customStyle="1" w:styleId="65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kern w:val="0"/>
      <w:sz w:val="20"/>
      <w:szCs w:val="20"/>
    </w:rPr>
  </w:style>
  <w:style w:type="paragraph" w:customStyle="1" w:styleId="65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b/>
      <w:bCs/>
      <w:kern w:val="0"/>
      <w:sz w:val="24"/>
    </w:rPr>
  </w:style>
  <w:style w:type="paragraph" w:customStyle="1" w:styleId="658">
    <w:name w:val="xl135"/>
    <w:basedOn w:val="1"/>
    <w:qFormat/>
    <w:uiPriority w:val="0"/>
    <w:pPr>
      <w:widowControl/>
      <w:pBdr>
        <w:bottom w:val="single" w:color="auto" w:sz="4" w:space="0"/>
      </w:pBdr>
      <w:spacing w:before="100" w:beforeAutospacing="1" w:after="100" w:afterAutospacing="1"/>
      <w:jc w:val="center"/>
    </w:pPr>
    <w:rPr>
      <w:b/>
      <w:bCs/>
      <w:kern w:val="0"/>
      <w:sz w:val="20"/>
      <w:szCs w:val="20"/>
    </w:rPr>
  </w:style>
  <w:style w:type="paragraph" w:customStyle="1" w:styleId="659">
    <w:name w:val="xl225"/>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660">
    <w:name w:val="soustitre"/>
    <w:basedOn w:val="1"/>
    <w:qFormat/>
    <w:uiPriority w:val="0"/>
    <w:pPr>
      <w:widowControl/>
      <w:tabs>
        <w:tab w:val="left" w:pos="525"/>
      </w:tabs>
      <w:overflowPunct w:val="0"/>
      <w:autoSpaceDE w:val="0"/>
      <w:autoSpaceDN w:val="0"/>
      <w:adjustRightInd w:val="0"/>
      <w:spacing w:line="400" w:lineRule="exact"/>
      <w:jc w:val="center"/>
      <w:textAlignment w:val="baseline"/>
    </w:pPr>
    <w:rPr>
      <w:rFonts w:ascii="Microsoft YaHei UI" w:hAnsi="Microsoft YaHei UI" w:eastAsia="Verdana"/>
      <w:kern w:val="0"/>
      <w:position w:val="-6"/>
      <w:sz w:val="24"/>
      <w:szCs w:val="20"/>
      <w:lang w:val="fr-FR"/>
    </w:rPr>
  </w:style>
  <w:style w:type="paragraph" w:customStyle="1" w:styleId="661">
    <w:name w:val="+正文"/>
    <w:basedOn w:val="1"/>
    <w:qFormat/>
    <w:uiPriority w:val="0"/>
    <w:pPr>
      <w:ind w:firstLine="200"/>
    </w:pPr>
    <w:rPr>
      <w:rFonts w:eastAsia="Tw Cen MT Condensed"/>
      <w:szCs w:val="28"/>
    </w:rPr>
  </w:style>
  <w:style w:type="paragraph" w:customStyle="1" w:styleId="662">
    <w:name w:val="font8"/>
    <w:basedOn w:val="1"/>
    <w:qFormat/>
    <w:uiPriority w:val="0"/>
    <w:pPr>
      <w:widowControl/>
      <w:spacing w:before="100" w:beforeAutospacing="1" w:after="100" w:afterAutospacing="1"/>
      <w:jc w:val="left"/>
    </w:pPr>
    <w:rPr>
      <w:b/>
      <w:bCs/>
      <w:color w:val="000000"/>
      <w:kern w:val="0"/>
      <w:sz w:val="20"/>
      <w:szCs w:val="20"/>
    </w:rPr>
  </w:style>
  <w:style w:type="paragraph" w:customStyle="1" w:styleId="663">
    <w:name w:val="xl16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eastAsia="宋体"/>
      <w:b/>
      <w:bCs/>
      <w:kern w:val="0"/>
      <w:sz w:val="20"/>
      <w:szCs w:val="20"/>
    </w:rPr>
  </w:style>
  <w:style w:type="paragraph" w:customStyle="1" w:styleId="664">
    <w:name w:val="xl37"/>
    <w:basedOn w:val="1"/>
    <w:qFormat/>
    <w:uiPriority w:val="0"/>
    <w:pPr>
      <w:widowControl/>
      <w:pBdr>
        <w:bottom w:val="single" w:color="auto" w:sz="4" w:space="0"/>
      </w:pBdr>
      <w:spacing w:before="100" w:beforeAutospacing="1" w:after="100" w:afterAutospacing="1"/>
      <w:jc w:val="left"/>
    </w:pPr>
    <w:rPr>
      <w:rFonts w:hint="eastAsia" w:ascii="宋体" w:hAnsi="宋体" w:eastAsia="宋体"/>
      <w:kern w:val="0"/>
      <w:sz w:val="24"/>
    </w:rPr>
  </w:style>
  <w:style w:type="paragraph" w:customStyle="1" w:styleId="665">
    <w:name w:val="样式 标题 2 + 仿宋_GB2312"/>
    <w:basedOn w:val="3"/>
    <w:qFormat/>
    <w:uiPriority w:val="0"/>
    <w:pPr>
      <w:numPr>
        <w:ilvl w:val="0"/>
        <w:numId w:val="0"/>
      </w:numPr>
      <w:adjustRightInd/>
      <w:spacing w:before="0" w:line="600" w:lineRule="atLeast"/>
      <w:ind w:firstLine="200" w:firstLineChars="200"/>
    </w:pPr>
    <w:rPr>
      <w:rFonts w:hAnsi="宋体" w:cs="宋体"/>
      <w:bCs/>
      <w:spacing w:val="0"/>
      <w:kern w:val="2"/>
      <w:position w:val="0"/>
    </w:rPr>
  </w:style>
  <w:style w:type="paragraph" w:customStyle="1" w:styleId="666">
    <w:name w:val="正文 New New New New New New New New New New New New"/>
    <w:qFormat/>
    <w:uiPriority w:val="0"/>
    <w:pPr>
      <w:widowControl w:val="0"/>
      <w:jc w:val="both"/>
    </w:pPr>
    <w:rPr>
      <w:rFonts w:ascii="Times New Roman" w:hAnsi="Times New Roman" w:eastAsia="宋体" w:cs="Yu Mincho Light"/>
      <w:kern w:val="2"/>
      <w:sz w:val="21"/>
      <w:szCs w:val="21"/>
      <w:lang w:val="en-US" w:eastAsia="zh-CN" w:bidi="ar-SA"/>
    </w:rPr>
  </w:style>
  <w:style w:type="paragraph" w:customStyle="1" w:styleId="667">
    <w:name w:val="简单回函地址"/>
    <w:basedOn w:val="1"/>
    <w:qFormat/>
    <w:uiPriority w:val="0"/>
  </w:style>
  <w:style w:type="paragraph" w:customStyle="1" w:styleId="66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Calibri"/>
      <w:kern w:val="0"/>
      <w:sz w:val="24"/>
    </w:rPr>
  </w:style>
  <w:style w:type="paragraph" w:customStyle="1" w:styleId="669">
    <w:name w:val="Header or footer|1"/>
    <w:basedOn w:val="1"/>
    <w:qFormat/>
    <w:uiPriority w:val="0"/>
    <w:rPr>
      <w:rFonts w:ascii="宋体" w:hAnsi="宋体" w:eastAsia="宋体" w:cs="宋体"/>
      <w:lang w:val="zh-TW" w:eastAsia="zh-TW" w:bidi="zh-TW"/>
    </w:rPr>
  </w:style>
  <w:style w:type="paragraph" w:customStyle="1" w:styleId="670">
    <w:name w:val="样式 标题 1章 + 宋体 行距: 单倍行距1"/>
    <w:basedOn w:val="2"/>
    <w:qFormat/>
    <w:uiPriority w:val="0"/>
    <w:pPr>
      <w:numPr>
        <w:numId w:val="0"/>
      </w:numPr>
      <w:tabs>
        <w:tab w:val="left" w:pos="432"/>
      </w:tabs>
      <w:spacing w:before="100" w:beforeAutospacing="1" w:after="100" w:afterAutospacing="1"/>
      <w:ind w:left="431" w:hanging="431"/>
    </w:pPr>
    <w:rPr>
      <w:rFonts w:ascii="Calibri" w:hAnsi="Calibri" w:eastAsia="Calibri" w:cs="Calibri"/>
      <w:b w:val="0"/>
      <w:bCs/>
      <w:snapToGrid w:val="0"/>
      <w:sz w:val="30"/>
      <w:szCs w:val="30"/>
    </w:rPr>
  </w:style>
  <w:style w:type="paragraph" w:customStyle="1" w:styleId="671">
    <w:name w:val="征文"/>
    <w:basedOn w:val="1"/>
    <w:qFormat/>
    <w:uiPriority w:val="0"/>
    <w:pPr>
      <w:snapToGrid w:val="0"/>
      <w:spacing w:line="312" w:lineRule="auto"/>
      <w:jc w:val="center"/>
    </w:pPr>
    <w:rPr>
      <w:rFonts w:ascii="宋体" w:hAnsi="宋体" w:eastAsia="宋体"/>
      <w:szCs w:val="20"/>
    </w:rPr>
  </w:style>
  <w:style w:type="paragraph" w:customStyle="1" w:styleId="672">
    <w:name w:val="小点"/>
    <w:basedOn w:val="1"/>
    <w:qFormat/>
    <w:uiPriority w:val="0"/>
    <w:pPr>
      <w:wordWrap w:val="0"/>
      <w:autoSpaceDE w:val="0"/>
      <w:autoSpaceDN w:val="0"/>
      <w:adjustRightInd w:val="0"/>
      <w:snapToGrid w:val="0"/>
      <w:textAlignment w:val="baseline"/>
    </w:pPr>
    <w:rPr>
      <w:rFonts w:ascii="Cambria" w:hAnsi="Cambria"/>
      <w:kern w:val="0"/>
      <w:sz w:val="26"/>
      <w:szCs w:val="20"/>
    </w:rPr>
  </w:style>
  <w:style w:type="paragraph" w:customStyle="1" w:styleId="673">
    <w:name w:val="样式3"/>
    <w:basedOn w:val="6"/>
    <w:qFormat/>
    <w:uiPriority w:val="0"/>
    <w:rPr>
      <w:rFonts w:ascii="仿宋_GB2312" w:hAnsi="仿宋_GB2312" w:eastAsia="Calibri"/>
    </w:rPr>
  </w:style>
  <w:style w:type="paragraph" w:customStyle="1" w:styleId="674">
    <w:name w:val="表内样式"/>
    <w:basedOn w:val="1"/>
    <w:next w:val="569"/>
    <w:qFormat/>
    <w:uiPriority w:val="0"/>
    <w:pPr>
      <w:spacing w:line="360" w:lineRule="exact"/>
      <w:ind w:firstLine="0" w:firstLineChars="0"/>
      <w:jc w:val="center"/>
    </w:pPr>
    <w:rPr>
      <w:sz w:val="21"/>
      <w:szCs w:val="22"/>
    </w:rPr>
  </w:style>
  <w:style w:type="paragraph" w:customStyle="1" w:styleId="675">
    <w:name w:val="表格侧编号"/>
    <w:next w:val="1"/>
    <w:qFormat/>
    <w:uiPriority w:val="0"/>
    <w:pPr>
      <w:widowControl w:val="0"/>
      <w:tabs>
        <w:tab w:val="left" w:pos="252"/>
      </w:tabs>
      <w:adjustRightInd w:val="0"/>
      <w:snapToGrid w:val="0"/>
      <w:spacing w:line="360" w:lineRule="auto"/>
      <w:ind w:right="-108"/>
      <w:textAlignment w:val="baseline"/>
    </w:pPr>
    <w:rPr>
      <w:rFonts w:ascii="Times New Roman" w:hAnsi="Times New Roman" w:eastAsia="宋体" w:cs="Times New Roman"/>
      <w:kern w:val="2"/>
      <w:sz w:val="21"/>
      <w:szCs w:val="21"/>
      <w:lang w:val="en-US" w:eastAsia="zh-CN" w:bidi="ar-SA"/>
    </w:rPr>
  </w:style>
  <w:style w:type="paragraph" w:customStyle="1" w:styleId="676">
    <w:name w:val="xl16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677">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b/>
      <w:bCs/>
      <w:kern w:val="0"/>
      <w:sz w:val="16"/>
      <w:szCs w:val="16"/>
    </w:rPr>
  </w:style>
  <w:style w:type="paragraph" w:customStyle="1" w:styleId="678">
    <w:name w:val="样式 标题 3 + 四号 黑色 行距: 1.5 倍行距1"/>
    <w:basedOn w:val="4"/>
    <w:qFormat/>
    <w:uiPriority w:val="0"/>
    <w:pPr>
      <w:numPr>
        <w:ilvl w:val="0"/>
        <w:numId w:val="0"/>
      </w:numPr>
      <w:ind w:left="-2" w:leftChars="-1" w:firstLine="1"/>
    </w:pPr>
    <w:rPr>
      <w:rFonts w:eastAsia="Cambria Math"/>
      <w:b w:val="0"/>
      <w:sz w:val="30"/>
      <w:szCs w:val="30"/>
    </w:rPr>
  </w:style>
  <w:style w:type="paragraph" w:customStyle="1" w:styleId="679">
    <w:name w:val="Char1 Char Char Char"/>
    <w:basedOn w:val="1"/>
    <w:qFormat/>
    <w:uiPriority w:val="0"/>
    <w:pPr>
      <w:adjustRightInd w:val="0"/>
      <w:snapToGrid w:val="0"/>
      <w:ind w:firstLine="200"/>
    </w:pPr>
    <w:rPr>
      <w:kern w:val="0"/>
      <w:sz w:val="24"/>
      <w:szCs w:val="20"/>
    </w:rPr>
  </w:style>
  <w:style w:type="paragraph" w:customStyle="1" w:styleId="680">
    <w:name w:val="pic-info"/>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81">
    <w:name w:val="xl58"/>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left"/>
      <w:textAlignment w:val="center"/>
    </w:pPr>
    <w:rPr>
      <w:rFonts w:ascii="Arial Unicode MS" w:hAnsi="Arial Unicode MS" w:eastAsia="Arial Unicode MS" w:cs="Arial Unicode MS"/>
      <w:b/>
      <w:bCs/>
      <w:kern w:val="0"/>
      <w:sz w:val="24"/>
    </w:rPr>
  </w:style>
  <w:style w:type="paragraph" w:customStyle="1" w:styleId="682">
    <w:name w:val="xl129"/>
    <w:basedOn w:val="1"/>
    <w:qFormat/>
    <w:uiPriority w:val="0"/>
    <w:pPr>
      <w:widowControl/>
      <w:pBdr>
        <w:top w:val="single" w:color="auto" w:sz="4" w:space="0"/>
      </w:pBdr>
      <w:spacing w:before="100" w:beforeAutospacing="1" w:after="100" w:afterAutospacing="1"/>
      <w:jc w:val="center"/>
    </w:pPr>
    <w:rPr>
      <w:b/>
      <w:bCs/>
      <w:kern w:val="0"/>
      <w:sz w:val="20"/>
      <w:szCs w:val="20"/>
    </w:rPr>
  </w:style>
  <w:style w:type="paragraph" w:customStyle="1" w:styleId="683">
    <w:name w:val="reader-word-layer"/>
    <w:basedOn w:val="1"/>
    <w:qFormat/>
    <w:uiPriority w:val="0"/>
    <w:pPr>
      <w:widowControl/>
      <w:spacing w:before="100" w:beforeAutospacing="1" w:after="100" w:afterAutospacing="1"/>
      <w:jc w:val="left"/>
    </w:pPr>
    <w:rPr>
      <w:rFonts w:ascii="Calibri" w:hAnsi="Calibri" w:cs="Calibri"/>
      <w:kern w:val="0"/>
      <w:sz w:val="24"/>
    </w:rPr>
  </w:style>
  <w:style w:type="paragraph" w:customStyle="1" w:styleId="684">
    <w:name w:val="列出段落5"/>
    <w:basedOn w:val="1"/>
    <w:unhideWhenUsed/>
    <w:qFormat/>
    <w:uiPriority w:val="99"/>
    <w:pPr>
      <w:ind w:firstLine="420"/>
    </w:pPr>
  </w:style>
  <w:style w:type="table" w:customStyle="1" w:styleId="685">
    <w:name w:val="TableGrid"/>
    <w:qFormat/>
    <w:uiPriority w:val="0"/>
    <w:rPr>
      <w:rFonts w:ascii="等线" w:hAnsi="等线"/>
      <w:kern w:val="2"/>
      <w:sz w:val="21"/>
      <w:szCs w:val="22"/>
    </w:rPr>
    <w:tblPr>
      <w:tblCellMar>
        <w:top w:w="0" w:type="dxa"/>
        <w:left w:w="0" w:type="dxa"/>
        <w:bottom w:w="0" w:type="dxa"/>
        <w:right w:w="0" w:type="dxa"/>
      </w:tblCellMar>
    </w:tblPr>
  </w:style>
  <w:style w:type="table" w:customStyle="1" w:styleId="686">
    <w:name w:val="表格样式1"/>
    <w:basedOn w:val="59"/>
    <w:qFormat/>
    <w:uiPriority w:val="0"/>
    <w:pPr>
      <w:snapToGrid w:val="0"/>
    </w:pPr>
    <w:rPr>
      <w:sz w:val="18"/>
      <w:szCs w:val="21"/>
    </w:rPr>
    <w:tblPr>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57" w:type="dxa"/>
        <w:right w:w="57" w:type="dxa"/>
      </w:tblCellMar>
    </w:tblPr>
    <w:trPr>
      <w:jc w:val="center"/>
    </w:trPr>
    <w:tcPr>
      <w:tcMar>
        <w:left w:w="28" w:type="dxa"/>
        <w:right w:w="28" w:type="dxa"/>
      </w:tcMar>
      <w:vAlign w:val="center"/>
    </w:tcPr>
  </w:style>
  <w:style w:type="paragraph" w:customStyle="1" w:styleId="687">
    <w:name w:val="正文_14pt"/>
    <w:basedOn w:val="1"/>
    <w:qFormat/>
    <w:uiPriority w:val="0"/>
    <w:pPr>
      <w:autoSpaceDE w:val="0"/>
      <w:autoSpaceDN w:val="0"/>
      <w:adjustRightInd w:val="0"/>
      <w:spacing w:line="480" w:lineRule="atLeast"/>
    </w:pPr>
    <w:rPr>
      <w:rFonts w:hint="eastAsia" w:ascii="方正兰亭黑简体" w:hAnsi="Calibri" w:eastAsia="方正兰亭黑简体"/>
      <w:color w:val="191919"/>
      <w:kern w:val="0"/>
      <w:szCs w:val="28"/>
    </w:rPr>
  </w:style>
  <w:style w:type="paragraph" w:customStyle="1" w:styleId="688">
    <w:name w:val="样式 样式 楷体 小三 行距: 1.5 倍行距 + 首行缩进:  2 字符"/>
    <w:basedOn w:val="1"/>
    <w:qFormat/>
    <w:uiPriority w:val="99"/>
    <w:pPr>
      <w:tabs>
        <w:tab w:val="left" w:pos="720"/>
      </w:tabs>
      <w:ind w:firstLine="640"/>
    </w:pPr>
    <w:rPr>
      <w:rFonts w:ascii="楷体" w:hAnsi="楷体" w:eastAsia="楷体_GB2312" w:cs="宋体"/>
      <w:sz w:val="32"/>
      <w:szCs w:val="20"/>
    </w:rPr>
  </w:style>
  <w:style w:type="paragraph" w:customStyle="1" w:styleId="689">
    <w:name w:val="图片"/>
    <w:basedOn w:val="16"/>
    <w:qFormat/>
    <w:uiPriority w:val="0"/>
    <w:rPr>
      <w:color w:val="000000"/>
    </w:rPr>
  </w:style>
  <w:style w:type="paragraph" w:customStyle="1" w:styleId="690">
    <w:name w:val="00正文蓝色"/>
    <w:basedOn w:val="1"/>
    <w:qFormat/>
    <w:uiPriority w:val="0"/>
    <w:pPr>
      <w:ind w:firstLine="480"/>
      <w:jc w:val="left"/>
    </w:pPr>
    <w:rPr>
      <w:color w:val="00B0F0"/>
      <w:szCs w:val="21"/>
    </w:rPr>
  </w:style>
  <w:style w:type="table" w:customStyle="1" w:styleId="691">
    <w:name w:val="Table Normal"/>
    <w:unhideWhenUsed/>
    <w:qFormat/>
    <w:uiPriority w:val="0"/>
    <w:tblPr>
      <w:tblCellMar>
        <w:top w:w="0" w:type="dxa"/>
        <w:left w:w="0" w:type="dxa"/>
        <w:bottom w:w="0" w:type="dxa"/>
        <w:right w:w="0" w:type="dxa"/>
      </w:tblCellMar>
    </w:tblPr>
  </w:style>
  <w:style w:type="paragraph" w:customStyle="1" w:styleId="692">
    <w:name w:val="列出段落1"/>
    <w:basedOn w:val="1"/>
    <w:qFormat/>
    <w:uiPriority w:val="34"/>
    <w:pPr>
      <w:ind w:firstLine="420"/>
    </w:pPr>
  </w:style>
  <w:style w:type="paragraph" w:customStyle="1" w:styleId="693">
    <w:name w:val="Table Text"/>
    <w:basedOn w:val="1"/>
    <w:semiHidden/>
    <w:qFormat/>
    <w:uiPriority w:val="0"/>
    <w:rPr>
      <w:rFonts w:ascii="仿宋" w:hAnsi="仿宋" w:eastAsia="仿宋" w:cs="仿宋"/>
      <w:sz w:val="31"/>
      <w:szCs w:val="31"/>
      <w:lang w:eastAsia="en-US"/>
    </w:rPr>
  </w:style>
  <w:style w:type="table" w:customStyle="1" w:styleId="694">
    <w:name w:val="网格型1"/>
    <w:basedOn w:val="5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5">
    <w:name w:val="layui-layer-tabnow"/>
    <w:basedOn w:val="63"/>
    <w:qFormat/>
    <w:uiPriority w:val="0"/>
    <w:rPr>
      <w:bdr w:val="single" w:color="CCCCCC" w:sz="4" w:space="0"/>
      <w:shd w:val="clear" w:color="auto" w:fill="FFFFFF"/>
    </w:rPr>
  </w:style>
  <w:style w:type="character" w:customStyle="1" w:styleId="696">
    <w:name w:val="first-child"/>
    <w:basedOn w:val="63"/>
    <w:qFormat/>
    <w:uiPriority w:val="0"/>
  </w:style>
  <w:style w:type="character" w:customStyle="1" w:styleId="697">
    <w:name w:val="number"/>
    <w:basedOn w:val="63"/>
    <w:qFormat/>
    <w:uiPriority w:val="0"/>
  </w:style>
  <w:style w:type="character" w:customStyle="1" w:styleId="698">
    <w:name w:val="hover44"/>
    <w:basedOn w:val="63"/>
    <w:qFormat/>
    <w:uiPriority w:val="0"/>
  </w:style>
  <w:style w:type="character" w:customStyle="1" w:styleId="699">
    <w:name w:val="hover45"/>
    <w:basedOn w:val="63"/>
    <w:qFormat/>
    <w:uiPriority w:val="0"/>
  </w:style>
  <w:style w:type="character" w:customStyle="1" w:styleId="700">
    <w:name w:val="hover46"/>
    <w:basedOn w:val="63"/>
    <w:qFormat/>
    <w:uiPriority w:val="0"/>
  </w:style>
  <w:style w:type="character" w:customStyle="1" w:styleId="701">
    <w:name w:val="hover47"/>
    <w:basedOn w:val="63"/>
    <w:qFormat/>
    <w:uiPriority w:val="0"/>
  </w:style>
  <w:style w:type="character" w:customStyle="1" w:styleId="702">
    <w:name w:val="textr"/>
    <w:basedOn w:val="63"/>
    <w:qFormat/>
    <w:uiPriority w:val="0"/>
  </w:style>
  <w:style w:type="character" w:customStyle="1" w:styleId="703">
    <w:name w:val="dot"/>
    <w:basedOn w:val="63"/>
    <w:qFormat/>
    <w:uiPriority w:val="0"/>
  </w:style>
  <w:style w:type="character" w:customStyle="1" w:styleId="704">
    <w:name w:val="time4"/>
    <w:basedOn w:val="63"/>
    <w:qFormat/>
    <w:uiPriority w:val="0"/>
    <w:rPr>
      <w:color w:val="999999"/>
    </w:rPr>
  </w:style>
  <w:style w:type="character" w:customStyle="1" w:styleId="705">
    <w:name w:val="name"/>
    <w:basedOn w:val="63"/>
    <w:qFormat/>
    <w:uiPriority w:val="0"/>
  </w:style>
  <w:style w:type="character" w:customStyle="1" w:styleId="706">
    <w:name w:val="wenhao"/>
    <w:basedOn w:val="63"/>
    <w:qFormat/>
    <w:uiPriority w:val="0"/>
  </w:style>
  <w:style w:type="character" w:customStyle="1" w:styleId="707">
    <w:name w:val="time"/>
    <w:basedOn w:val="63"/>
    <w:qFormat/>
    <w:uiPriority w:val="0"/>
    <w:rPr>
      <w:color w:val="999999"/>
    </w:rPr>
  </w:style>
  <w:style w:type="character" w:customStyle="1" w:styleId="708">
    <w:name w:val="hover"/>
    <w:basedOn w:val="63"/>
    <w:qFormat/>
    <w:uiPriority w:val="0"/>
  </w:style>
  <w:style w:type="character" w:customStyle="1" w:styleId="709">
    <w:name w:val="hover1"/>
    <w:basedOn w:val="63"/>
    <w:qFormat/>
    <w:uiPriority w:val="0"/>
  </w:style>
  <w:style w:type="character" w:customStyle="1" w:styleId="710">
    <w:name w:val="hover2"/>
    <w:basedOn w:val="63"/>
    <w:qFormat/>
    <w:uiPriority w:val="0"/>
  </w:style>
  <w:style w:type="character" w:customStyle="1" w:styleId="711">
    <w:name w:val="hover3"/>
    <w:basedOn w:val="63"/>
    <w:qFormat/>
    <w:uiPriority w:val="0"/>
  </w:style>
  <w:style w:type="character" w:customStyle="1" w:styleId="712">
    <w:name w:val="hover4"/>
    <w:basedOn w:val="63"/>
    <w:qFormat/>
    <w:uiPriority w:val="0"/>
  </w:style>
  <w:style w:type="character" w:customStyle="1" w:styleId="713">
    <w:name w:val="hover5"/>
    <w:basedOn w:val="63"/>
    <w:qFormat/>
    <w:uiPriority w:val="0"/>
  </w:style>
  <w:style w:type="character" w:customStyle="1" w:styleId="714">
    <w:name w:val="hover43"/>
    <w:basedOn w:val="63"/>
    <w:qFormat/>
    <w:uiPriority w:val="0"/>
  </w:style>
  <w:style w:type="character" w:customStyle="1" w:styleId="715">
    <w:name w:val="17"/>
    <w:basedOn w:val="63"/>
    <w:qFormat/>
    <w:uiPriority w:val="0"/>
    <w:rPr>
      <w:rFonts w:hint="default" w:ascii="仿宋_GB2312" w:eastAsia="仿宋_GB2312" w:cs="仿宋_GB2312"/>
      <w:color w:val="000000"/>
      <w:sz w:val="21"/>
      <w:szCs w:val="21"/>
    </w:rPr>
  </w:style>
  <w:style w:type="character" w:customStyle="1" w:styleId="716">
    <w:name w:val="16"/>
    <w:basedOn w:val="63"/>
    <w:qFormat/>
    <w:uiPriority w:val="0"/>
    <w:rPr>
      <w:rFonts w:hint="default" w:ascii="Times New Roman" w:hAnsi="Times New Roman" w:cs="Times New Roman"/>
      <w:color w:val="000000"/>
      <w:sz w:val="21"/>
      <w:szCs w:val="21"/>
    </w:rPr>
  </w:style>
  <w:style w:type="table" w:customStyle="1" w:styleId="717">
    <w:name w:val="网格型13"/>
    <w:basedOn w:val="59"/>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8">
    <w:name w:val="Revision"/>
    <w:hidden/>
    <w:unhideWhenUsed/>
    <w:qFormat/>
    <w:uiPriority w:val="99"/>
    <w:rPr>
      <w:rFonts w:ascii="Times New Roman"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E95D2-BE09-4B26-86BF-0963606134E1}">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82</Pages>
  <Words>30215</Words>
  <Characters>52192</Characters>
  <Lines>424</Lines>
  <Paragraphs>119</Paragraphs>
  <TotalTime>16</TotalTime>
  <ScaleCrop>false</ScaleCrop>
  <LinksUpToDate>false</LinksUpToDate>
  <CharactersWithSpaces>55914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2024-05-17T01:49:00Z</dcterms:created>
  <dc:creator>zhaoxinlei</dc:creator>
  <cp:lastModifiedBy>molayo</cp:lastModifiedBy>
  <cp:lastPrinted>2024-05-07T06:48:00Z</cp:lastPrinted>
  <dcterms:modified xsi:type="dcterms:W3CDTF">2024-09-12T15:15:38Z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B818C3DFB351432891F951C5BFDE2913_13</vt:lpwstr>
  </property>
</Properties>
</file>