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line="578"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keepNext w:val="0"/>
        <w:keepLines w:val="0"/>
        <w:pageBreakBefore w:val="0"/>
        <w:kinsoku/>
        <w:wordWrap/>
        <w:overflowPunct/>
        <w:topLinePunct w:val="0"/>
        <w:bidi w:val="0"/>
        <w:snapToGrid/>
        <w:spacing w:line="578" w:lineRule="exact"/>
        <w:textAlignment w:val="auto"/>
        <w:rPr>
          <w:rFonts w:hint="default" w:ascii="Times New Roman" w:hAnsi="Times New Roman" w:eastAsia="方正小标宋简体" w:cs="Times New Roman"/>
        </w:rPr>
      </w:pPr>
      <w:r>
        <w:rPr>
          <w:rFonts w:hint="default" w:ascii="Times New Roman" w:hAnsi="Times New Roman" w:eastAsia="方正小标宋简体" w:cs="Times New Roman"/>
        </w:rPr>
        <w:t>202</w:t>
      </w:r>
      <w:r>
        <w:rPr>
          <w:rFonts w:hint="default" w:ascii="Times New Roman" w:hAnsi="Times New Roman" w:cs="Times New Roman"/>
          <w:lang w:val="en-US" w:eastAsia="zh-CN"/>
        </w:rPr>
        <w:t>4</w:t>
      </w:r>
      <w:r>
        <w:rPr>
          <w:rFonts w:hint="default" w:ascii="Times New Roman" w:hAnsi="Times New Roman" w:eastAsia="方正小标宋简体" w:cs="Times New Roman"/>
        </w:rPr>
        <w:t>年度</w:t>
      </w:r>
      <w:r>
        <w:rPr>
          <w:rFonts w:hint="default" w:ascii="Times New Roman" w:hAnsi="Times New Roman" w:eastAsia="方正小标宋简体" w:cs="Times New Roman"/>
          <w:lang w:val="en-US" w:eastAsia="zh-CN"/>
        </w:rPr>
        <w:t>醴陵市</w:t>
      </w:r>
      <w:r>
        <w:rPr>
          <w:rFonts w:hint="default" w:ascii="Times New Roman" w:hAnsi="Times New Roman" w:eastAsia="方正小标宋简体" w:cs="Times New Roman"/>
        </w:rPr>
        <w:t>肉牛肉羊增量提质行动项目实施方案</w:t>
      </w:r>
    </w:p>
    <w:p>
      <w:pPr>
        <w:keepNext w:val="0"/>
        <w:keepLines w:val="0"/>
        <w:widowControl/>
        <w:suppressLineNumbers w:val="0"/>
        <w:ind w:firstLine="640" w:firstLineChars="200"/>
        <w:jc w:val="left"/>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bCs w:val="0"/>
          <w:kern w:val="2"/>
          <w:sz w:val="32"/>
          <w:szCs w:val="24"/>
          <w:lang w:val="en-US" w:eastAsia="zh-CN" w:bidi="ar-SA"/>
        </w:rPr>
        <w:t>为提高我市的肉牛肉羊养殖规模化比重和产量，根据</w:t>
      </w:r>
      <w:r>
        <w:rPr>
          <w:rFonts w:hint="default" w:ascii="Times New Roman" w:hAnsi="Times New Roman" w:eastAsia="仿宋_GB2312" w:cs="Times New Roman"/>
          <w:color w:val="000000"/>
          <w:kern w:val="0"/>
          <w:sz w:val="32"/>
          <w:szCs w:val="32"/>
          <w:lang w:val="en-US" w:eastAsia="zh-CN" w:bidi="ar"/>
        </w:rPr>
        <w:t>湖南省农业农村厅办公室《关于做好我省2024年畜牧业发展政策任务实施工作的通知》（湘农办函[2024]25号）文件要求</w:t>
      </w:r>
      <w:r>
        <w:rPr>
          <w:rFonts w:hint="default" w:ascii="Times New Roman" w:hAnsi="Times New Roman" w:eastAsia="仿宋_GB2312" w:cs="Times New Roman"/>
          <w:bCs w:val="0"/>
          <w:kern w:val="2"/>
          <w:sz w:val="32"/>
          <w:szCs w:val="24"/>
          <w:lang w:val="en-US" w:eastAsia="zh-CN" w:bidi="ar-SA"/>
        </w:rPr>
        <w:t>，结合我市实际情况，制定本实施方案。</w:t>
      </w:r>
    </w:p>
    <w:p>
      <w:pPr>
        <w:keepNext w:val="0"/>
        <w:keepLines w:val="0"/>
        <w:pageBreakBefore w:val="0"/>
        <w:widowControl/>
        <w:suppressLineNumbers w:val="0"/>
        <w:kinsoku/>
        <w:wordWrap/>
        <w:overflowPunct/>
        <w:topLinePunct w:val="0"/>
        <w:bidi w:val="0"/>
        <w:snapToGrid/>
        <w:spacing w:line="578"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color w:val="000000"/>
          <w:kern w:val="0"/>
          <w:sz w:val="32"/>
          <w:szCs w:val="32"/>
          <w:lang w:val="en-US" w:eastAsia="zh-CN" w:bidi="ar"/>
        </w:rPr>
        <w:t>总体要求</w:t>
      </w:r>
    </w:p>
    <w:p>
      <w:pPr>
        <w:keepNext w:val="0"/>
        <w:keepLines w:val="0"/>
        <w:pageBreakBefore w:val="0"/>
        <w:kinsoku/>
        <w:wordWrap/>
        <w:overflowPunct/>
        <w:topLinePunct w:val="0"/>
        <w:autoSpaceDE w:val="0"/>
        <w:autoSpaceDN w:val="0"/>
        <w:bidi w:val="0"/>
        <w:adjustRightInd w:val="0"/>
        <w:snapToGrid/>
        <w:spacing w:line="578" w:lineRule="exact"/>
        <w:ind w:left="0" w:leftChars="0" w:firstLine="640" w:firstLineChars="200"/>
        <w:jc w:val="left"/>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bCs w:val="0"/>
          <w:kern w:val="2"/>
          <w:sz w:val="32"/>
          <w:szCs w:val="24"/>
          <w:lang w:val="en-US" w:eastAsia="zh-CN" w:bidi="ar-SA"/>
        </w:rPr>
        <w:t>以习近平新时代中国特色社会主义思想为指导，贯彻落实《中共中央、国务院关于全面推进乡村振兴加快农业农村现代化的意见》要求，以</w:t>
      </w:r>
      <w:r>
        <w:rPr>
          <w:rFonts w:hint="eastAsia"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养殖规模化、生产标准化、草畜平衡</w:t>
      </w:r>
      <w:r>
        <w:rPr>
          <w:rFonts w:hint="eastAsia"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为核心，统筹考虑县域种养规模、资源环境承载力，加快推进标准化适度规模养殖增量提质，大力推广种养结合的生态养殖模式。优先支持符合条件的国家级、省级肉牛肉羊养殖标准化示范场扩大规模，完善防疫、治污设施，推广优质高产牧草种植、贮存、加工技术，鼓励养殖企业进行综合利用技术改造，达到草畜平衡种养结合综合利用。通过项目带动整体推进，实现全县牛羊产业增量提质跨越发展。</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cs="Times New Roman"/>
          <w:sz w:val="32"/>
          <w:szCs w:val="32"/>
        </w:rPr>
      </w:pPr>
      <w:r>
        <w:rPr>
          <w:rFonts w:hint="default" w:ascii="Times New Roman" w:hAnsi="Times New Roman" w:cs="Times New Roman"/>
          <w:sz w:val="32"/>
          <w:szCs w:val="32"/>
        </w:rPr>
        <w:t>二、建设思路和目标</w:t>
      </w:r>
    </w:p>
    <w:p>
      <w:pPr>
        <w:keepNext w:val="0"/>
        <w:keepLines w:val="0"/>
        <w:pageBreakBefore w:val="0"/>
        <w:widowControl/>
        <w:suppressLineNumbers w:val="0"/>
        <w:kinsoku/>
        <w:wordWrap/>
        <w:overflowPunct/>
        <w:topLinePunct w:val="0"/>
        <w:bidi w:val="0"/>
        <w:snapToGrid/>
        <w:spacing w:line="578" w:lineRule="exact"/>
        <w:ind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b w:val="0"/>
          <w:bCs/>
          <w:sz w:val="32"/>
          <w:szCs w:val="32"/>
          <w:lang w:val="en-US" w:eastAsia="zh-CN"/>
        </w:rPr>
        <w:t xml:space="preserve">产业发展布局原则 </w:t>
      </w:r>
    </w:p>
    <w:p>
      <w:pPr>
        <w:keepNext w:val="0"/>
        <w:keepLines w:val="0"/>
        <w:pageBreakBefore w:val="0"/>
        <w:kinsoku/>
        <w:wordWrap/>
        <w:overflowPunct/>
        <w:topLinePunct w:val="0"/>
        <w:autoSpaceDE w:val="0"/>
        <w:autoSpaceDN w:val="0"/>
        <w:bidi w:val="0"/>
        <w:adjustRightInd w:val="0"/>
        <w:snapToGrid/>
        <w:spacing w:line="578" w:lineRule="exact"/>
        <w:ind w:left="0" w:leftChars="0" w:firstLine="643" w:firstLineChars="200"/>
        <w:jc w:val="left"/>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一是坚持畜地平衡、总量控制、资源循环利用的原则。</w:t>
      </w:r>
      <w:r>
        <w:rPr>
          <w:rFonts w:hint="default" w:ascii="Times New Roman" w:hAnsi="Times New Roman" w:eastAsia="仿宋_GB2312" w:cs="Times New Roman"/>
          <w:bCs w:val="0"/>
          <w:kern w:val="2"/>
          <w:sz w:val="32"/>
          <w:szCs w:val="24"/>
          <w:lang w:val="en-US" w:eastAsia="zh-CN" w:bidi="ar-SA"/>
        </w:rPr>
        <w:t xml:space="preserve">按照一定的土地面积消纳养殖一定数量的畜禽，充分利用粪污还田，就近消纳养殖场粪便与污水，实现养殖业发展与土壤肥力改造相结合，实现资源循环利用，达到环境保护的目的。 </w:t>
      </w:r>
    </w:p>
    <w:p>
      <w:pPr>
        <w:keepNext w:val="0"/>
        <w:keepLines w:val="0"/>
        <w:pageBreakBefore w:val="0"/>
        <w:widowControl/>
        <w:suppressLineNumbers w:val="0"/>
        <w:kinsoku/>
        <w:wordWrap/>
        <w:overflowPunct/>
        <w:topLinePunct w:val="0"/>
        <w:bidi w:val="0"/>
        <w:snapToGrid/>
        <w:spacing w:line="578" w:lineRule="exact"/>
        <w:ind w:firstLine="643" w:firstLineChars="200"/>
        <w:jc w:val="left"/>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二是坚持增量提质的原则。</w:t>
      </w:r>
      <w:r>
        <w:rPr>
          <w:rFonts w:hint="default" w:ascii="Times New Roman" w:hAnsi="Times New Roman" w:eastAsia="仿宋_GB2312" w:cs="Times New Roman"/>
          <w:bCs w:val="0"/>
          <w:kern w:val="2"/>
          <w:sz w:val="32"/>
          <w:szCs w:val="24"/>
          <w:lang w:val="en-US" w:eastAsia="zh-CN" w:bidi="ar-SA"/>
        </w:rPr>
        <w:t xml:space="preserve">立足资源优势，突出地方特色，大力推广高效健康养殖，发展生态养殖和湘东黑山羊优质肉羊养殖。 </w:t>
      </w:r>
    </w:p>
    <w:p>
      <w:pPr>
        <w:keepNext w:val="0"/>
        <w:keepLines w:val="0"/>
        <w:pageBreakBefore w:val="0"/>
        <w:widowControl/>
        <w:suppressLineNumbers w:val="0"/>
        <w:kinsoku/>
        <w:wordWrap/>
        <w:overflowPunct/>
        <w:topLinePunct w:val="0"/>
        <w:bidi w:val="0"/>
        <w:snapToGrid/>
        <w:spacing w:line="578" w:lineRule="exact"/>
        <w:ind w:firstLine="643" w:firstLineChars="200"/>
        <w:jc w:val="left"/>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三是统筹规划与重点突出的原则。</w:t>
      </w:r>
      <w:r>
        <w:rPr>
          <w:rFonts w:hint="default" w:ascii="Times New Roman" w:hAnsi="Times New Roman" w:eastAsia="仿宋_GB2312" w:cs="Times New Roman"/>
          <w:bCs w:val="0"/>
          <w:kern w:val="2"/>
          <w:sz w:val="32"/>
          <w:szCs w:val="24"/>
          <w:lang w:val="en-US" w:eastAsia="zh-CN" w:bidi="ar-SA"/>
        </w:rPr>
        <w:t>因地制宜，合理布局，充分利用现有的</w:t>
      </w:r>
      <w:r>
        <w:rPr>
          <w:rFonts w:hint="eastAsia"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小规模、大群体</w:t>
      </w:r>
      <w:r>
        <w:rPr>
          <w:rFonts w:hint="eastAsia"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模式，最终实现总体上规模化集团养殖生产格局。突出规模化示范场带动作用，采用</w:t>
      </w:r>
      <w:r>
        <w:rPr>
          <w:rFonts w:hint="eastAsia"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企业+养殖基地+合作社+农户</w:t>
      </w:r>
      <w:r>
        <w:rPr>
          <w:rFonts w:hint="eastAsia"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的经营模式，分步实施，稳步推进。</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Cs w:val="0"/>
          <w:kern w:val="2"/>
          <w:sz w:val="32"/>
          <w:szCs w:val="32"/>
          <w:lang w:val="en-US" w:eastAsia="zh-CN" w:bidi="ar-SA"/>
        </w:rPr>
        <w:t>任务目标</w:t>
      </w:r>
    </w:p>
    <w:p>
      <w:pPr>
        <w:keepNext w:val="0"/>
        <w:keepLines w:val="0"/>
        <w:pageBreakBefore w:val="0"/>
        <w:widowControl/>
        <w:suppressLineNumbers w:val="0"/>
        <w:kinsoku/>
        <w:wordWrap/>
        <w:overflowPunct/>
        <w:topLinePunct w:val="0"/>
        <w:bidi w:val="0"/>
        <w:snapToGrid/>
        <w:spacing w:line="578" w:lineRule="exact"/>
        <w:ind w:firstLine="640" w:firstLineChars="200"/>
        <w:jc w:val="left"/>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bCs w:val="0"/>
          <w:kern w:val="2"/>
          <w:sz w:val="32"/>
          <w:szCs w:val="24"/>
          <w:lang w:val="en-US" w:eastAsia="zh-CN" w:bidi="ar-SA"/>
        </w:rPr>
        <w:t>以推广牛羊标准化生产为主线，通过科学利用草山草坡和农闲田资源扩大人工种草规模，提升饲草加工能力，完善牛羊养殖基础设施，挖掘醴陵市牛羊养殖潜力，拓展增产空间，增加牛羊肉供给。</w:t>
      </w:r>
    </w:p>
    <w:p>
      <w:pPr>
        <w:keepNext w:val="0"/>
        <w:keepLines w:val="0"/>
        <w:pageBreakBefore w:val="0"/>
        <w:widowControl/>
        <w:numPr>
          <w:ilvl w:val="0"/>
          <w:numId w:val="0"/>
        </w:numPr>
        <w:suppressLineNumbers w:val="0"/>
        <w:kinsoku/>
        <w:wordWrap/>
        <w:overflowPunct/>
        <w:topLinePunct w:val="0"/>
        <w:bidi w:val="0"/>
        <w:snapToGrid/>
        <w:spacing w:line="578" w:lineRule="exact"/>
        <w:ind w:firstLine="640" w:firstLineChars="200"/>
        <w:jc w:val="left"/>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bCs w:val="0"/>
          <w:kern w:val="2"/>
          <w:sz w:val="32"/>
          <w:szCs w:val="24"/>
          <w:lang w:val="en-US" w:eastAsia="zh-CN" w:bidi="ar-SA"/>
        </w:rPr>
        <w:t>1.通过项目实施，使醴陵市牛羊规模化养殖比重增长2%以上。</w:t>
      </w:r>
    </w:p>
    <w:p>
      <w:pPr>
        <w:keepNext w:val="0"/>
        <w:keepLines w:val="0"/>
        <w:pageBreakBefore w:val="0"/>
        <w:widowControl/>
        <w:numPr>
          <w:ilvl w:val="0"/>
          <w:numId w:val="0"/>
        </w:numPr>
        <w:suppressLineNumbers w:val="0"/>
        <w:kinsoku/>
        <w:wordWrap/>
        <w:overflowPunct/>
        <w:topLinePunct w:val="0"/>
        <w:bidi w:val="0"/>
        <w:snapToGrid/>
        <w:spacing w:line="578" w:lineRule="exact"/>
        <w:ind w:firstLine="640" w:firstLineChars="200"/>
        <w:jc w:val="left"/>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bCs w:val="0"/>
          <w:kern w:val="2"/>
          <w:sz w:val="32"/>
          <w:szCs w:val="24"/>
          <w:lang w:val="en-US" w:eastAsia="zh-CN" w:bidi="ar-SA"/>
        </w:rPr>
        <w:t xml:space="preserve">2.通过种养循环有机结合，粪污资源化综合利用，使牛羊规模养殖场粪污处理设施配套率和粪污资源化利用率达到95%以上。 </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三、主要建设内容及资金测算</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按自愿申报原则，</w:t>
      </w:r>
      <w:r>
        <w:rPr>
          <w:rFonts w:hint="default" w:ascii="Times New Roman" w:hAnsi="Times New Roman" w:eastAsia="仿宋_GB2312" w:cs="Times New Roman"/>
          <w:sz w:val="32"/>
          <w:szCs w:val="32"/>
          <w:lang w:val="en-US" w:eastAsia="zh-CN"/>
        </w:rPr>
        <w:t>通过前期资格审查，并</w:t>
      </w:r>
      <w:r>
        <w:rPr>
          <w:rFonts w:hint="default" w:ascii="Times New Roman" w:hAnsi="Times New Roman" w:eastAsia="仿宋_GB2312" w:cs="Times New Roman"/>
          <w:sz w:val="32"/>
          <w:szCs w:val="32"/>
          <w:lang w:val="zh-CN"/>
        </w:rPr>
        <w:t>选择</w:t>
      </w:r>
      <w:r>
        <w:rPr>
          <w:rFonts w:hint="default" w:ascii="Times New Roman" w:hAnsi="Times New Roman" w:eastAsia="仿宋_GB2312" w:cs="Times New Roman"/>
          <w:bCs w:val="0"/>
          <w:color w:val="000000" w:themeColor="text1"/>
          <w:kern w:val="2"/>
          <w:sz w:val="32"/>
          <w:szCs w:val="24"/>
          <w:lang w:val="en-US" w:eastAsia="zh-CN" w:bidi="ar-SA"/>
        </w:rPr>
        <w:t>醴陵市辉达农业发展有限公司</w:t>
      </w:r>
      <w:r>
        <w:rPr>
          <w:rFonts w:hint="default" w:ascii="Times New Roman" w:hAnsi="Times New Roman" w:eastAsia="仿宋_GB2312" w:cs="Times New Roman"/>
          <w:sz w:val="32"/>
          <w:szCs w:val="32"/>
        </w:rPr>
        <w:t>等</w:t>
      </w:r>
      <w:r>
        <w:rPr>
          <w:rFonts w:hint="default" w:ascii="Times New Roman" w:hAnsi="Times New Roman" w:eastAsia="仿宋_GB2312" w:cs="Times New Roman"/>
          <w:color w:val="000000" w:themeColor="text1"/>
          <w:sz w:val="32"/>
          <w:szCs w:val="32"/>
          <w:lang w:val="en-US" w:eastAsia="zh-CN"/>
        </w:rPr>
        <w:t>15</w:t>
      </w:r>
      <w:r>
        <w:rPr>
          <w:rFonts w:hint="default" w:ascii="Times New Roman" w:hAnsi="Times New Roman" w:eastAsia="仿宋_GB2312" w:cs="Times New Roman"/>
          <w:sz w:val="32"/>
          <w:szCs w:val="32"/>
        </w:rPr>
        <w:t>家牛羊养殖场</w:t>
      </w:r>
      <w:r>
        <w:rPr>
          <w:rFonts w:hint="default" w:ascii="Times New Roman" w:hAnsi="Times New Roman" w:eastAsia="仿宋_GB2312" w:cs="Times New Roman"/>
          <w:sz w:val="32"/>
          <w:szCs w:val="32"/>
          <w:lang w:val="en-US" w:eastAsia="zh-CN"/>
        </w:rPr>
        <w:t>作为</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单位，开展人工种草、养殖基础设施、饲草料加工设备、繁育引种等方面的建设与投资。</w:t>
      </w:r>
      <w:r>
        <w:rPr>
          <w:rFonts w:hint="default" w:ascii="Times New Roman" w:hAnsi="Times New Roman" w:eastAsia="仿宋_GB2312" w:cs="Times New Roman"/>
          <w:bCs w:val="0"/>
          <w:color w:val="000000" w:themeColor="text1"/>
          <w:kern w:val="2"/>
          <w:sz w:val="32"/>
          <w:szCs w:val="24"/>
          <w:lang w:val="en-US" w:eastAsia="zh-CN" w:bidi="ar-SA"/>
        </w:rPr>
        <w:t>其中已经享受了农机购机补贴的生产设备不纳入本项目。</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楷体_GB2312" w:cs="Times New Roman"/>
          <w:bCs w:val="0"/>
          <w:color w:val="000000" w:themeColor="text1"/>
          <w:kern w:val="2"/>
          <w:sz w:val="32"/>
          <w:szCs w:val="24"/>
          <w:lang w:val="en-US" w:eastAsia="zh-CN" w:bidi="ar-SA"/>
        </w:rPr>
      </w:pPr>
      <w:r>
        <w:rPr>
          <w:rFonts w:hint="default" w:ascii="Times New Roman" w:hAnsi="Times New Roman" w:eastAsia="楷体_GB2312" w:cs="Times New Roman"/>
          <w:bCs w:val="0"/>
          <w:color w:val="000000" w:themeColor="text1"/>
          <w:kern w:val="2"/>
          <w:sz w:val="32"/>
          <w:szCs w:val="24"/>
          <w:lang w:val="en-US" w:eastAsia="zh-CN" w:bidi="ar-SA"/>
        </w:rPr>
        <w:t>（一）项目建设主体及内容</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1、醴陵市辉达农业发展有限公司，位于阳三石街道荆潭湾村毛塘组，法人代表：杨飞英，建设内容为：种植牧草500亩，新建栏舍400平方米，活动场地围栏800米，仓库200平方米，消毒室10平方米，其他养殖配套设施200平方米，污水泵1台，大型铡草机1台，消毒设备1套，运输车1辆，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30头。</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2、醴陵市新来黄牛养殖场，位于茶山镇栗山坝居委会新屋组，法人代表：黄新来，建设内容为：种植牧草110亩，新建栏舍700平方米，改造栏舍1000平方米，草料棚500平方米，消毒室20平方米，其他养殖配套设施250平方米，搅拌机1台，装载机1台，草料收割机1台，玉米粉碎机1台，运输车1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50头。</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3、醴陵市洋参种养农民专业合作社，位于茶山镇栗山坝社区塘梅冲组，法人代表：刘洋生，建设内容为：种植牧草300亩，新建栏舍600平方米，草料棚100平方米，消毒室1平方米，药浴池1个，活动场地围栏1200米，其他养殖配套设施300平方米，草料运输车1辆，拌料机1台，消毒设备1套，背负式收割机1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100</w:t>
      </w:r>
      <w:r>
        <w:rPr>
          <w:rFonts w:hint="eastAsia" w:eastAsia="仿宋_GB2312" w:cs="Times New Roman"/>
          <w:bCs w:val="0"/>
          <w:color w:val="000000" w:themeColor="text1"/>
          <w:kern w:val="2"/>
          <w:sz w:val="32"/>
          <w:szCs w:val="24"/>
          <w:lang w:val="en-US" w:eastAsia="zh-CN" w:bidi="ar-SA"/>
        </w:rPr>
        <w:t>只</w:t>
      </w:r>
      <w:r>
        <w:rPr>
          <w:rFonts w:hint="default" w:ascii="Times New Roman" w:hAnsi="Times New Roman" w:eastAsia="仿宋_GB2312" w:cs="Times New Roman"/>
          <w:bCs w:val="0"/>
          <w:color w:val="000000" w:themeColor="text1"/>
          <w:kern w:val="2"/>
          <w:sz w:val="32"/>
          <w:szCs w:val="24"/>
          <w:lang w:val="en-US" w:eastAsia="zh-CN" w:bidi="ar-SA"/>
        </w:rPr>
        <w:t>。</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4、醴陵市林茂生态家庭农场，位于茶山镇栗山坝居委会玉家组14号，法人代表：刘大江，建设内容为：种植牧草75亩，新建牛棚450平方米，改造栏舍800平方米，草料棚150平方米，仓库200平方米，活动场地围栏500米，消毒室15平方米，其他养殖配套设施150平方米，玉米粉碎机1台，草料运输车1辆，拌料机1台，消毒设备1套，打土机1台，切草机2台，背负式收割机2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50头。</w:t>
      </w:r>
    </w:p>
    <w:p>
      <w:pPr>
        <w:pStyle w:val="3"/>
        <w:keepNext w:val="0"/>
        <w:keepLines w:val="0"/>
        <w:pageBreakBefore w:val="0"/>
        <w:kinsoku/>
        <w:wordWrap/>
        <w:overflowPunct/>
        <w:topLinePunct w:val="0"/>
        <w:bidi w:val="0"/>
        <w:snapToGrid/>
        <w:spacing w:line="578" w:lineRule="exact"/>
        <w:ind w:firstLine="640" w:firstLineChars="200"/>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5、醴陵市扭子冲种养农民专业合作社，位于均楚镇樟桥村扭子冲村，法人代表：罗菲，建设内容为：种植牧草150亩，新建栏舍1000平方米，生产辅助设施150平方米，其他养殖配套设施80平方米，发电机1台，收割机1台，饲料机1组，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200</w:t>
      </w:r>
      <w:r>
        <w:rPr>
          <w:rFonts w:hint="eastAsia" w:eastAsia="仿宋_GB2312" w:cs="Times New Roman"/>
          <w:bCs w:val="0"/>
          <w:color w:val="000000" w:themeColor="text1"/>
          <w:kern w:val="2"/>
          <w:sz w:val="32"/>
          <w:szCs w:val="24"/>
          <w:lang w:val="en-US" w:eastAsia="zh-CN" w:bidi="ar-SA"/>
        </w:rPr>
        <w:t>只</w:t>
      </w:r>
      <w:r>
        <w:rPr>
          <w:rFonts w:hint="default" w:ascii="Times New Roman" w:hAnsi="Times New Roman" w:eastAsia="仿宋_GB2312" w:cs="Times New Roman"/>
          <w:bCs w:val="0"/>
          <w:color w:val="000000" w:themeColor="text1"/>
          <w:kern w:val="2"/>
          <w:sz w:val="32"/>
          <w:szCs w:val="24"/>
          <w:lang w:val="en-US" w:eastAsia="zh-CN" w:bidi="ar-SA"/>
        </w:rPr>
        <w:t>，</w:t>
      </w:r>
      <w:r>
        <w:rPr>
          <w:rFonts w:hint="eastAsia" w:eastAsia="仿宋_GB2312" w:cs="Times New Roman"/>
          <w:bCs w:val="0"/>
          <w:color w:val="000000" w:themeColor="text1"/>
          <w:kern w:val="2"/>
          <w:sz w:val="32"/>
          <w:szCs w:val="24"/>
          <w:lang w:val="en-US" w:eastAsia="zh-CN" w:bidi="ar-SA"/>
        </w:rPr>
        <w:t>引进</w:t>
      </w:r>
      <w:r>
        <w:rPr>
          <w:rFonts w:hint="default" w:ascii="Times New Roman" w:hAnsi="Times New Roman" w:eastAsia="仿宋_GB2312" w:cs="Times New Roman"/>
          <w:bCs w:val="0"/>
          <w:color w:val="000000" w:themeColor="text1"/>
          <w:kern w:val="2"/>
          <w:sz w:val="32"/>
          <w:szCs w:val="24"/>
          <w:lang w:val="en-US" w:eastAsia="zh-CN" w:bidi="ar-SA"/>
        </w:rPr>
        <w:t>种公</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10</w:t>
      </w:r>
      <w:r>
        <w:rPr>
          <w:rFonts w:hint="eastAsia" w:eastAsia="仿宋_GB2312" w:cs="Times New Roman"/>
          <w:bCs w:val="0"/>
          <w:color w:val="000000" w:themeColor="text1"/>
          <w:kern w:val="2"/>
          <w:sz w:val="32"/>
          <w:szCs w:val="24"/>
          <w:lang w:val="en-US" w:eastAsia="zh-CN" w:bidi="ar-SA"/>
        </w:rPr>
        <w:t>只</w:t>
      </w:r>
      <w:r>
        <w:rPr>
          <w:rFonts w:hint="default" w:ascii="Times New Roman" w:hAnsi="Times New Roman" w:eastAsia="仿宋_GB2312" w:cs="Times New Roman"/>
          <w:bCs w:val="0"/>
          <w:color w:val="000000" w:themeColor="text1"/>
          <w:kern w:val="2"/>
          <w:sz w:val="32"/>
          <w:szCs w:val="24"/>
          <w:lang w:val="en-US" w:eastAsia="zh-CN" w:bidi="ar-SA"/>
        </w:rPr>
        <w:t>。</w:t>
      </w:r>
    </w:p>
    <w:p>
      <w:pPr>
        <w:pStyle w:val="3"/>
        <w:keepNext w:val="0"/>
        <w:keepLines w:val="0"/>
        <w:pageBreakBefore w:val="0"/>
        <w:kinsoku/>
        <w:wordWrap/>
        <w:overflowPunct/>
        <w:topLinePunct w:val="0"/>
        <w:bidi w:val="0"/>
        <w:snapToGrid/>
        <w:spacing w:line="578" w:lineRule="exact"/>
        <w:ind w:firstLine="640" w:firstLineChars="200"/>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6、醴陵市友群种养农民专业合作社，位于均楚镇殷家冲村马家湾组，法人代表：黎牛知，建设内容为：种植牧草50亩，新建羊舍300平方米，草料棚50平方米，其他养殖配套设施110平方米，铡草机1台，繁育引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200</w:t>
      </w:r>
      <w:r>
        <w:rPr>
          <w:rFonts w:hint="eastAsia" w:eastAsia="仿宋_GB2312" w:cs="Times New Roman"/>
          <w:bCs w:val="0"/>
          <w:color w:val="000000" w:themeColor="text1"/>
          <w:kern w:val="2"/>
          <w:sz w:val="32"/>
          <w:szCs w:val="24"/>
          <w:lang w:val="en-US" w:eastAsia="zh-CN" w:bidi="ar-SA"/>
        </w:rPr>
        <w:t>只</w:t>
      </w:r>
      <w:r>
        <w:rPr>
          <w:rFonts w:hint="default" w:ascii="Times New Roman" w:hAnsi="Times New Roman" w:eastAsia="仿宋_GB2312" w:cs="Times New Roman"/>
          <w:bCs w:val="0"/>
          <w:color w:val="000000" w:themeColor="text1"/>
          <w:kern w:val="2"/>
          <w:sz w:val="32"/>
          <w:szCs w:val="24"/>
          <w:lang w:val="en-US" w:eastAsia="zh-CN" w:bidi="ar-SA"/>
        </w:rPr>
        <w:t>，</w:t>
      </w:r>
      <w:r>
        <w:rPr>
          <w:rFonts w:hint="eastAsia" w:eastAsia="仿宋_GB2312" w:cs="Times New Roman"/>
          <w:bCs w:val="0"/>
          <w:color w:val="000000" w:themeColor="text1"/>
          <w:kern w:val="2"/>
          <w:sz w:val="32"/>
          <w:szCs w:val="24"/>
          <w:lang w:val="en-US" w:eastAsia="zh-CN" w:bidi="ar-SA"/>
        </w:rPr>
        <w:t>引进</w:t>
      </w:r>
      <w:r>
        <w:rPr>
          <w:rFonts w:hint="default" w:ascii="Times New Roman" w:hAnsi="Times New Roman" w:eastAsia="仿宋_GB2312" w:cs="Times New Roman"/>
          <w:bCs w:val="0"/>
          <w:color w:val="000000" w:themeColor="text1"/>
          <w:kern w:val="2"/>
          <w:sz w:val="32"/>
          <w:szCs w:val="24"/>
          <w:lang w:val="en-US" w:eastAsia="zh-CN" w:bidi="ar-SA"/>
        </w:rPr>
        <w:t>种公</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10</w:t>
      </w:r>
      <w:r>
        <w:rPr>
          <w:rFonts w:hint="eastAsia" w:eastAsia="仿宋_GB2312" w:cs="Times New Roman"/>
          <w:bCs w:val="0"/>
          <w:color w:val="000000" w:themeColor="text1"/>
          <w:kern w:val="2"/>
          <w:sz w:val="32"/>
          <w:szCs w:val="24"/>
          <w:lang w:val="en-US" w:eastAsia="zh-CN" w:bidi="ar-SA"/>
        </w:rPr>
        <w:t>只</w:t>
      </w:r>
      <w:r>
        <w:rPr>
          <w:rFonts w:hint="default" w:ascii="Times New Roman" w:hAnsi="Times New Roman" w:eastAsia="仿宋_GB2312" w:cs="Times New Roman"/>
          <w:bCs w:val="0"/>
          <w:color w:val="000000" w:themeColor="text1"/>
          <w:kern w:val="2"/>
          <w:sz w:val="32"/>
          <w:szCs w:val="24"/>
          <w:lang w:val="en-US" w:eastAsia="zh-CN" w:bidi="ar-SA"/>
        </w:rPr>
        <w:t>。</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7、醴陵市稻云家庭农场，位于石亭镇石塘岭村冬毛坡组，法人代表：张爽，建设内容为：种植牧草300亩，新建栏舍1500平方米，改造栏舍600平方米，草料间800平方米，拖拉机1台，割草机1台，粉碎机1台，搅拌机1台，装载机1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65头。</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8、醴陵市石子街种养农民专业合作社，位于石亭镇石塘岭村红岭组，法人代表：张铁猛，建设内容为：种植牧草130亩，改建羊舍400平方米，草料棚100平方米，药浴池1个，其他养殖配套设施50平方米，旋耕机1台，铡草机1台，拌料机1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300</w:t>
      </w:r>
      <w:r>
        <w:rPr>
          <w:rFonts w:hint="eastAsia" w:eastAsia="仿宋_GB2312" w:cs="Times New Roman"/>
          <w:bCs w:val="0"/>
          <w:color w:val="000000" w:themeColor="text1"/>
          <w:kern w:val="2"/>
          <w:sz w:val="32"/>
          <w:szCs w:val="24"/>
          <w:lang w:val="en-US" w:eastAsia="zh-CN" w:bidi="ar-SA"/>
        </w:rPr>
        <w:t>只</w:t>
      </w:r>
      <w:r>
        <w:rPr>
          <w:rFonts w:hint="default" w:ascii="Times New Roman" w:hAnsi="Times New Roman" w:eastAsia="仿宋_GB2312" w:cs="Times New Roman"/>
          <w:bCs w:val="0"/>
          <w:color w:val="000000" w:themeColor="text1"/>
          <w:kern w:val="2"/>
          <w:sz w:val="32"/>
          <w:szCs w:val="24"/>
          <w:lang w:val="en-US" w:eastAsia="zh-CN" w:bidi="ar-SA"/>
        </w:rPr>
        <w:t>，</w:t>
      </w:r>
      <w:r>
        <w:rPr>
          <w:rFonts w:hint="eastAsia" w:eastAsia="仿宋_GB2312" w:cs="Times New Roman"/>
          <w:bCs w:val="0"/>
          <w:color w:val="000000" w:themeColor="text1"/>
          <w:kern w:val="2"/>
          <w:sz w:val="32"/>
          <w:szCs w:val="24"/>
          <w:lang w:val="en-US" w:eastAsia="zh-CN" w:bidi="ar-SA"/>
        </w:rPr>
        <w:t>引进</w:t>
      </w:r>
      <w:r>
        <w:rPr>
          <w:rFonts w:hint="default" w:ascii="Times New Roman" w:hAnsi="Times New Roman" w:eastAsia="仿宋_GB2312" w:cs="Times New Roman"/>
          <w:bCs w:val="0"/>
          <w:color w:val="000000" w:themeColor="text1"/>
          <w:kern w:val="2"/>
          <w:sz w:val="32"/>
          <w:szCs w:val="24"/>
          <w:lang w:val="en-US" w:eastAsia="zh-CN" w:bidi="ar-SA"/>
        </w:rPr>
        <w:t>种公</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20</w:t>
      </w:r>
      <w:r>
        <w:rPr>
          <w:rFonts w:hint="eastAsia" w:eastAsia="仿宋_GB2312" w:cs="Times New Roman"/>
          <w:bCs w:val="0"/>
          <w:color w:val="000000" w:themeColor="text1"/>
          <w:kern w:val="2"/>
          <w:sz w:val="32"/>
          <w:szCs w:val="24"/>
          <w:lang w:val="en-US" w:eastAsia="zh-CN" w:bidi="ar-SA"/>
        </w:rPr>
        <w:t>只</w:t>
      </w:r>
      <w:r>
        <w:rPr>
          <w:rFonts w:hint="default" w:ascii="Times New Roman" w:hAnsi="Times New Roman" w:eastAsia="仿宋_GB2312" w:cs="Times New Roman"/>
          <w:bCs w:val="0"/>
          <w:color w:val="000000" w:themeColor="text1"/>
          <w:kern w:val="2"/>
          <w:sz w:val="32"/>
          <w:szCs w:val="24"/>
          <w:lang w:val="en-US" w:eastAsia="zh-CN" w:bidi="ar-SA"/>
        </w:rPr>
        <w:t>。</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9、醴陵市芳芳种养农民专业合作社，位于石亭镇长岭村山泉组，法人代表：孙卫国，建设内容为：种植牧草100亩，新建栏舍268平方米，改造栏舍346平方米，消毒间6平方米，草料棚120平方米，其他养殖配套设施138平方米，铡草机1台，背负式收割机1台，打土机1台，粉碎机1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200</w:t>
      </w:r>
      <w:r>
        <w:rPr>
          <w:rFonts w:hint="eastAsia" w:eastAsia="仿宋_GB2312" w:cs="Times New Roman"/>
          <w:bCs w:val="0"/>
          <w:color w:val="000000" w:themeColor="text1"/>
          <w:kern w:val="2"/>
          <w:sz w:val="32"/>
          <w:szCs w:val="24"/>
          <w:lang w:val="en-US" w:eastAsia="zh-CN" w:bidi="ar-SA"/>
        </w:rPr>
        <w:t>只</w:t>
      </w:r>
      <w:r>
        <w:rPr>
          <w:rFonts w:hint="default" w:ascii="Times New Roman" w:hAnsi="Times New Roman" w:eastAsia="仿宋_GB2312" w:cs="Times New Roman"/>
          <w:bCs w:val="0"/>
          <w:color w:val="000000" w:themeColor="text1"/>
          <w:kern w:val="2"/>
          <w:sz w:val="32"/>
          <w:szCs w:val="24"/>
          <w:lang w:val="en-US" w:eastAsia="zh-CN" w:bidi="ar-SA"/>
        </w:rPr>
        <w:t>。</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10、湖南湘牛农业发展有限公司醴陵时轮分公司，位于枫林镇时轮村李家咀组，法人代表：刘献忠，建设内容为：种植牧草200亩，改造栏舍3600平方米，消毒室40平方米，草料棚600平方米，其他养殖配套设施480平方米，消毒设备1套，铡草机1台，精料粉碎机1台，拌料机1台，草料运输车1辆，投料车1辆，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150头。</w:t>
      </w:r>
    </w:p>
    <w:p>
      <w:pPr>
        <w:pStyle w:val="3"/>
        <w:keepNext w:val="0"/>
        <w:keepLines w:val="0"/>
        <w:pageBreakBefore w:val="0"/>
        <w:kinsoku/>
        <w:wordWrap/>
        <w:overflowPunct/>
        <w:topLinePunct w:val="0"/>
        <w:bidi w:val="0"/>
        <w:snapToGrid/>
        <w:spacing w:line="578" w:lineRule="exact"/>
        <w:ind w:firstLine="632"/>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11、醴陵市盛秋生态养殖场，位于左权镇油田村下罗组8号，法人代表：刘小龙，建设内容为：种植牧草75亩，新建栏舍520平方米，消毒室36平方米，草料棚120平方米，其他养殖配套设施280平方米，割草机1台，铡草机1台，打粉机1台，草料运输车1辆，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20头。</w:t>
      </w:r>
    </w:p>
    <w:p>
      <w:pPr>
        <w:pStyle w:val="3"/>
        <w:keepNext w:val="0"/>
        <w:keepLines w:val="0"/>
        <w:pageBreakBefore w:val="0"/>
        <w:kinsoku/>
        <w:wordWrap/>
        <w:overflowPunct/>
        <w:topLinePunct w:val="0"/>
        <w:bidi w:val="0"/>
        <w:snapToGrid/>
        <w:spacing w:line="578" w:lineRule="exact"/>
        <w:ind w:firstLine="640" w:firstLineChars="200"/>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12、醴陵百源种养农民专业合作社，位于左权镇玉皇阁村境塘组，法人代表：江小英，建设内容为：种植牧草60亩，新建栏舍680平方米，草料棚400平方米，仓库100平方米，其他养殖配套设施824平方米，粉碎机2台，草料运输车1台，拌料机1台，推车2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40头。</w:t>
      </w:r>
    </w:p>
    <w:p>
      <w:pPr>
        <w:pStyle w:val="3"/>
        <w:keepNext w:val="0"/>
        <w:keepLines w:val="0"/>
        <w:pageBreakBefore w:val="0"/>
        <w:kinsoku/>
        <w:wordWrap/>
        <w:overflowPunct/>
        <w:topLinePunct w:val="0"/>
        <w:bidi w:val="0"/>
        <w:snapToGrid/>
        <w:spacing w:line="578" w:lineRule="exact"/>
        <w:ind w:firstLine="640" w:firstLineChars="200"/>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13、醴陵市聚鑫家庭农场，位于王仙镇观口村仙牛组164号，法人代表：唐军，建设内容为：种植牧草360亩，新建栏舍700平方米，改造栏舍2400平方米，活动场地围栏500米，仓库100平方米，消毒间6平方米，其他养殖配套设施900平方米，搅拌机1台，铡草机1台，玉米粉碎机1台，饲料拌料机1台，装载机1台，运输车2台，背负式收割机1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90头。</w:t>
      </w:r>
    </w:p>
    <w:p>
      <w:pPr>
        <w:pStyle w:val="3"/>
        <w:keepNext w:val="0"/>
        <w:keepLines w:val="0"/>
        <w:pageBreakBefore w:val="0"/>
        <w:kinsoku/>
        <w:wordWrap/>
        <w:overflowPunct/>
        <w:topLinePunct w:val="0"/>
        <w:bidi w:val="0"/>
        <w:snapToGrid/>
        <w:spacing w:line="578" w:lineRule="exact"/>
        <w:ind w:firstLine="640" w:firstLineChars="200"/>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14、醴陵市春泰养殖场，位于王仙镇申熙村牛坊组219号，法人代表：李玉春，建设内容为：种植牧草100亩，新建栏舍300平方米,改造栏舍400平方米，草料棚200平方米，消毒室9平方米，铡草机1台，拌料机1台，收草机1台，裹膜打包机1台，草料运输车1辆，消毒设备1套，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30头。</w:t>
      </w:r>
    </w:p>
    <w:p>
      <w:pPr>
        <w:pStyle w:val="3"/>
        <w:keepNext w:val="0"/>
        <w:keepLines w:val="0"/>
        <w:pageBreakBefore w:val="0"/>
        <w:kinsoku/>
        <w:wordWrap/>
        <w:overflowPunct/>
        <w:topLinePunct w:val="0"/>
        <w:bidi w:val="0"/>
        <w:snapToGrid/>
        <w:spacing w:line="578" w:lineRule="exact"/>
        <w:ind w:firstLine="640" w:firstLineChars="200"/>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仿宋_GB2312" w:cs="Times New Roman"/>
          <w:bCs w:val="0"/>
          <w:color w:val="000000" w:themeColor="text1"/>
          <w:kern w:val="2"/>
          <w:sz w:val="32"/>
          <w:szCs w:val="24"/>
          <w:lang w:val="en-US" w:eastAsia="zh-CN" w:bidi="ar-SA"/>
        </w:rPr>
        <w:t>15、醴陵市昭晖家庭农场，位于嘉树镇嘉树村新塘组，法人代表：叶成垚，建设内容为：种植禾本科牧草63亩，豆科牧草5亩，改建栏舍600平方米，收割机1台，草料运输车1辆，铡草机1台，打粉机1台，繁育引</w:t>
      </w:r>
      <w:r>
        <w:rPr>
          <w:rFonts w:hint="eastAsia" w:eastAsia="仿宋_GB2312" w:cs="Times New Roman"/>
          <w:bCs w:val="0"/>
          <w:color w:val="000000" w:themeColor="text1"/>
          <w:kern w:val="2"/>
          <w:sz w:val="32"/>
          <w:szCs w:val="24"/>
          <w:lang w:val="en-US" w:eastAsia="zh-CN" w:bidi="ar-SA"/>
        </w:rPr>
        <w:t>进</w:t>
      </w:r>
      <w:r>
        <w:rPr>
          <w:rFonts w:hint="default" w:ascii="Times New Roman" w:hAnsi="Times New Roman" w:eastAsia="仿宋_GB2312" w:cs="Times New Roman"/>
          <w:bCs w:val="0"/>
          <w:color w:val="000000" w:themeColor="text1"/>
          <w:kern w:val="2"/>
          <w:sz w:val="32"/>
          <w:szCs w:val="24"/>
          <w:lang w:val="en-US" w:eastAsia="zh-CN" w:bidi="ar-SA"/>
        </w:rPr>
        <w:t>种母</w:t>
      </w:r>
      <w:r>
        <w:rPr>
          <w:rFonts w:hint="eastAsia" w:eastAsia="仿宋_GB2312" w:cs="Times New Roman"/>
          <w:bCs w:val="0"/>
          <w:color w:val="000000" w:themeColor="text1"/>
          <w:kern w:val="2"/>
          <w:sz w:val="32"/>
          <w:szCs w:val="24"/>
          <w:lang w:val="en-US" w:eastAsia="zh-CN" w:bidi="ar-SA"/>
        </w:rPr>
        <w:t>畜</w:t>
      </w:r>
      <w:r>
        <w:rPr>
          <w:rFonts w:hint="default" w:ascii="Times New Roman" w:hAnsi="Times New Roman" w:eastAsia="仿宋_GB2312" w:cs="Times New Roman"/>
          <w:bCs w:val="0"/>
          <w:color w:val="000000" w:themeColor="text1"/>
          <w:kern w:val="2"/>
          <w:sz w:val="32"/>
          <w:szCs w:val="24"/>
          <w:lang w:val="en-US" w:eastAsia="zh-CN" w:bidi="ar-SA"/>
        </w:rPr>
        <w:t>40头。</w:t>
      </w:r>
    </w:p>
    <w:p>
      <w:pPr>
        <w:keepNext w:val="0"/>
        <w:keepLines w:val="0"/>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eastAsia="仿宋_GB2312" w:cs="Times New Roman"/>
          <w:bCs w:val="0"/>
          <w:color w:val="000000" w:themeColor="text1"/>
          <w:kern w:val="2"/>
          <w:sz w:val="32"/>
          <w:szCs w:val="24"/>
          <w:lang w:val="en-US" w:eastAsia="zh-CN" w:bidi="ar-SA"/>
        </w:rPr>
      </w:pPr>
      <w:r>
        <w:rPr>
          <w:rFonts w:hint="default" w:ascii="Times New Roman" w:hAnsi="Times New Roman" w:eastAsia="楷体_GB2312" w:cs="Times New Roman"/>
          <w:b w:val="0"/>
          <w:bCs w:val="0"/>
          <w:color w:val="000000" w:themeColor="text1"/>
          <w:kern w:val="2"/>
          <w:sz w:val="32"/>
          <w:szCs w:val="24"/>
          <w:highlight w:val="none"/>
          <w:lang w:val="en-US" w:eastAsia="zh-CN" w:bidi="ar-SA"/>
        </w:rPr>
        <w:t>（二）资金构成及补助估算。</w:t>
      </w:r>
      <w:r>
        <w:rPr>
          <w:rFonts w:hint="default" w:ascii="Times New Roman" w:hAnsi="Times New Roman" w:eastAsia="仿宋_GB2312" w:cs="Times New Roman"/>
          <w:bCs w:val="0"/>
          <w:color w:val="000000" w:themeColor="text1"/>
          <w:kern w:val="2"/>
          <w:sz w:val="32"/>
          <w:szCs w:val="24"/>
          <w:lang w:val="en-US" w:eastAsia="zh-CN" w:bidi="ar-SA"/>
        </w:rPr>
        <w:t>项目建设总投资3396.82万元，其中申请财政资金500万元，占总投资的14.72%；实施主体自筹资金2896.82万元，占总投资的85.28%。</w:t>
      </w:r>
    </w:p>
    <w:p>
      <w:pPr>
        <w:keepNext w:val="0"/>
        <w:keepLines w:val="0"/>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cs="Times New Roman"/>
        </w:rPr>
      </w:pPr>
      <w:r>
        <w:rPr>
          <w:rFonts w:hint="default" w:ascii="Times New Roman" w:hAnsi="Times New Roman" w:eastAsia="楷体_GB2312" w:cs="Times New Roman"/>
          <w:b w:val="0"/>
          <w:bCs w:val="0"/>
          <w:color w:val="000000" w:themeColor="text1"/>
          <w:kern w:val="2"/>
          <w:sz w:val="32"/>
          <w:szCs w:val="24"/>
          <w:highlight w:val="none"/>
          <w:lang w:val="en-US" w:eastAsia="zh-CN" w:bidi="ar-SA"/>
        </w:rPr>
        <w:t>（三）项目资金补助方式与补助标准。</w:t>
      </w:r>
      <w:r>
        <w:rPr>
          <w:rFonts w:hint="default" w:ascii="Times New Roman" w:hAnsi="Times New Roman" w:eastAsia="仿宋_GB2312" w:cs="Times New Roman"/>
          <w:color w:val="000000"/>
          <w:kern w:val="0"/>
          <w:sz w:val="32"/>
          <w:szCs w:val="32"/>
          <w:lang w:val="en-US" w:eastAsia="zh-CN" w:bidi="ar"/>
        </w:rPr>
        <w:t>项目采取</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先建后补</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的方式，对符合条件的规模养殖场（户）、家庭牧场或专业合作社在人工种草、养殖基础设施建设、饲草料加工设施设备购置等方面给予一次性补助，建设主体原则上不重复支持；项目财政补助资金可按进度先期拨付不超过</w:t>
      </w:r>
      <w:r>
        <w:rPr>
          <w:rFonts w:hint="default" w:ascii="Times New Roman" w:hAnsi="Times New Roman" w:eastAsia="宋体" w:cs="Times New Roman"/>
          <w:color w:val="000000"/>
          <w:kern w:val="0"/>
          <w:sz w:val="32"/>
          <w:szCs w:val="32"/>
          <w:lang w:val="en-US" w:eastAsia="zh-CN" w:bidi="ar"/>
        </w:rPr>
        <w:t>60%</w:t>
      </w:r>
      <w:r>
        <w:rPr>
          <w:rFonts w:hint="default" w:ascii="Times New Roman" w:hAnsi="Times New Roman" w:eastAsia="仿宋_GB2312" w:cs="Times New Roman"/>
          <w:color w:val="000000"/>
          <w:kern w:val="0"/>
          <w:sz w:val="32"/>
          <w:szCs w:val="32"/>
          <w:lang w:val="en-US" w:eastAsia="zh-CN" w:bidi="ar"/>
        </w:rPr>
        <w:t>，县级验收合格后，再拨付剩余资金；人工种草原则上财政补贴资金不超过每亩</w:t>
      </w:r>
      <w:r>
        <w:rPr>
          <w:rFonts w:hint="default" w:ascii="Times New Roman" w:hAnsi="Times New Roman" w:eastAsia="宋体" w:cs="Times New Roman"/>
          <w:color w:val="000000"/>
          <w:kern w:val="0"/>
          <w:sz w:val="32"/>
          <w:szCs w:val="32"/>
          <w:lang w:val="en-US" w:eastAsia="zh-CN" w:bidi="ar"/>
        </w:rPr>
        <w:t>450</w:t>
      </w:r>
      <w:r>
        <w:rPr>
          <w:rFonts w:hint="default" w:ascii="Times New Roman" w:hAnsi="Times New Roman" w:eastAsia="仿宋_GB2312" w:cs="Times New Roman"/>
          <w:color w:val="000000"/>
          <w:kern w:val="0"/>
          <w:sz w:val="32"/>
          <w:szCs w:val="32"/>
          <w:lang w:val="en-US" w:eastAsia="zh-CN" w:bidi="ar"/>
        </w:rPr>
        <w:t>元；养殖设施设备和饲草料加工设施设备购置补助不得与现有农机购置补贴相重复；单个项目主体补助资金不超过当年新增总投资额度的</w:t>
      </w:r>
      <w:r>
        <w:rPr>
          <w:rFonts w:hint="default" w:ascii="Times New Roman" w:hAnsi="Times New Roman" w:eastAsia="宋体" w:cs="Times New Roman"/>
          <w:color w:val="000000"/>
          <w:kern w:val="0"/>
          <w:sz w:val="32"/>
          <w:szCs w:val="32"/>
          <w:lang w:val="en-US" w:eastAsia="zh-CN" w:bidi="ar"/>
        </w:rPr>
        <w:t>15%</w:t>
      </w:r>
      <w:r>
        <w:rPr>
          <w:rFonts w:hint="default" w:ascii="Times New Roman" w:hAnsi="Times New Roman" w:eastAsia="仿宋_GB2312" w:cs="Times New Roman"/>
          <w:color w:val="000000"/>
          <w:kern w:val="0"/>
          <w:sz w:val="32"/>
          <w:szCs w:val="32"/>
          <w:lang w:val="en-US" w:eastAsia="zh-CN" w:bidi="ar"/>
        </w:rPr>
        <w:t>，最高不超过</w:t>
      </w:r>
      <w:r>
        <w:rPr>
          <w:rFonts w:hint="default" w:ascii="Times New Roman" w:hAnsi="Times New Roman" w:eastAsia="宋体" w:cs="Times New Roman"/>
          <w:color w:val="000000"/>
          <w:kern w:val="0"/>
          <w:sz w:val="32"/>
          <w:szCs w:val="32"/>
          <w:lang w:val="en-US" w:eastAsia="zh-CN" w:bidi="ar"/>
        </w:rPr>
        <w:t>120</w:t>
      </w:r>
      <w:r>
        <w:rPr>
          <w:rFonts w:hint="default" w:ascii="Times New Roman" w:hAnsi="Times New Roman" w:eastAsia="仿宋_GB2312" w:cs="Times New Roman"/>
          <w:color w:val="000000"/>
          <w:kern w:val="0"/>
          <w:sz w:val="32"/>
          <w:szCs w:val="32"/>
          <w:lang w:val="en-US" w:eastAsia="zh-CN" w:bidi="ar"/>
        </w:rPr>
        <w:t>万元。</w:t>
      </w:r>
    </w:p>
    <w:p>
      <w:pPr>
        <w:keepNext w:val="0"/>
        <w:keepLines w:val="0"/>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楷体_GB2312" w:cs="Times New Roman"/>
          <w:b w:val="0"/>
          <w:bCs w:val="0"/>
          <w:color w:val="auto"/>
          <w:kern w:val="2"/>
          <w:sz w:val="32"/>
          <w:szCs w:val="24"/>
          <w:highlight w:val="none"/>
          <w:lang w:val="en-US" w:eastAsia="zh-CN" w:bidi="ar-SA"/>
        </w:rPr>
        <w:t>（四）项目实施周期：</w:t>
      </w:r>
      <w:r>
        <w:rPr>
          <w:rFonts w:hint="default" w:ascii="Times New Roman" w:hAnsi="Times New Roman" w:eastAsia="仿宋_GB2312" w:cs="Times New Roman"/>
          <w:bCs w:val="0"/>
          <w:color w:val="000000" w:themeColor="text1"/>
          <w:kern w:val="2"/>
          <w:sz w:val="32"/>
          <w:szCs w:val="24"/>
          <w:lang w:val="en-US" w:eastAsia="zh-CN" w:bidi="ar-SA"/>
        </w:rPr>
        <w:t>本项目自实施方案批复下达之日起至2024年12月31日</w:t>
      </w:r>
      <w:r>
        <w:rPr>
          <w:rFonts w:hint="default" w:ascii="Times New Roman" w:hAnsi="Times New Roman" w:eastAsia="仿宋_GB2312" w:cs="Times New Roman"/>
          <w:bCs w:val="0"/>
          <w:kern w:val="2"/>
          <w:sz w:val="32"/>
          <w:szCs w:val="24"/>
          <w:lang w:val="en-US" w:eastAsia="zh-CN" w:bidi="ar-SA"/>
        </w:rPr>
        <w:t>。</w:t>
      </w:r>
    </w:p>
    <w:p>
      <w:pPr>
        <w:pStyle w:val="3"/>
        <w:keepNext w:val="0"/>
        <w:keepLines w:val="0"/>
        <w:pageBreakBefore w:val="0"/>
        <w:kinsoku/>
        <w:wordWrap/>
        <w:overflowPunct/>
        <w:topLinePunct w:val="0"/>
        <w:autoSpaceDE/>
        <w:autoSpaceDN/>
        <w:bidi w:val="0"/>
        <w:adjustRightInd/>
        <w:snapToGrid/>
        <w:spacing w:line="578" w:lineRule="exact"/>
        <w:ind w:firstLine="632"/>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四、</w:t>
      </w:r>
      <w:r>
        <w:rPr>
          <w:rFonts w:hint="default" w:ascii="Times New Roman" w:hAnsi="Times New Roman" w:eastAsia="黑体" w:cs="Times New Roman"/>
          <w:sz w:val="32"/>
          <w:szCs w:val="32"/>
        </w:rPr>
        <w:t>保障措施</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lang w:val="en-US" w:eastAsia="zh-CN"/>
        </w:rPr>
        <w:t>（一）加强组织领导。</w:t>
      </w:r>
      <w:r>
        <w:rPr>
          <w:rFonts w:hint="default" w:ascii="Times New Roman" w:hAnsi="Times New Roman" w:eastAsia="仿宋_GB2312" w:cs="Times New Roman"/>
          <w:bCs/>
          <w:color w:val="000000"/>
          <w:sz w:val="32"/>
          <w:szCs w:val="32"/>
        </w:rPr>
        <w:t>为确保项目的顺利实施，成立以市</w:t>
      </w:r>
      <w:r>
        <w:rPr>
          <w:rFonts w:hint="default" w:ascii="Times New Roman" w:hAnsi="Times New Roman" w:eastAsia="仿宋_GB2312" w:cs="Times New Roman"/>
          <w:bCs w:val="0"/>
          <w:kern w:val="2"/>
          <w:sz w:val="32"/>
          <w:szCs w:val="24"/>
          <w:lang w:val="en-US" w:eastAsia="zh-CN" w:bidi="ar-SA"/>
        </w:rPr>
        <w:t>政府分管副市长任组长，财政局局长、畜牧水产事务中心主任任副组长，相关镇街分管领导为成员的</w:t>
      </w:r>
      <w:r>
        <w:rPr>
          <w:rFonts w:hint="eastAsia"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2024年度醴陵市肉牛肉羊增量提质行动项目领导小组</w:t>
      </w:r>
      <w:r>
        <w:rPr>
          <w:rFonts w:hint="eastAsia"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，下设办公室在市畜牧水产事务中心，由市畜牧水产事务中心主任任办公室主任。主要负责项目的组织实施、宣传发动、关系协调、督促检查、组织验收和绩效评价等工作。</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lang w:val="en-US" w:eastAsia="zh-CN"/>
        </w:rPr>
        <w:t>（二）抓好责任落实。</w:t>
      </w:r>
      <w:r>
        <w:rPr>
          <w:rFonts w:hint="default" w:ascii="Times New Roman" w:hAnsi="Times New Roman" w:eastAsia="仿宋_GB2312" w:cs="Times New Roman"/>
          <w:bCs/>
          <w:color w:val="000000"/>
          <w:sz w:val="32"/>
          <w:szCs w:val="32"/>
          <w:lang w:val="en-US" w:eastAsia="zh-CN"/>
        </w:rPr>
        <w:t>全市各镇（街）农业综合服务站要把肉牛肉羊产业项目建设置于工作的突出位置，高度重视，精心组织，统筹安排，确保各项工作计划顺利完成。市</w:t>
      </w:r>
      <w:r>
        <w:rPr>
          <w:rFonts w:hint="default" w:ascii="Times New Roman" w:hAnsi="Times New Roman" w:eastAsia="仿宋_GB2312" w:cs="Times New Roman"/>
          <w:b w:val="0"/>
          <w:bCs w:val="0"/>
          <w:color w:val="auto"/>
          <w:kern w:val="2"/>
          <w:sz w:val="32"/>
          <w:szCs w:val="32"/>
          <w:highlight w:val="none"/>
          <w:lang w:val="en-US" w:eastAsia="zh-CN" w:bidi="ar-SA"/>
        </w:rPr>
        <w:t>肉牛肉羊增量提质行动项目技术指导小组</w:t>
      </w:r>
      <w:r>
        <w:rPr>
          <w:rFonts w:hint="default" w:ascii="Times New Roman" w:hAnsi="Times New Roman" w:eastAsia="仿宋_GB2312" w:cs="Times New Roman"/>
          <w:bCs/>
          <w:color w:val="000000"/>
          <w:sz w:val="32"/>
          <w:szCs w:val="32"/>
          <w:lang w:val="en-US" w:eastAsia="zh-CN"/>
        </w:rPr>
        <w:t xml:space="preserve">要积极与镇（街）对接，进村入户，加强对实施主体建设的技术指导。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楷体_GB2312" w:cs="Times New Roman"/>
          <w:bCs/>
          <w:color w:val="000000"/>
          <w:sz w:val="32"/>
          <w:szCs w:val="32"/>
          <w:lang w:val="en-US" w:eastAsia="zh-CN"/>
        </w:rPr>
        <w:t>（三）狠抓关键环节。</w:t>
      </w:r>
      <w:r>
        <w:rPr>
          <w:rFonts w:hint="default" w:ascii="Times New Roman" w:hAnsi="Times New Roman" w:eastAsia="仿宋_GB2312" w:cs="Times New Roman"/>
          <w:bCs/>
          <w:color w:val="000000"/>
          <w:sz w:val="32"/>
          <w:szCs w:val="32"/>
          <w:lang w:val="en-US" w:eastAsia="zh-CN"/>
        </w:rPr>
        <w:t>全面推进饲草料生产，肉牛、肉羊养殖技术，市场营销和科技服务体系建设，抓好</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val="en-US" w:eastAsia="zh-CN"/>
        </w:rPr>
        <w:t>五项措施</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val="en-US" w:eastAsia="zh-CN"/>
        </w:rPr>
        <w:t xml:space="preserve"> ：一是加大草业基地建设，大力推广桂牧一号、黑麦草、青贮玉米、皇竹草等优质牧草种植，提高种植面积和产量。二是全力做好饲草料加工调制工作，加快青贮池、氨化池建设和饲草料收割、加工设备采购，保证建设质量、数量，全面做好青贮打捆包膜和秸杆青贮氨化推广技术。三是抓好科技入户和农民技术培训，提高养殖水平。四是市畜牧水产事务中心发挥专业特长，全面推广优质肉牛、肉羊养殖技术，在高档肉牛、羊繁育、饲料配方、饲草加工调制等方面下功夫，破解制约产业发展的“瓶颈”问题，推动草食动物快速发展。五是加强养殖场综合防疫管理，健全卫生防疫制度，强化环境消毒和病死畜无害化处理，不断提高生物安全水平和养殖用药安全。 </w:t>
      </w:r>
    </w:p>
    <w:p>
      <w:pPr>
        <w:keepNext w:val="0"/>
        <w:keepLines w:val="0"/>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楷体_GB2312" w:cs="Times New Roman"/>
          <w:bCs/>
          <w:color w:val="000000"/>
          <w:sz w:val="32"/>
          <w:szCs w:val="32"/>
          <w:lang w:val="en-US" w:eastAsia="zh-CN"/>
        </w:rPr>
        <w:t>（四）积极宣传引导。</w:t>
      </w:r>
      <w:r>
        <w:rPr>
          <w:rFonts w:hint="default" w:ascii="Times New Roman" w:hAnsi="Times New Roman" w:eastAsia="仿宋_GB2312" w:cs="Times New Roman"/>
          <w:bCs w:val="0"/>
          <w:kern w:val="2"/>
          <w:sz w:val="32"/>
          <w:szCs w:val="24"/>
          <w:lang w:val="en-US" w:eastAsia="zh-CN" w:bidi="ar-SA"/>
        </w:rPr>
        <w:t>充分利用广播、电视、报纸、网站、会议、微信等媒体多渠道全方位宣传实施肉牛肉羊增量提质项目重大意义、主要内容和建设要求。开展经常性的宣传报道，全面展现示范行动的亮点做法和成效，积极营造全社会共同推进牛羊产业的良好氛围。总结宣传先进典型的成功经验，扩大龙头企业的带动效应，以点带面，全面推进牛羊产业的健康、稳定、持续发展。</w:t>
      </w:r>
    </w:p>
    <w:p>
      <w:pPr>
        <w:keepNext w:val="0"/>
        <w:keepLines w:val="0"/>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eastAsia="仿宋_GB2312" w:cs="Times New Roman"/>
          <w:bCs w:val="0"/>
          <w:kern w:val="2"/>
          <w:sz w:val="32"/>
          <w:szCs w:val="24"/>
          <w:lang w:val="en-US" w:eastAsia="zh-CN" w:bidi="ar-SA"/>
        </w:rPr>
      </w:pPr>
    </w:p>
    <w:p>
      <w:pPr>
        <w:keepNext w:val="0"/>
        <w:keepLines w:val="0"/>
        <w:pageBreakBefore w:val="0"/>
        <w:kinsoku/>
        <w:wordWrap/>
        <w:overflowPunct/>
        <w:topLinePunct w:val="0"/>
        <w:autoSpaceDE/>
        <w:autoSpaceDN/>
        <w:bidi w:val="0"/>
        <w:adjustRightInd/>
        <w:snapToGrid/>
        <w:spacing w:line="578" w:lineRule="exact"/>
        <w:ind w:firstLine="600"/>
        <w:textAlignment w:val="auto"/>
        <w:rPr>
          <w:rFonts w:hint="default" w:ascii="Times New Roman" w:hAnsi="Times New Roman" w:eastAsia="仿宋_GB2312" w:cs="Times New Roman"/>
          <w:bCs w:val="0"/>
          <w:kern w:val="2"/>
          <w:sz w:val="32"/>
          <w:szCs w:val="24"/>
          <w:lang w:val="en-US" w:eastAsia="zh-CN" w:bidi="ar-SA"/>
        </w:rPr>
      </w:pPr>
    </w:p>
    <w:p>
      <w:pPr>
        <w:pStyle w:val="14"/>
        <w:ind w:left="0" w:leftChars="0" w:firstLine="0" w:firstLineChars="0"/>
        <w:rPr>
          <w:rFonts w:hint="default" w:ascii="Times New Roman" w:hAnsi="Times New Roman" w:eastAsia="黑体" w:cs="Times New Roman"/>
          <w:bCs/>
          <w:color w:val="000000"/>
          <w:sz w:val="32"/>
          <w:szCs w:val="32"/>
          <w:lang w:val="en-US" w:eastAsia="zh-CN"/>
        </w:rPr>
      </w:pPr>
      <w:bookmarkStart w:id="0" w:name="_GoBack"/>
      <w:bookmarkEnd w:id="0"/>
    </w:p>
    <w:sectPr>
      <w:headerReference r:id="rId3" w:type="default"/>
      <w:footerReference r:id="rId4" w:type="default"/>
      <w:pgSz w:w="11906" w:h="16838"/>
      <w:pgMar w:top="1304" w:right="1531" w:bottom="130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BCEF71-E5CC-4A2F-BC3C-4F3F25BCAF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5AFD4A5A-333A-451C-B347-BF6343D0F41B}"/>
  </w:font>
  <w:font w:name="楷体_GB2312">
    <w:panose1 w:val="02010609030101010101"/>
    <w:charset w:val="86"/>
    <w:family w:val="modern"/>
    <w:pitch w:val="default"/>
    <w:sig w:usb0="00000001" w:usb1="080E0000" w:usb2="00000000" w:usb3="00000000" w:csb0="00040000" w:csb1="00000000"/>
    <w:embedRegular r:id="rId3" w:fontKey="{C8CFEB24-585A-4931-92D3-676E850CEA16}"/>
  </w:font>
  <w:font w:name="..ì.">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3FB474CA-2993-45CC-AE3F-7E0331090F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7"/>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jgwOTQ0M2U0Mzg2MTk0YzVjYWM1OTc3NTUyZTQifQ=="/>
  </w:docVars>
  <w:rsids>
    <w:rsidRoot w:val="574F1962"/>
    <w:rsid w:val="00064659"/>
    <w:rsid w:val="001042EE"/>
    <w:rsid w:val="00116BB3"/>
    <w:rsid w:val="001B3F58"/>
    <w:rsid w:val="001C04C5"/>
    <w:rsid w:val="001E385D"/>
    <w:rsid w:val="002254FC"/>
    <w:rsid w:val="00241CC8"/>
    <w:rsid w:val="00285F9A"/>
    <w:rsid w:val="002E585C"/>
    <w:rsid w:val="003B2A9D"/>
    <w:rsid w:val="003D0C73"/>
    <w:rsid w:val="00417558"/>
    <w:rsid w:val="004648EC"/>
    <w:rsid w:val="004D6673"/>
    <w:rsid w:val="005039F5"/>
    <w:rsid w:val="005B47E1"/>
    <w:rsid w:val="005D1726"/>
    <w:rsid w:val="0062405F"/>
    <w:rsid w:val="00652406"/>
    <w:rsid w:val="006932CC"/>
    <w:rsid w:val="00702FE0"/>
    <w:rsid w:val="00762C8A"/>
    <w:rsid w:val="007C3064"/>
    <w:rsid w:val="007D561F"/>
    <w:rsid w:val="008B4C14"/>
    <w:rsid w:val="0093459E"/>
    <w:rsid w:val="00981765"/>
    <w:rsid w:val="009868AB"/>
    <w:rsid w:val="009D76CC"/>
    <w:rsid w:val="00A25CD4"/>
    <w:rsid w:val="00A34727"/>
    <w:rsid w:val="00A6138C"/>
    <w:rsid w:val="00AE3096"/>
    <w:rsid w:val="00B63B9C"/>
    <w:rsid w:val="00BB76B5"/>
    <w:rsid w:val="00C01CC5"/>
    <w:rsid w:val="00C4621E"/>
    <w:rsid w:val="00C5474C"/>
    <w:rsid w:val="00C70295"/>
    <w:rsid w:val="00C85206"/>
    <w:rsid w:val="00CD30F9"/>
    <w:rsid w:val="00CE77B8"/>
    <w:rsid w:val="00DA4956"/>
    <w:rsid w:val="00E126FD"/>
    <w:rsid w:val="00EC42A2"/>
    <w:rsid w:val="00FD7B60"/>
    <w:rsid w:val="028417C1"/>
    <w:rsid w:val="03681820"/>
    <w:rsid w:val="043703B8"/>
    <w:rsid w:val="04EC123A"/>
    <w:rsid w:val="05C23605"/>
    <w:rsid w:val="06C01F35"/>
    <w:rsid w:val="08564B40"/>
    <w:rsid w:val="09AE24F3"/>
    <w:rsid w:val="0B09218F"/>
    <w:rsid w:val="0DF15CCE"/>
    <w:rsid w:val="0E8D69FB"/>
    <w:rsid w:val="0F84395A"/>
    <w:rsid w:val="109D7BEE"/>
    <w:rsid w:val="10DE5EC4"/>
    <w:rsid w:val="11D02556"/>
    <w:rsid w:val="12E053A9"/>
    <w:rsid w:val="14FD5387"/>
    <w:rsid w:val="16036E4A"/>
    <w:rsid w:val="16F567AD"/>
    <w:rsid w:val="1794207D"/>
    <w:rsid w:val="186F6E7D"/>
    <w:rsid w:val="1984406E"/>
    <w:rsid w:val="1A6D2642"/>
    <w:rsid w:val="1AC67C31"/>
    <w:rsid w:val="1BD36C0E"/>
    <w:rsid w:val="1BFD0E88"/>
    <w:rsid w:val="1C9A0FA4"/>
    <w:rsid w:val="1F0C4D95"/>
    <w:rsid w:val="1F5B0DF7"/>
    <w:rsid w:val="20480747"/>
    <w:rsid w:val="219324F5"/>
    <w:rsid w:val="21E45B6C"/>
    <w:rsid w:val="23A364B8"/>
    <w:rsid w:val="240115C5"/>
    <w:rsid w:val="25E72226"/>
    <w:rsid w:val="263B3B54"/>
    <w:rsid w:val="26D37D6D"/>
    <w:rsid w:val="26DD79C7"/>
    <w:rsid w:val="2BF9400A"/>
    <w:rsid w:val="2CD708BA"/>
    <w:rsid w:val="2CD720B6"/>
    <w:rsid w:val="2E2A35B5"/>
    <w:rsid w:val="2E45232E"/>
    <w:rsid w:val="2EE7299A"/>
    <w:rsid w:val="32453BFC"/>
    <w:rsid w:val="33087C08"/>
    <w:rsid w:val="36C76EF8"/>
    <w:rsid w:val="3709173E"/>
    <w:rsid w:val="37C847FE"/>
    <w:rsid w:val="39C80763"/>
    <w:rsid w:val="39EF2192"/>
    <w:rsid w:val="3BC77529"/>
    <w:rsid w:val="3C245D0D"/>
    <w:rsid w:val="3C664263"/>
    <w:rsid w:val="3F84385F"/>
    <w:rsid w:val="3FFE6FBA"/>
    <w:rsid w:val="40336981"/>
    <w:rsid w:val="41CC6917"/>
    <w:rsid w:val="439A7CE8"/>
    <w:rsid w:val="43B23BC1"/>
    <w:rsid w:val="45280308"/>
    <w:rsid w:val="45627E25"/>
    <w:rsid w:val="48236291"/>
    <w:rsid w:val="491B0746"/>
    <w:rsid w:val="49852C40"/>
    <w:rsid w:val="49CD2F3E"/>
    <w:rsid w:val="4B073828"/>
    <w:rsid w:val="4D7213AB"/>
    <w:rsid w:val="4DE36182"/>
    <w:rsid w:val="4E9622A9"/>
    <w:rsid w:val="4EB81634"/>
    <w:rsid w:val="500F388E"/>
    <w:rsid w:val="50440082"/>
    <w:rsid w:val="54DF5C3A"/>
    <w:rsid w:val="574F1962"/>
    <w:rsid w:val="58874FDC"/>
    <w:rsid w:val="58DD46B4"/>
    <w:rsid w:val="593456E0"/>
    <w:rsid w:val="59826F6A"/>
    <w:rsid w:val="5D5E7C0B"/>
    <w:rsid w:val="5E403D4D"/>
    <w:rsid w:val="5F274313"/>
    <w:rsid w:val="5FAA3D5F"/>
    <w:rsid w:val="5FBC5F00"/>
    <w:rsid w:val="600E05A6"/>
    <w:rsid w:val="62477B16"/>
    <w:rsid w:val="62753E81"/>
    <w:rsid w:val="627F6632"/>
    <w:rsid w:val="64DC14C9"/>
    <w:rsid w:val="653A3DE6"/>
    <w:rsid w:val="66370DE9"/>
    <w:rsid w:val="671C6AEA"/>
    <w:rsid w:val="673B297E"/>
    <w:rsid w:val="67C57EBE"/>
    <w:rsid w:val="6A1C6FD8"/>
    <w:rsid w:val="6A930A0E"/>
    <w:rsid w:val="6AA72D08"/>
    <w:rsid w:val="6AF325C0"/>
    <w:rsid w:val="6BD359A6"/>
    <w:rsid w:val="6BFA2A15"/>
    <w:rsid w:val="6C715FA2"/>
    <w:rsid w:val="6D0C5E17"/>
    <w:rsid w:val="6D6A07B0"/>
    <w:rsid w:val="6DE7366D"/>
    <w:rsid w:val="6E3D233E"/>
    <w:rsid w:val="6E6774E9"/>
    <w:rsid w:val="6EA87A60"/>
    <w:rsid w:val="6EAC5256"/>
    <w:rsid w:val="6EBF15A3"/>
    <w:rsid w:val="727E5F2F"/>
    <w:rsid w:val="744C4D7D"/>
    <w:rsid w:val="745919DD"/>
    <w:rsid w:val="749748F5"/>
    <w:rsid w:val="74E7026C"/>
    <w:rsid w:val="75AA4E86"/>
    <w:rsid w:val="76563B35"/>
    <w:rsid w:val="7A1D3808"/>
    <w:rsid w:val="7AAA007C"/>
    <w:rsid w:val="7BC32B49"/>
    <w:rsid w:val="7CDF1853"/>
    <w:rsid w:val="7DC255BC"/>
    <w:rsid w:val="7DCA432B"/>
    <w:rsid w:val="7DD57976"/>
    <w:rsid w:val="7E93543B"/>
    <w:rsid w:val="7F842003"/>
    <w:rsid w:val="7F9164CE"/>
    <w:rsid w:val="7FF6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line="700" w:lineRule="exact"/>
      <w:ind w:firstLine="0" w:firstLineChars="0"/>
      <w:jc w:val="center"/>
      <w:outlineLvl w:val="0"/>
    </w:pPr>
    <w:rPr>
      <w:rFonts w:ascii="Times New Roman" w:hAnsi="Times New Roman" w:eastAsia="方正小标宋简体"/>
      <w:bCs/>
      <w:kern w:val="44"/>
      <w:sz w:val="44"/>
      <w:szCs w:val="44"/>
    </w:rPr>
  </w:style>
  <w:style w:type="paragraph" w:styleId="3">
    <w:name w:val="heading 2"/>
    <w:basedOn w:val="1"/>
    <w:next w:val="1"/>
    <w:autoRedefine/>
    <w:qFormat/>
    <w:uiPriority w:val="0"/>
    <w:pPr>
      <w:outlineLvl w:val="1"/>
    </w:pPr>
    <w:rPr>
      <w:rFonts w:ascii="Times New Roman" w:hAnsi="Times New Roman" w:eastAsia="黑体"/>
      <w:bCs/>
      <w:szCs w:val="32"/>
    </w:rPr>
  </w:style>
  <w:style w:type="paragraph" w:styleId="4">
    <w:name w:val="heading 3"/>
    <w:basedOn w:val="1"/>
    <w:next w:val="1"/>
    <w:autoRedefine/>
    <w:qFormat/>
    <w:uiPriority w:val="0"/>
    <w:pPr>
      <w:outlineLvl w:val="2"/>
    </w:pPr>
    <w:rPr>
      <w:rFonts w:ascii="Times New Roman" w:hAnsi="Times New Roman" w:eastAsia="楷体_GB2312"/>
      <w:b/>
      <w:bCs/>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Body Text"/>
    <w:basedOn w:val="1"/>
    <w:next w:val="7"/>
    <w:autoRedefine/>
    <w:qFormat/>
    <w:uiPriority w:val="99"/>
    <w:pPr>
      <w:spacing w:line="360" w:lineRule="auto"/>
    </w:pPr>
    <w:rPr>
      <w:sz w:val="28"/>
    </w:rPr>
  </w:style>
  <w:style w:type="paragraph" w:styleId="7">
    <w:name w:val="toc 5"/>
    <w:basedOn w:val="1"/>
    <w:next w:val="1"/>
    <w:autoRedefine/>
    <w:qFormat/>
    <w:uiPriority w:val="0"/>
    <w:pPr>
      <w:ind w:left="1680" w:leftChars="800"/>
    </w:pPr>
    <w:rPr>
      <w:rFonts w:ascii="Times New Roman" w:hAnsi="Times New Roman" w:cs="Calibri"/>
    </w:rPr>
  </w:style>
  <w:style w:type="paragraph" w:styleId="8">
    <w:name w:val="Plain Text"/>
    <w:basedOn w:val="1"/>
    <w:autoRedefine/>
    <w:qFormat/>
    <w:uiPriority w:val="99"/>
    <w:rPr>
      <w:rFonts w:ascii="宋体" w:hAnsi="Courier New" w:cs="Courier New"/>
      <w:szCs w:val="21"/>
    </w:rPr>
  </w:style>
  <w:style w:type="paragraph" w:styleId="9">
    <w:name w:val="Balloon Text"/>
    <w:basedOn w:val="1"/>
    <w:link w:val="19"/>
    <w:autoRedefine/>
    <w:qFormat/>
    <w:uiPriority w:val="0"/>
    <w:rPr>
      <w:sz w:val="18"/>
      <w:szCs w:val="18"/>
    </w:rPr>
  </w:style>
  <w:style w:type="paragraph" w:styleId="10">
    <w:name w:val="footer"/>
    <w:basedOn w:val="1"/>
    <w:autoRedefine/>
    <w:semiHidden/>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4"/>
    <w:basedOn w:val="1"/>
    <w:next w:val="1"/>
    <w:autoRedefine/>
    <w:qFormat/>
    <w:uiPriority w:val="0"/>
    <w:pPr>
      <w:ind w:left="1260" w:leftChars="600"/>
    </w:pPr>
    <w:rPr>
      <w:rFonts w:ascii="Times New Roman" w:hAnsi="Times New Roman" w:eastAsia="宋体" w:cs="Times New Roman"/>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6"/>
    <w:autoRedefine/>
    <w:qFormat/>
    <w:uiPriority w:val="0"/>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customStyle="1" w:styleId="19">
    <w:name w:val="批注框文本 Char"/>
    <w:basedOn w:val="17"/>
    <w:link w:val="9"/>
    <w:autoRedefine/>
    <w:qFormat/>
    <w:uiPriority w:val="0"/>
    <w:rPr>
      <w:rFonts w:asciiTheme="minorHAnsi" w:hAnsiTheme="minorHAnsi" w:eastAsiaTheme="minorEastAsia" w:cstheme="minorBidi"/>
      <w:kern w:val="2"/>
      <w:sz w:val="18"/>
      <w:szCs w:val="18"/>
    </w:rPr>
  </w:style>
  <w:style w:type="paragraph" w:customStyle="1" w:styleId="20">
    <w:name w:val="p0"/>
    <w:basedOn w:val="1"/>
    <w:autoRedefine/>
    <w:qFormat/>
    <w:uiPriority w:val="0"/>
    <w:pPr>
      <w:widowControl/>
    </w:pPr>
    <w:rPr>
      <w:rFonts w:ascii="Times New Roman" w:hAnsi="Times New Roman" w:eastAsia="宋体" w:cs="Times New Roman"/>
      <w:kern w:val="0"/>
      <w:sz w:val="32"/>
      <w:szCs w:val="32"/>
    </w:rPr>
  </w:style>
  <w:style w:type="paragraph" w:customStyle="1" w:styleId="21">
    <w:name w:val="Default"/>
    <w:autoRedefine/>
    <w:unhideWhenUsed/>
    <w:qFormat/>
    <w:uiPriority w:val="99"/>
    <w:pPr>
      <w:widowControl w:val="0"/>
      <w:autoSpaceDE w:val="0"/>
      <w:autoSpaceDN w:val="0"/>
      <w:adjustRightInd w:val="0"/>
    </w:pPr>
    <w:rPr>
      <w:rFonts w:hint="eastAsia" w:ascii="..ì." w:hAnsi="..ì." w:eastAsia="..ì." w:cs="黑体"/>
      <w:color w:val="000000"/>
      <w:sz w:val="24"/>
      <w:szCs w:val="22"/>
      <w:lang w:val="en-US" w:eastAsia="zh-CN" w:bidi="ar-SA"/>
    </w:rPr>
  </w:style>
  <w:style w:type="character" w:customStyle="1" w:styleId="22">
    <w:name w:val="font21"/>
    <w:basedOn w:val="17"/>
    <w:autoRedefine/>
    <w:qFormat/>
    <w:uiPriority w:val="0"/>
    <w:rPr>
      <w:rFonts w:hint="eastAsia" w:ascii="黑体" w:hAnsi="宋体" w:eastAsia="黑体" w:cs="黑体"/>
      <w:color w:val="000000"/>
      <w:sz w:val="21"/>
      <w:szCs w:val="21"/>
      <w:u w:val="none"/>
    </w:rPr>
  </w:style>
  <w:style w:type="character" w:customStyle="1" w:styleId="23">
    <w:name w:val="font41"/>
    <w:basedOn w:val="17"/>
    <w:autoRedefine/>
    <w:qFormat/>
    <w:uiPriority w:val="0"/>
    <w:rPr>
      <w:rFonts w:hint="default" w:ascii="Times New Roman" w:hAnsi="Times New Roman" w:cs="Times New Roman"/>
      <w:color w:val="000000"/>
      <w:sz w:val="21"/>
      <w:szCs w:val="21"/>
      <w:u w:val="none"/>
    </w:rPr>
  </w:style>
  <w:style w:type="character" w:customStyle="1" w:styleId="24">
    <w:name w:val="font11"/>
    <w:basedOn w:val="17"/>
    <w:autoRedefine/>
    <w:qFormat/>
    <w:uiPriority w:val="0"/>
    <w:rPr>
      <w:rFonts w:hint="eastAsia" w:ascii="宋体" w:hAnsi="宋体" w:eastAsia="宋体" w:cs="宋体"/>
      <w:color w:val="000000"/>
      <w:sz w:val="21"/>
      <w:szCs w:val="21"/>
      <w:u w:val="none"/>
    </w:rPr>
  </w:style>
  <w:style w:type="character" w:customStyle="1" w:styleId="25">
    <w:name w:val="font61"/>
    <w:basedOn w:val="17"/>
    <w:autoRedefine/>
    <w:qFormat/>
    <w:uiPriority w:val="0"/>
    <w:rPr>
      <w:rFonts w:hint="eastAsia" w:ascii="宋体" w:hAnsi="宋体" w:eastAsia="宋体" w:cs="宋体"/>
      <w:color w:val="000000"/>
      <w:sz w:val="18"/>
      <w:szCs w:val="18"/>
      <w:u w:val="none"/>
    </w:rPr>
  </w:style>
  <w:style w:type="character" w:customStyle="1" w:styleId="26">
    <w:name w:val="font31"/>
    <w:basedOn w:val="17"/>
    <w:autoRedefine/>
    <w:qFormat/>
    <w:uiPriority w:val="0"/>
    <w:rPr>
      <w:rFonts w:hint="default" w:ascii="Times New Roman" w:hAnsi="Times New Roman" w:cs="Times New Roman"/>
      <w:color w:val="000000"/>
      <w:sz w:val="24"/>
      <w:szCs w:val="24"/>
      <w:u w:val="none"/>
    </w:rPr>
  </w:style>
  <w:style w:type="character" w:customStyle="1" w:styleId="27">
    <w:name w:val="font51"/>
    <w:basedOn w:val="17"/>
    <w:autoRedefine/>
    <w:qFormat/>
    <w:uiPriority w:val="0"/>
    <w:rPr>
      <w:rFonts w:hint="eastAsia" w:ascii="仿宋_GB2312" w:eastAsia="仿宋_GB2312" w:cs="仿宋_GB2312"/>
      <w:color w:val="000000"/>
      <w:sz w:val="22"/>
      <w:szCs w:val="22"/>
      <w:u w:val="none"/>
    </w:rPr>
  </w:style>
  <w:style w:type="character" w:customStyle="1" w:styleId="28">
    <w:name w:val="font81"/>
    <w:basedOn w:val="17"/>
    <w:autoRedefine/>
    <w:qFormat/>
    <w:uiPriority w:val="0"/>
    <w:rPr>
      <w:rFonts w:hint="eastAsia" w:ascii="仿宋_GB2312" w:eastAsia="仿宋_GB2312" w:cs="仿宋_GB2312"/>
      <w:color w:val="000000"/>
      <w:sz w:val="22"/>
      <w:szCs w:val="22"/>
      <w:u w:val="none"/>
    </w:rPr>
  </w:style>
  <w:style w:type="character" w:customStyle="1" w:styleId="29">
    <w:name w:val="font7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94530-C7A7-4D9F-924E-2B3B3EE07FE9}">
  <ds:schemaRefs/>
</ds:datastoreItem>
</file>

<file path=docProps/app.xml><?xml version="1.0" encoding="utf-8"?>
<Properties xmlns="http://schemas.openxmlformats.org/officeDocument/2006/extended-properties" xmlns:vt="http://schemas.openxmlformats.org/officeDocument/2006/docPropsVTypes">
  <Template>Normal</Template>
  <Pages>13</Pages>
  <Words>6196</Words>
  <Characters>6823</Characters>
  <Lines>10</Lines>
  <Paragraphs>2</Paragraphs>
  <TotalTime>15</TotalTime>
  <ScaleCrop>false</ScaleCrop>
  <LinksUpToDate>false</LinksUpToDate>
  <CharactersWithSpaces>6865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2019-08-06T07:30:00Z</dcterms:created>
  <dc:creator>莱雅菊 </dc:creator>
  <cp:lastModifiedBy>Administrator</cp:lastModifiedBy>
  <cp:lastPrinted>2024-07-24T06:53:00Z</cp:lastPrinted>
  <dcterms:modified xsi:type="dcterms:W3CDTF">2024-09-02T02:35:32Z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5239BDC1B98B444E8AB9728159BBBB0A_13</vt:lpwstr>
  </property>
</Properties>
</file>