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4C01A">
      <w:pPr>
        <w:keepNext w:val="0"/>
        <w:keepLines w:val="0"/>
        <w:pageBreakBefore w:val="0"/>
        <w:widowControl w:val="0"/>
        <w:kinsoku/>
        <w:wordWrap/>
        <w:overflowPunct w:val="0"/>
        <w:topLinePunct w:val="0"/>
        <w:autoSpaceDE w:val="0"/>
        <w:autoSpaceDN w:val="0"/>
        <w:bidi w:val="0"/>
        <w:adjustRightInd w:val="0"/>
        <w:snapToGrid w:val="0"/>
        <w:spacing w:line="579" w:lineRule="exact"/>
        <w:ind w:left="0" w:leftChars="0" w:right="0"/>
        <w:jc w:val="center"/>
        <w:textAlignment w:val="auto"/>
        <w:rPr>
          <w:rFonts w:hint="default" w:ascii="Times New Roman" w:hAnsi="Times New Roman" w:eastAsia="方正小标宋简体" w:cs="Times New Roman"/>
          <w:snapToGrid w:val="0"/>
          <w:color w:val="000000"/>
          <w:kern w:val="0"/>
          <w:sz w:val="42"/>
          <w:szCs w:val="42"/>
          <w:highlight w:val="none"/>
          <w:shd w:val="clear" w:color="auto" w:fill="auto"/>
        </w:rPr>
      </w:pPr>
      <w:bookmarkStart w:id="0" w:name="_GoBack"/>
      <w:bookmarkEnd w:id="0"/>
      <w:r>
        <w:rPr>
          <w:rFonts w:hint="default" w:ascii="Times New Roman" w:hAnsi="Times New Roman" w:eastAsia="方正小标宋简体" w:cs="Times New Roman"/>
          <w:snapToGrid w:val="0"/>
          <w:color w:val="000000"/>
          <w:kern w:val="0"/>
          <w:sz w:val="42"/>
          <w:szCs w:val="42"/>
          <w:highlight w:val="none"/>
          <w:shd w:val="clear" w:color="auto" w:fill="auto"/>
        </w:rPr>
        <w:t>关于202</w:t>
      </w:r>
      <w:r>
        <w:rPr>
          <w:rFonts w:hint="default" w:ascii="Times New Roman" w:hAnsi="Times New Roman" w:eastAsia="方正小标宋简体" w:cs="Times New Roman"/>
          <w:snapToGrid w:val="0"/>
          <w:color w:val="000000"/>
          <w:kern w:val="0"/>
          <w:sz w:val="42"/>
          <w:szCs w:val="42"/>
          <w:highlight w:val="none"/>
          <w:shd w:val="clear" w:color="auto" w:fill="auto"/>
          <w:lang w:val="en-US" w:eastAsia="zh-CN"/>
        </w:rPr>
        <w:t>3</w:t>
      </w:r>
      <w:r>
        <w:rPr>
          <w:rFonts w:hint="default" w:ascii="Times New Roman" w:hAnsi="Times New Roman" w:eastAsia="方正小标宋简体" w:cs="Times New Roman"/>
          <w:snapToGrid w:val="0"/>
          <w:color w:val="000000"/>
          <w:kern w:val="0"/>
          <w:sz w:val="42"/>
          <w:szCs w:val="42"/>
          <w:highlight w:val="none"/>
          <w:shd w:val="clear" w:color="auto" w:fill="auto"/>
        </w:rPr>
        <w:t>年度区本级预算执行和其他财政收支</w:t>
      </w:r>
    </w:p>
    <w:p w14:paraId="1E3C1122">
      <w:pPr>
        <w:keepNext w:val="0"/>
        <w:keepLines w:val="0"/>
        <w:pageBreakBefore w:val="0"/>
        <w:widowControl w:val="0"/>
        <w:kinsoku/>
        <w:wordWrap/>
        <w:overflowPunct w:val="0"/>
        <w:topLinePunct w:val="0"/>
        <w:autoSpaceDE w:val="0"/>
        <w:autoSpaceDN w:val="0"/>
        <w:bidi w:val="0"/>
        <w:adjustRightInd w:val="0"/>
        <w:snapToGrid w:val="0"/>
        <w:spacing w:line="579" w:lineRule="exact"/>
        <w:ind w:left="0" w:leftChars="0" w:right="0"/>
        <w:jc w:val="center"/>
        <w:textAlignment w:val="auto"/>
        <w:rPr>
          <w:rFonts w:hint="default" w:ascii="Times New Roman" w:hAnsi="Times New Roman" w:eastAsia="方正小标宋简体" w:cs="Times New Roman"/>
          <w:snapToGrid w:val="0"/>
          <w:color w:val="000000"/>
          <w:kern w:val="0"/>
          <w:sz w:val="42"/>
          <w:szCs w:val="42"/>
          <w:highlight w:val="none"/>
          <w:shd w:val="clear" w:color="auto" w:fill="auto"/>
        </w:rPr>
      </w:pPr>
      <w:r>
        <w:rPr>
          <w:rFonts w:hint="default" w:ascii="Times New Roman" w:hAnsi="Times New Roman" w:eastAsia="方正小标宋简体" w:cs="Times New Roman"/>
          <w:snapToGrid w:val="0"/>
          <w:color w:val="000000"/>
          <w:kern w:val="0"/>
          <w:sz w:val="42"/>
          <w:szCs w:val="42"/>
          <w:highlight w:val="none"/>
          <w:shd w:val="clear" w:color="auto" w:fill="auto"/>
        </w:rPr>
        <w:t>情况的审计工作报告</w:t>
      </w:r>
    </w:p>
    <w:p w14:paraId="75D4EFA2">
      <w:pPr>
        <w:pStyle w:val="2"/>
        <w:keepNext w:val="0"/>
        <w:keepLines w:val="0"/>
        <w:pageBreakBefore w:val="0"/>
        <w:widowControl w:val="0"/>
        <w:kinsoku/>
        <w:wordWrap/>
        <w:overflowPunct w:val="0"/>
        <w:topLinePunct w:val="0"/>
        <w:autoSpaceDE w:val="0"/>
        <w:autoSpaceDN w:val="0"/>
        <w:bidi w:val="0"/>
        <w:adjustRightInd w:val="0"/>
        <w:snapToGrid w:val="0"/>
        <w:spacing w:line="579" w:lineRule="exact"/>
        <w:textAlignment w:val="auto"/>
        <w:rPr>
          <w:rFonts w:hint="default" w:ascii="Times New Roman" w:hAnsi="Times New Roman" w:cs="Times New Roman"/>
          <w:color w:val="000000"/>
          <w:highlight w:val="none"/>
          <w:shd w:val="clear" w:color="auto" w:fill="auto"/>
          <w:lang w:val="en-US" w:eastAsia="zh-CN"/>
        </w:rPr>
      </w:pPr>
    </w:p>
    <w:p w14:paraId="28322FDF">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snapToGrid w:val="0"/>
          <w:color w:val="000000"/>
          <w:kern w:val="0"/>
          <w:sz w:val="32"/>
          <w:szCs w:val="32"/>
          <w:highlight w:val="none"/>
          <w:shd w:val="clear" w:color="auto" w:fill="auto"/>
          <w:lang w:val="en-US" w:eastAsia="zh-CN"/>
        </w:rPr>
      </w:pPr>
      <w:r>
        <w:rPr>
          <w:rFonts w:hint="default" w:ascii="Times New Roman" w:hAnsi="Times New Roman" w:eastAsia="仿宋_GB2312" w:cs="Times New Roman"/>
          <w:snapToGrid w:val="0"/>
          <w:color w:val="000000"/>
          <w:kern w:val="0"/>
          <w:sz w:val="32"/>
          <w:szCs w:val="32"/>
          <w:highlight w:val="none"/>
          <w:shd w:val="clear" w:color="auto" w:fill="auto"/>
        </w:rPr>
        <w:t>按照《中华人民共和国审计法》及相关法律法规，</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天元</w:t>
      </w:r>
      <w:r>
        <w:rPr>
          <w:rFonts w:hint="default" w:ascii="Times New Roman" w:hAnsi="Times New Roman" w:eastAsia="仿宋_GB2312" w:cs="Times New Roman"/>
          <w:snapToGrid w:val="0"/>
          <w:color w:val="000000"/>
          <w:kern w:val="0"/>
          <w:sz w:val="32"/>
          <w:szCs w:val="32"/>
          <w:highlight w:val="none"/>
          <w:shd w:val="clear" w:color="auto" w:fill="auto"/>
        </w:rPr>
        <w:t>区审计局对202</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3</w:t>
      </w:r>
      <w:r>
        <w:rPr>
          <w:rFonts w:hint="default" w:ascii="Times New Roman" w:hAnsi="Times New Roman" w:eastAsia="仿宋_GB2312" w:cs="Times New Roman"/>
          <w:snapToGrid w:val="0"/>
          <w:color w:val="000000"/>
          <w:kern w:val="0"/>
          <w:sz w:val="32"/>
          <w:szCs w:val="32"/>
          <w:highlight w:val="none"/>
          <w:shd w:val="clear" w:color="auto" w:fill="auto"/>
        </w:rPr>
        <w:t>年度区本级预算执行和其他财政收支情况进行了审计。</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具体开展了2023年度区本级预算执行和决算（草案）编制情况审计、</w:t>
      </w:r>
      <w:r>
        <w:rPr>
          <w:rFonts w:hint="default" w:ascii="Times New Roman" w:hAnsi="Times New Roman" w:eastAsia="仿宋_GB2312" w:cs="Times New Roman"/>
          <w:color w:val="000000"/>
          <w:sz w:val="32"/>
          <w:szCs w:val="32"/>
          <w:highlight w:val="none"/>
          <w:shd w:val="clear" w:color="auto" w:fill="auto"/>
        </w:rPr>
        <w:t>2023年部门预算执行情况大数据审计</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、区交通局财政财务收支情况审计</w:t>
      </w:r>
      <w:r>
        <w:rPr>
          <w:rFonts w:hint="default" w:ascii="Times New Roman" w:hAnsi="Times New Roman" w:eastAsia="仿宋_GB2312" w:cs="Times New Roman"/>
          <w:color w:val="000000"/>
          <w:sz w:val="32"/>
          <w:szCs w:val="32"/>
          <w:highlight w:val="none"/>
          <w:shd w:val="clear" w:color="auto" w:fill="auto"/>
          <w:lang w:val="en-US" w:eastAsia="zh-CN"/>
        </w:rPr>
        <w:t>，共发现问题28个（其中非金额计量问题17个），涉及违规金额1.73亿元。</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现将审计结果公告如下：</w:t>
      </w:r>
    </w:p>
    <w:p w14:paraId="64325E2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snapToGrid w:val="0"/>
          <w:color w:val="000000"/>
          <w:kern w:val="0"/>
          <w:sz w:val="32"/>
          <w:szCs w:val="32"/>
          <w:highlight w:val="none"/>
          <w:shd w:val="clear" w:color="auto" w:fill="auto"/>
          <w:lang w:val="en-US"/>
        </w:rPr>
      </w:pPr>
      <w:r>
        <w:rPr>
          <w:rFonts w:hint="default" w:ascii="Times New Roman" w:hAnsi="Times New Roman" w:eastAsia="仿宋_GB2312" w:cs="Times New Roman"/>
          <w:snapToGrid w:val="0"/>
          <w:color w:val="000000"/>
          <w:kern w:val="0"/>
          <w:sz w:val="32"/>
          <w:szCs w:val="32"/>
          <w:highlight w:val="none"/>
          <w:shd w:val="clear" w:color="auto" w:fill="auto"/>
        </w:rPr>
        <w:t>审计结果表明，202</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3</w:t>
      </w:r>
      <w:r>
        <w:rPr>
          <w:rFonts w:hint="default" w:ascii="Times New Roman" w:hAnsi="Times New Roman" w:eastAsia="仿宋_GB2312" w:cs="Times New Roman"/>
          <w:snapToGrid w:val="0"/>
          <w:color w:val="000000"/>
          <w:kern w:val="0"/>
          <w:sz w:val="32"/>
          <w:szCs w:val="32"/>
          <w:highlight w:val="none"/>
          <w:shd w:val="clear" w:color="auto" w:fill="auto"/>
        </w:rPr>
        <w:t>年</w:t>
      </w:r>
      <w:r>
        <w:rPr>
          <w:rFonts w:hint="default" w:ascii="Times New Roman" w:hAnsi="Times New Roman" w:eastAsia="仿宋_GB2312" w:cs="Times New Roman"/>
          <w:snapToGrid w:val="0"/>
          <w:color w:val="000000"/>
          <w:kern w:val="0"/>
          <w:sz w:val="32"/>
          <w:szCs w:val="32"/>
          <w:highlight w:val="none"/>
          <w:shd w:val="clear" w:color="auto" w:fill="auto"/>
          <w:lang w:eastAsia="zh-CN"/>
        </w:rPr>
        <w:t>，</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我区</w:t>
      </w:r>
      <w:r>
        <w:rPr>
          <w:rFonts w:hint="default" w:ascii="Times New Roman" w:hAnsi="Times New Roman" w:eastAsia="仿宋_GB2312" w:cs="Times New Roman"/>
          <w:snapToGrid w:val="0"/>
          <w:color w:val="000000"/>
          <w:kern w:val="0"/>
          <w:sz w:val="32"/>
          <w:szCs w:val="32"/>
          <w:highlight w:val="none"/>
          <w:shd w:val="clear" w:color="auto" w:fill="auto"/>
        </w:rPr>
        <w:t>坚持</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以习近平新时代中国特色社会主义思想为指导，全面贯彻中央、省、市各项决策部署，坚持稳字当头、</w:t>
      </w:r>
      <w:r>
        <w:rPr>
          <w:rFonts w:hint="default" w:ascii="Times New Roman" w:hAnsi="Times New Roman" w:eastAsia="仿宋_GB2312" w:cs="Times New Roman"/>
          <w:snapToGrid w:val="0"/>
          <w:color w:val="000000"/>
          <w:kern w:val="0"/>
          <w:sz w:val="32"/>
          <w:szCs w:val="32"/>
          <w:highlight w:val="none"/>
          <w:shd w:val="clear" w:color="auto" w:fill="auto"/>
        </w:rPr>
        <w:t>稳中求进总基调，</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锚定“三高四新”美好蓝图，知难而进、负重前行，克服各种不利因素，全力打好“发展六仗”，坚定推进区域经济社会稳步发展。2023年区级预算执行情况总体较好，财政运行总体平稳有序。</w:t>
      </w:r>
    </w:p>
    <w:p w14:paraId="0D96BA9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snapToGrid w:val="0"/>
          <w:color w:val="000000"/>
          <w:kern w:val="0"/>
          <w:sz w:val="32"/>
          <w:szCs w:val="32"/>
          <w:highlight w:val="none"/>
          <w:shd w:val="clear" w:color="auto" w:fill="auto"/>
          <w:lang w:val="en-US" w:eastAsia="zh-CN"/>
        </w:rPr>
      </w:pPr>
      <w:r>
        <w:rPr>
          <w:rFonts w:hint="default" w:ascii="Times New Roman" w:hAnsi="Times New Roman" w:eastAsia="宋体" w:cs="Times New Roman"/>
          <w:b w:val="0"/>
          <w:bCs/>
          <w:color w:val="000000"/>
          <w:kern w:val="0"/>
          <w:sz w:val="32"/>
          <w:szCs w:val="32"/>
          <w:highlight w:val="none"/>
          <w:shd w:val="clear" w:color="auto" w:fill="auto"/>
        </w:rPr>
        <w:t>——</w:t>
      </w:r>
      <w:r>
        <w:rPr>
          <w:rFonts w:hint="default" w:ascii="Times New Roman" w:hAnsi="Times New Roman" w:cs="Times New Roman"/>
          <w:b w:val="0"/>
          <w:bCs/>
          <w:color w:val="000000"/>
          <w:kern w:val="0"/>
          <w:sz w:val="32"/>
          <w:szCs w:val="32"/>
          <w:highlight w:val="none"/>
          <w:shd w:val="clear" w:color="auto" w:fill="auto"/>
          <w:lang w:val="en-US" w:eastAsia="zh-CN"/>
        </w:rPr>
        <w:t xml:space="preserve"> </w:t>
      </w:r>
      <w:r>
        <w:rPr>
          <w:rFonts w:hint="default" w:ascii="Times New Roman" w:hAnsi="Times New Roman" w:eastAsia="楷体_GB2312" w:cs="Times New Roman"/>
          <w:b w:val="0"/>
          <w:color w:val="000000"/>
          <w:kern w:val="0"/>
          <w:sz w:val="32"/>
          <w:szCs w:val="32"/>
          <w:highlight w:val="none"/>
          <w:shd w:val="clear" w:color="auto" w:fill="auto"/>
          <w:lang w:val="en-US" w:eastAsia="zh-CN"/>
        </w:rPr>
        <w:t>坚持“稳中求进”</w:t>
      </w:r>
      <w:r>
        <w:rPr>
          <w:rFonts w:hint="default" w:ascii="Times New Roman" w:hAnsi="Times New Roman" w:eastAsia="楷体_GB2312" w:cs="Times New Roman"/>
          <w:color w:val="000000"/>
          <w:kern w:val="0"/>
          <w:sz w:val="32"/>
          <w:szCs w:val="32"/>
          <w:highlight w:val="none"/>
          <w:shd w:val="clear" w:color="auto" w:fill="auto"/>
          <w:lang w:eastAsia="zh-CN"/>
        </w:rPr>
        <w:t>，</w:t>
      </w:r>
      <w:r>
        <w:rPr>
          <w:rFonts w:hint="default" w:ascii="Times New Roman" w:hAnsi="Times New Roman" w:eastAsia="楷体_GB2312" w:cs="Times New Roman"/>
          <w:color w:val="000000"/>
          <w:kern w:val="0"/>
          <w:sz w:val="32"/>
          <w:szCs w:val="32"/>
          <w:highlight w:val="none"/>
          <w:shd w:val="clear" w:color="auto" w:fill="auto"/>
          <w:lang w:val="en-US" w:eastAsia="zh-CN"/>
        </w:rPr>
        <w:t>推动</w:t>
      </w:r>
      <w:r>
        <w:rPr>
          <w:rFonts w:hint="default" w:ascii="Times New Roman" w:hAnsi="Times New Roman" w:eastAsia="楷体_GB2312" w:cs="Times New Roman"/>
          <w:color w:val="000000"/>
          <w:kern w:val="0"/>
          <w:sz w:val="32"/>
          <w:szCs w:val="32"/>
          <w:highlight w:val="none"/>
          <w:shd w:val="clear" w:color="auto" w:fill="auto"/>
        </w:rPr>
        <w:t>收入量质</w:t>
      </w:r>
      <w:r>
        <w:rPr>
          <w:rFonts w:hint="default" w:ascii="Times New Roman" w:hAnsi="Times New Roman" w:eastAsia="楷体_GB2312" w:cs="Times New Roman"/>
          <w:color w:val="000000"/>
          <w:kern w:val="0"/>
          <w:sz w:val="32"/>
          <w:szCs w:val="32"/>
          <w:highlight w:val="none"/>
          <w:shd w:val="clear" w:color="auto" w:fill="auto"/>
          <w:lang w:val="en-US" w:eastAsia="zh-CN"/>
        </w:rPr>
        <w:t>齐升</w:t>
      </w:r>
      <w:r>
        <w:rPr>
          <w:rFonts w:hint="default" w:ascii="Times New Roman" w:hAnsi="Times New Roman" w:eastAsia="楷体_GB2312" w:cs="Times New Roman"/>
          <w:color w:val="000000"/>
          <w:kern w:val="0"/>
          <w:sz w:val="32"/>
          <w:szCs w:val="32"/>
          <w:highlight w:val="none"/>
          <w:shd w:val="clear" w:color="auto" w:fill="auto"/>
        </w:rPr>
        <w:t>。</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为企业科技创新减负赋能，全年实施留抵退税6.71亿元，落实先进制造业增值税进项加计扣除等减税政策。全区一般公共预算收入完成75.77亿元，同比增长129.33%，其中：地方一般公共预算收入完成46.29亿元，同比增长8.82%，地方一般公共预算收入增幅在全市排名第三；地方税收收入</w:t>
      </w:r>
      <w:r>
        <w:rPr>
          <w:rFonts w:hint="default" w:ascii="Times New Roman" w:hAnsi="Times New Roman" w:eastAsia="仿宋_GB2312" w:cs="Times New Roman"/>
          <w:snapToGrid w:val="0"/>
          <w:color w:val="000000"/>
          <w:kern w:val="0"/>
          <w:sz w:val="32"/>
          <w:szCs w:val="32"/>
          <w:highlight w:val="none"/>
          <w:u w:val="none"/>
          <w:shd w:val="clear" w:color="auto" w:fill="auto"/>
          <w:lang w:val="en-US" w:eastAsia="zh-CN"/>
        </w:rPr>
        <w:t>完成</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40.86亿元，同比增加3.76亿元，增长10.13%，占地方一般公共预算收入比重88.27%，占比排名在全市第一位。</w:t>
      </w:r>
    </w:p>
    <w:p w14:paraId="5B0E2DA6">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snapToGrid w:val="0"/>
          <w:color w:val="000000"/>
          <w:kern w:val="0"/>
          <w:sz w:val="32"/>
          <w:szCs w:val="32"/>
          <w:highlight w:val="none"/>
          <w:shd w:val="clear" w:color="auto" w:fill="auto"/>
          <w:lang w:val="en-US" w:eastAsia="zh-CN"/>
        </w:rPr>
      </w:pPr>
      <w:r>
        <w:rPr>
          <w:rFonts w:hint="default" w:ascii="Times New Roman" w:hAnsi="Times New Roman" w:eastAsia="宋体" w:cs="Times New Roman"/>
          <w:b w:val="0"/>
          <w:bCs/>
          <w:color w:val="000000"/>
          <w:kern w:val="0"/>
          <w:sz w:val="32"/>
          <w:szCs w:val="32"/>
          <w:highlight w:val="none"/>
          <w:shd w:val="clear" w:color="auto" w:fill="auto"/>
        </w:rPr>
        <w:t>——</w:t>
      </w:r>
      <w:r>
        <w:rPr>
          <w:rFonts w:hint="default" w:ascii="Times New Roman" w:hAnsi="Times New Roman" w:cs="Times New Roman"/>
          <w:b w:val="0"/>
          <w:bCs/>
          <w:color w:val="000000"/>
          <w:kern w:val="0"/>
          <w:sz w:val="32"/>
          <w:szCs w:val="32"/>
          <w:highlight w:val="none"/>
          <w:shd w:val="clear" w:color="auto" w:fill="auto"/>
          <w:lang w:val="en-US" w:eastAsia="zh-CN"/>
        </w:rPr>
        <w:t xml:space="preserve"> </w:t>
      </w:r>
      <w:r>
        <w:rPr>
          <w:rFonts w:hint="default" w:ascii="Times New Roman" w:hAnsi="Times New Roman" w:eastAsia="楷体_GB2312" w:cs="Times New Roman"/>
          <w:bCs/>
          <w:color w:val="000000"/>
          <w:kern w:val="0"/>
          <w:sz w:val="32"/>
          <w:szCs w:val="32"/>
          <w:highlight w:val="none"/>
          <w:shd w:val="clear" w:color="auto" w:fill="auto"/>
          <w:lang w:val="en-US" w:eastAsia="zh-CN"/>
        </w:rPr>
        <w:t>兜牢“三保”底线</w:t>
      </w:r>
      <w:r>
        <w:rPr>
          <w:rFonts w:hint="default" w:ascii="Times New Roman" w:hAnsi="Times New Roman" w:eastAsia="楷体_GB2312" w:cs="Times New Roman"/>
          <w:bCs/>
          <w:color w:val="000000"/>
          <w:kern w:val="0"/>
          <w:sz w:val="32"/>
          <w:szCs w:val="32"/>
          <w:highlight w:val="none"/>
          <w:shd w:val="clear" w:color="auto" w:fill="auto"/>
        </w:rPr>
        <w:t>，</w:t>
      </w:r>
      <w:r>
        <w:rPr>
          <w:rFonts w:hint="default" w:ascii="Times New Roman" w:hAnsi="Times New Roman" w:eastAsia="楷体_GB2312" w:cs="Times New Roman"/>
          <w:bCs/>
          <w:color w:val="000000"/>
          <w:kern w:val="0"/>
          <w:sz w:val="32"/>
          <w:szCs w:val="32"/>
          <w:highlight w:val="none"/>
          <w:shd w:val="clear" w:color="auto" w:fill="auto"/>
          <w:lang w:val="en-US" w:eastAsia="zh-CN"/>
        </w:rPr>
        <w:t>支出倾斜民生领域</w:t>
      </w:r>
      <w:r>
        <w:rPr>
          <w:rFonts w:hint="default" w:ascii="Times New Roman" w:hAnsi="Times New Roman" w:eastAsia="楷体_GB2312" w:cs="Times New Roman"/>
          <w:bCs/>
          <w:color w:val="000000"/>
          <w:kern w:val="0"/>
          <w:sz w:val="32"/>
          <w:szCs w:val="32"/>
          <w:highlight w:val="none"/>
          <w:shd w:val="clear" w:color="auto" w:fill="auto"/>
        </w:rPr>
        <w:t>。</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落实基本民生保障政策，全年安排民生支出34.4亿元，占一般公共预算支出75.5%，占比提高1.5个百分点。其中：城乡社区支出完成17.31亿元，支持全区13条道路和雨污分流等公益项目建设；社会保障和就业支出完成3.78亿元，优先支持精准就业服务体系改革，重点支持社会大救助体系建设；教育支出完成7亿元，全面落实生均经费政策性提标，重点支持株洲雅礼实验学校建成开学和13所学校完成提质改造；卫生健康支出完成2.41亿元，重点保障疫情支出，全面落实基本公卫和基药零差率制度；农林水支出完成1.4亿元，重点支持农村水利、道路等基础设施建设，以及城乡供水一体化建设。</w:t>
      </w:r>
    </w:p>
    <w:p w14:paraId="486723B0">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snapToGrid w:val="0"/>
          <w:color w:val="000000"/>
          <w:kern w:val="0"/>
          <w:sz w:val="32"/>
          <w:szCs w:val="32"/>
          <w:highlight w:val="none"/>
          <w:shd w:val="clear" w:color="auto" w:fill="auto"/>
          <w:lang w:val="en-US" w:eastAsia="zh-CN"/>
        </w:rPr>
      </w:pPr>
      <w:r>
        <w:rPr>
          <w:rFonts w:hint="default" w:ascii="Times New Roman" w:hAnsi="Times New Roman" w:eastAsia="宋体" w:cs="Times New Roman"/>
          <w:b w:val="0"/>
          <w:bCs/>
          <w:color w:val="000000"/>
          <w:kern w:val="0"/>
          <w:sz w:val="32"/>
          <w:szCs w:val="32"/>
          <w:highlight w:val="none"/>
          <w:shd w:val="clear" w:color="auto" w:fill="auto"/>
        </w:rPr>
        <w:t>——</w:t>
      </w:r>
      <w:r>
        <w:rPr>
          <w:rFonts w:hint="default" w:ascii="Times New Roman" w:hAnsi="Times New Roman" w:cs="Times New Roman"/>
          <w:b/>
          <w:color w:val="000000"/>
          <w:kern w:val="0"/>
          <w:sz w:val="32"/>
          <w:szCs w:val="32"/>
          <w:highlight w:val="none"/>
          <w:shd w:val="clear" w:color="auto" w:fill="auto"/>
          <w:lang w:val="en-US" w:eastAsia="zh-CN"/>
        </w:rPr>
        <w:t xml:space="preserve"> </w:t>
      </w:r>
      <w:r>
        <w:rPr>
          <w:rFonts w:hint="default" w:ascii="Times New Roman" w:hAnsi="Times New Roman" w:eastAsia="楷体_GB2312" w:cs="Times New Roman"/>
          <w:bCs/>
          <w:color w:val="000000"/>
          <w:kern w:val="0"/>
          <w:sz w:val="32"/>
          <w:szCs w:val="32"/>
          <w:highlight w:val="none"/>
          <w:shd w:val="clear" w:color="auto" w:fill="auto"/>
          <w:lang w:eastAsia="zh-CN"/>
        </w:rPr>
        <w:t>深化制度改革</w:t>
      </w:r>
      <w:r>
        <w:rPr>
          <w:rFonts w:hint="default" w:ascii="Times New Roman" w:hAnsi="Times New Roman" w:eastAsia="楷体_GB2312" w:cs="Times New Roman"/>
          <w:bCs/>
          <w:color w:val="000000"/>
          <w:kern w:val="0"/>
          <w:sz w:val="32"/>
          <w:szCs w:val="32"/>
          <w:highlight w:val="none"/>
          <w:shd w:val="clear" w:color="auto" w:fill="auto"/>
        </w:rPr>
        <w:t>，</w:t>
      </w:r>
      <w:r>
        <w:rPr>
          <w:rFonts w:hint="default" w:ascii="Times New Roman" w:hAnsi="Times New Roman" w:eastAsia="楷体_GB2312" w:cs="Times New Roman"/>
          <w:bCs/>
          <w:color w:val="000000"/>
          <w:kern w:val="0"/>
          <w:sz w:val="32"/>
          <w:szCs w:val="32"/>
          <w:highlight w:val="none"/>
          <w:shd w:val="clear" w:color="auto" w:fill="auto"/>
          <w:lang w:eastAsia="zh-CN"/>
        </w:rPr>
        <w:t>提升财政</w:t>
      </w:r>
      <w:r>
        <w:rPr>
          <w:rFonts w:hint="default" w:ascii="Times New Roman" w:hAnsi="Times New Roman" w:eastAsia="楷体_GB2312" w:cs="Times New Roman"/>
          <w:bCs/>
          <w:color w:val="000000"/>
          <w:kern w:val="0"/>
          <w:sz w:val="32"/>
          <w:szCs w:val="32"/>
          <w:highlight w:val="none"/>
          <w:shd w:val="clear" w:color="auto" w:fill="auto"/>
          <w:lang w:val="en-US" w:eastAsia="zh-CN"/>
        </w:rPr>
        <w:t>治理</w:t>
      </w:r>
      <w:r>
        <w:rPr>
          <w:rFonts w:hint="default" w:ascii="Times New Roman" w:hAnsi="Times New Roman" w:eastAsia="楷体_GB2312" w:cs="Times New Roman"/>
          <w:bCs/>
          <w:color w:val="000000"/>
          <w:kern w:val="0"/>
          <w:sz w:val="32"/>
          <w:szCs w:val="32"/>
          <w:highlight w:val="none"/>
          <w:shd w:val="clear" w:color="auto" w:fill="auto"/>
          <w:lang w:eastAsia="zh-CN"/>
        </w:rPr>
        <w:t>水平</w:t>
      </w:r>
      <w:r>
        <w:rPr>
          <w:rFonts w:hint="default" w:ascii="Times New Roman" w:hAnsi="Times New Roman" w:eastAsia="楷体_GB2312" w:cs="Times New Roman"/>
          <w:bCs/>
          <w:color w:val="000000"/>
          <w:kern w:val="0"/>
          <w:sz w:val="32"/>
          <w:szCs w:val="32"/>
          <w:highlight w:val="none"/>
          <w:shd w:val="clear" w:color="auto" w:fill="auto"/>
        </w:rPr>
        <w:t>。</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出台《关于进一步规范镇（街道）特设专户管理的通知》《株洲高新区（天元区）财政支出事项及责任划分的若干规定》等系列规章制度，积极规范财政保障范围、标准、支出责任，进一步理顺区镇（街道）财政分配关系，国库集中支付改革扩面提质，稳步推进；认真落实市委过“紧日子”18条，继续压缩一般性、非刚性支出，严格政府购买服务审批；非税票据电子化改革顺利推进，与税务理顺垃圾处理费等征收机制。</w:t>
      </w:r>
    </w:p>
    <w:p w14:paraId="34C0FA70">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黑体" w:cs="Times New Roman"/>
          <w:snapToGrid w:val="0"/>
          <w:color w:val="000000"/>
          <w:kern w:val="0"/>
          <w:sz w:val="32"/>
          <w:szCs w:val="32"/>
          <w:highlight w:val="none"/>
          <w:shd w:val="clear" w:color="auto" w:fill="auto"/>
        </w:rPr>
      </w:pPr>
      <w:r>
        <w:rPr>
          <w:rFonts w:hint="default" w:ascii="Times New Roman" w:hAnsi="Times New Roman" w:eastAsia="黑体" w:cs="Times New Roman"/>
          <w:snapToGrid w:val="0"/>
          <w:color w:val="000000"/>
          <w:kern w:val="0"/>
          <w:sz w:val="32"/>
          <w:szCs w:val="32"/>
          <w:highlight w:val="none"/>
          <w:shd w:val="clear" w:color="auto" w:fill="auto"/>
        </w:rPr>
        <w:t>一、区本级财政预算执行审计情况</w:t>
      </w:r>
    </w:p>
    <w:p w14:paraId="65887BF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snapToGrid w:val="0"/>
          <w:color w:val="000000"/>
          <w:kern w:val="0"/>
          <w:sz w:val="32"/>
          <w:szCs w:val="32"/>
          <w:highlight w:val="none"/>
          <w:shd w:val="clear" w:color="auto" w:fill="auto"/>
        </w:rPr>
      </w:pPr>
      <w:r>
        <w:rPr>
          <w:rFonts w:hint="default" w:ascii="Times New Roman" w:hAnsi="Times New Roman" w:eastAsia="仿宋_GB2312" w:cs="Times New Roman"/>
          <w:snapToGrid w:val="0"/>
          <w:color w:val="000000"/>
          <w:kern w:val="0"/>
          <w:sz w:val="32"/>
          <w:szCs w:val="32"/>
          <w:highlight w:val="none"/>
          <w:shd w:val="clear" w:color="auto" w:fill="auto"/>
        </w:rPr>
        <w:t>从审计情况看，我区财政预算执行和决算（草案）编制基本符合预算法及相关规定。审计发现</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的主要问题有：</w:t>
      </w:r>
    </w:p>
    <w:p w14:paraId="6E62DA0A">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480" w:firstLineChars="150"/>
        <w:textAlignment w:val="auto"/>
        <w:rPr>
          <w:rFonts w:hint="default" w:ascii="Times New Roman" w:hAnsi="Times New Roman" w:eastAsia="楷体_GB2312" w:cs="Times New Roman"/>
          <w:color w:val="000000"/>
          <w:sz w:val="32"/>
          <w:szCs w:val="32"/>
          <w:highlight w:val="none"/>
          <w:shd w:val="clear" w:color="auto" w:fill="auto"/>
        </w:rPr>
      </w:pPr>
      <w:r>
        <w:rPr>
          <w:rFonts w:hint="default" w:ascii="Times New Roman" w:hAnsi="Times New Roman" w:eastAsia="楷体" w:cs="Times New Roman"/>
          <w:color w:val="000000"/>
          <w:sz w:val="32"/>
          <w:szCs w:val="32"/>
          <w:highlight w:val="none"/>
          <w:shd w:val="clear" w:color="auto" w:fill="auto"/>
        </w:rPr>
        <w:t>（</w:t>
      </w:r>
      <w:r>
        <w:rPr>
          <w:rFonts w:hint="default" w:ascii="Times New Roman" w:hAnsi="Times New Roman" w:eastAsia="楷体" w:cs="Times New Roman"/>
          <w:color w:val="000000"/>
          <w:sz w:val="32"/>
          <w:szCs w:val="32"/>
          <w:highlight w:val="none"/>
          <w:shd w:val="clear" w:color="auto" w:fill="auto"/>
          <w:lang w:eastAsia="zh-CN"/>
        </w:rPr>
        <w:t>一</w:t>
      </w:r>
      <w:r>
        <w:rPr>
          <w:rFonts w:hint="default" w:ascii="Times New Roman" w:hAnsi="Times New Roman" w:eastAsia="楷体" w:cs="Times New Roman"/>
          <w:color w:val="000000"/>
          <w:sz w:val="32"/>
          <w:szCs w:val="32"/>
          <w:highlight w:val="none"/>
          <w:shd w:val="clear" w:color="auto" w:fill="auto"/>
        </w:rPr>
        <w:t>）</w:t>
      </w:r>
      <w:r>
        <w:rPr>
          <w:rFonts w:hint="default" w:ascii="Times New Roman" w:hAnsi="Times New Roman" w:eastAsia="楷体_GB2312" w:cs="Times New Roman"/>
          <w:color w:val="000000"/>
          <w:sz w:val="32"/>
          <w:szCs w:val="32"/>
          <w:highlight w:val="none"/>
          <w:shd w:val="clear" w:color="auto" w:fill="auto"/>
        </w:rPr>
        <w:t>预算执行</w:t>
      </w:r>
      <w:r>
        <w:rPr>
          <w:rFonts w:hint="default" w:ascii="Times New Roman" w:hAnsi="Times New Roman" w:eastAsia="楷体_GB2312" w:cs="Times New Roman"/>
          <w:color w:val="000000"/>
          <w:sz w:val="32"/>
          <w:szCs w:val="32"/>
          <w:highlight w:val="none"/>
          <w:shd w:val="clear" w:color="auto" w:fill="auto"/>
          <w:lang w:val="en-US" w:eastAsia="zh-CN"/>
        </w:rPr>
        <w:t>还不够规范，部分资金支付不及时，部分项目执行率低，核算管理存在偏差。</w:t>
      </w:r>
    </w:p>
    <w:p w14:paraId="05DC2F30">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rPr>
        <w:t>一是</w:t>
      </w:r>
      <w:r>
        <w:rPr>
          <w:rFonts w:hint="default" w:ascii="Times New Roman" w:hAnsi="Times New Roman" w:eastAsia="仿宋_GB2312" w:cs="Times New Roman"/>
          <w:color w:val="000000"/>
          <w:kern w:val="0"/>
          <w:sz w:val="32"/>
          <w:szCs w:val="32"/>
          <w:highlight w:val="none"/>
          <w:u w:val="none"/>
          <w:shd w:val="clear" w:color="auto" w:fill="auto"/>
          <w:lang w:val="en-US" w:eastAsia="zh-CN"/>
        </w:rPr>
        <w:t>未下达</w:t>
      </w:r>
      <w:r>
        <w:rPr>
          <w:rFonts w:hint="eastAsia" w:ascii="Times New Roman" w:hAnsi="Times New Roman" w:eastAsia="仿宋_GB2312" w:cs="Times New Roman"/>
          <w:color w:val="000000"/>
          <w:kern w:val="0"/>
          <w:sz w:val="32"/>
          <w:szCs w:val="32"/>
          <w:highlight w:val="none"/>
          <w:u w:val="none"/>
          <w:shd w:val="clear" w:color="auto" w:fill="auto"/>
          <w:lang w:val="en-US" w:eastAsia="zh-CN"/>
        </w:rPr>
        <w:t>部分</w:t>
      </w:r>
      <w:r>
        <w:rPr>
          <w:rFonts w:hint="default" w:ascii="Times New Roman" w:hAnsi="Times New Roman" w:eastAsia="仿宋_GB2312" w:cs="Times New Roman"/>
          <w:color w:val="000000"/>
          <w:kern w:val="0"/>
          <w:sz w:val="32"/>
          <w:szCs w:val="32"/>
          <w:highlight w:val="none"/>
          <w:u w:val="none"/>
          <w:shd w:val="clear" w:color="auto" w:fill="auto"/>
          <w:lang w:val="en-US" w:eastAsia="zh-CN"/>
        </w:rPr>
        <w:t>上级转移支付指标。截至2023年末，区财政局未下达上级转移支付指标97项共计4854.64万元至相关预算单位。</w:t>
      </w:r>
    </w:p>
    <w:p w14:paraId="42FF35FE">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kern w:val="2"/>
          <w:sz w:val="32"/>
          <w:szCs w:val="32"/>
          <w:highlight w:val="none"/>
          <w:shd w:val="clear" w:color="auto" w:fill="auto"/>
          <w:lang w:val="en-US" w:eastAsia="zh-CN" w:bidi="ar-SA"/>
        </w:rPr>
      </w:pPr>
      <w:r>
        <w:rPr>
          <w:rFonts w:hint="default" w:ascii="Times New Roman" w:hAnsi="Times New Roman" w:eastAsia="仿宋_GB2312" w:cs="Times New Roman"/>
          <w:color w:val="000000"/>
          <w:kern w:val="0"/>
          <w:sz w:val="32"/>
          <w:szCs w:val="32"/>
          <w:highlight w:val="none"/>
          <w:u w:val="none"/>
          <w:shd w:val="clear" w:color="auto" w:fill="auto"/>
          <w:lang w:val="en-US" w:eastAsia="zh-CN"/>
        </w:rPr>
        <w:t>二是未在规定时限内下达</w:t>
      </w:r>
      <w:r>
        <w:rPr>
          <w:rFonts w:hint="eastAsia" w:ascii="Times New Roman" w:hAnsi="Times New Roman" w:eastAsia="仿宋_GB2312" w:cs="Times New Roman"/>
          <w:color w:val="000000"/>
          <w:kern w:val="0"/>
          <w:sz w:val="32"/>
          <w:szCs w:val="32"/>
          <w:highlight w:val="none"/>
          <w:u w:val="none"/>
          <w:shd w:val="clear" w:color="auto" w:fill="auto"/>
          <w:lang w:val="en-US" w:eastAsia="zh-CN"/>
        </w:rPr>
        <w:t>部分</w:t>
      </w:r>
      <w:r>
        <w:rPr>
          <w:rFonts w:hint="default" w:ascii="Times New Roman" w:hAnsi="Times New Roman" w:eastAsia="仿宋_GB2312" w:cs="Times New Roman"/>
          <w:color w:val="000000"/>
          <w:kern w:val="0"/>
          <w:sz w:val="32"/>
          <w:szCs w:val="32"/>
          <w:highlight w:val="none"/>
          <w:u w:val="none"/>
          <w:shd w:val="clear" w:color="auto" w:fill="auto"/>
          <w:lang w:val="en-US" w:eastAsia="zh-CN"/>
        </w:rPr>
        <w:t>上级转移支付指标。截至2023年末，区财政局收到2023年及以前年度上级转移支付指标133项共计5,827.01万元，未在规定时限30日内下达至相关预算单位。</w:t>
      </w:r>
    </w:p>
    <w:p w14:paraId="4BB55031">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kern w:val="2"/>
          <w:sz w:val="32"/>
          <w:szCs w:val="32"/>
          <w:highlight w:val="none"/>
          <w:shd w:val="clear" w:color="auto" w:fill="auto"/>
          <w:lang w:val="en-US" w:eastAsia="zh-CN" w:bidi="ar-SA"/>
        </w:rPr>
      </w:pPr>
      <w:r>
        <w:rPr>
          <w:rFonts w:hint="default" w:ascii="Times New Roman" w:hAnsi="Times New Roman" w:eastAsia="仿宋_GB2312" w:cs="Times New Roman"/>
          <w:color w:val="000000"/>
          <w:kern w:val="2"/>
          <w:sz w:val="32"/>
          <w:szCs w:val="32"/>
          <w:highlight w:val="none"/>
          <w:shd w:val="clear" w:color="auto" w:fill="auto"/>
          <w:lang w:val="en-US" w:eastAsia="zh-CN" w:bidi="ar-SA"/>
        </w:rPr>
        <w:t>三是未收回</w:t>
      </w:r>
      <w:r>
        <w:rPr>
          <w:rFonts w:hint="eastAsia" w:ascii="Times New Roman" w:hAnsi="Times New Roman" w:eastAsia="仿宋_GB2312" w:cs="Times New Roman"/>
          <w:color w:val="000000"/>
          <w:kern w:val="2"/>
          <w:sz w:val="32"/>
          <w:szCs w:val="32"/>
          <w:highlight w:val="none"/>
          <w:shd w:val="clear" w:color="auto" w:fill="auto"/>
          <w:lang w:val="en-US" w:eastAsia="zh-CN" w:bidi="ar-SA"/>
        </w:rPr>
        <w:t>部分</w:t>
      </w:r>
      <w:r>
        <w:rPr>
          <w:rFonts w:hint="default" w:ascii="Times New Roman" w:hAnsi="Times New Roman" w:eastAsia="仿宋_GB2312" w:cs="Times New Roman"/>
          <w:color w:val="000000"/>
          <w:kern w:val="2"/>
          <w:sz w:val="32"/>
          <w:szCs w:val="32"/>
          <w:highlight w:val="none"/>
          <w:shd w:val="clear" w:color="auto" w:fill="auto"/>
          <w:lang w:val="en-US" w:eastAsia="zh-CN" w:bidi="ar-SA"/>
        </w:rPr>
        <w:t>两年以上转移支付结转结余资金。2023年末，区财政局未收回相关预算单位2019年、2020年下达的上级转移支付指标共计886.62万元。</w:t>
      </w:r>
    </w:p>
    <w:p w14:paraId="01A44166">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79" w:lineRule="exact"/>
        <w:ind w:right="0" w:rightChars="0" w:firstLine="640" w:firstLineChars="200"/>
        <w:textAlignment w:val="auto"/>
        <w:rPr>
          <w:rFonts w:hint="default" w:ascii="Times New Roman" w:hAnsi="Times New Roman" w:eastAsia="仿宋_GB2312" w:cs="Times New Roman"/>
          <w:color w:val="000000"/>
          <w:kern w:val="0"/>
          <w:sz w:val="32"/>
          <w:szCs w:val="32"/>
          <w:highlight w:val="none"/>
          <w:shd w:val="clear" w:color="auto" w:fill="auto"/>
          <w:lang w:val="en-US" w:eastAsia="zh-CN"/>
        </w:rPr>
      </w:pPr>
      <w:r>
        <w:rPr>
          <w:rFonts w:hint="default" w:ascii="Times New Roman" w:hAnsi="Times New Roman" w:eastAsia="仿宋_GB2312" w:cs="Times New Roman"/>
          <w:color w:val="000000"/>
          <w:kern w:val="2"/>
          <w:sz w:val="32"/>
          <w:szCs w:val="32"/>
          <w:highlight w:val="none"/>
          <w:shd w:val="clear" w:color="auto" w:fill="auto"/>
          <w:lang w:val="en-US" w:eastAsia="zh-CN" w:bidi="ar-SA"/>
        </w:rPr>
        <w:t>四是项目预算执行率低。</w:t>
      </w:r>
      <w:r>
        <w:rPr>
          <w:rFonts w:hint="default" w:ascii="Times New Roman" w:hAnsi="Times New Roman" w:eastAsia="仿宋_GB2312" w:cs="Times New Roman"/>
          <w:color w:val="000000"/>
          <w:kern w:val="0"/>
          <w:sz w:val="32"/>
          <w:szCs w:val="32"/>
          <w:highlight w:val="none"/>
          <w:u w:val="none"/>
          <w:shd w:val="clear" w:color="auto" w:fill="auto"/>
          <w:lang w:val="en-US" w:eastAsia="zh-CN"/>
        </w:rPr>
        <w:t>截至2023年末，区财政局下达预算单位项目支出指标实际支付率小于50%有1191项，可用预算指标共计3.78亿元，实际支付0.50亿元，结余指标3.28亿元（含冻结指标123.76万元）。</w:t>
      </w:r>
    </w:p>
    <w:p w14:paraId="484DD4CD">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after="0" w:line="579" w:lineRule="exact"/>
        <w:ind w:right="0" w:rightChars="0" w:firstLine="640" w:firstLineChars="200"/>
        <w:textAlignment w:val="auto"/>
        <w:rPr>
          <w:rFonts w:hint="default" w:ascii="Times New Roman" w:hAnsi="Times New Roman" w:eastAsia="仿宋_GB2312" w:cs="Times New Roman"/>
          <w:color w:val="000000"/>
          <w:kern w:val="0"/>
          <w:sz w:val="32"/>
          <w:szCs w:val="32"/>
          <w:highlight w:val="none"/>
          <w:shd w:val="clear" w:color="auto" w:fill="auto"/>
          <w:lang w:val="en-US" w:eastAsia="zh-CN"/>
        </w:rPr>
      </w:pPr>
      <w:r>
        <w:rPr>
          <w:rFonts w:hint="default" w:ascii="Times New Roman" w:hAnsi="Times New Roman" w:eastAsia="仿宋_GB2312" w:cs="Times New Roman"/>
          <w:color w:val="000000"/>
          <w:kern w:val="0"/>
          <w:sz w:val="32"/>
          <w:szCs w:val="32"/>
          <w:highlight w:val="none"/>
          <w:shd w:val="clear" w:color="auto" w:fill="auto"/>
          <w:lang w:val="en-US" w:eastAsia="zh-CN"/>
        </w:rPr>
        <w:t>五是</w:t>
      </w:r>
      <w:r>
        <w:rPr>
          <w:rFonts w:hint="default" w:ascii="Times New Roman" w:hAnsi="Times New Roman" w:eastAsia="仿宋_GB2312" w:cs="Times New Roman"/>
          <w:color w:val="000000"/>
          <w:kern w:val="2"/>
          <w:sz w:val="32"/>
          <w:szCs w:val="32"/>
          <w:highlight w:val="none"/>
          <w:shd w:val="clear" w:color="auto" w:fill="auto"/>
          <w:lang w:val="en-US" w:eastAsia="zh-CN" w:bidi="ar-SA"/>
        </w:rPr>
        <w:t>未在规定时间上缴</w:t>
      </w:r>
      <w:r>
        <w:rPr>
          <w:rFonts w:hint="eastAsia" w:ascii="Times New Roman" w:hAnsi="Times New Roman" w:eastAsia="仿宋_GB2312" w:cs="Times New Roman"/>
          <w:color w:val="000000"/>
          <w:kern w:val="2"/>
          <w:sz w:val="32"/>
          <w:szCs w:val="32"/>
          <w:highlight w:val="none"/>
          <w:shd w:val="clear" w:color="auto" w:fill="auto"/>
          <w:lang w:val="en-US" w:eastAsia="zh-CN" w:bidi="ar-SA"/>
        </w:rPr>
        <w:t>部分</w:t>
      </w:r>
      <w:r>
        <w:rPr>
          <w:rFonts w:hint="default" w:ascii="Times New Roman" w:hAnsi="Times New Roman" w:eastAsia="仿宋_GB2312" w:cs="Times New Roman"/>
          <w:color w:val="000000"/>
          <w:kern w:val="2"/>
          <w:sz w:val="32"/>
          <w:szCs w:val="32"/>
          <w:highlight w:val="none"/>
          <w:shd w:val="clear" w:color="auto" w:fill="auto"/>
          <w:lang w:val="en-US" w:eastAsia="zh-CN" w:bidi="ar-SA"/>
        </w:rPr>
        <w:t>非税收入。</w:t>
      </w:r>
      <w:r>
        <w:rPr>
          <w:rFonts w:hint="default" w:ascii="Times New Roman" w:hAnsi="Times New Roman" w:eastAsia="仿宋_GB2312" w:cs="Times New Roman"/>
          <w:color w:val="000000"/>
          <w:kern w:val="0"/>
          <w:sz w:val="32"/>
          <w:szCs w:val="32"/>
          <w:highlight w:val="none"/>
          <w:shd w:val="clear" w:color="auto" w:fill="auto"/>
          <w:lang w:val="en-US" w:eastAsia="zh-CN"/>
        </w:rPr>
        <w:t>2023年末，区财政事务中心非税收入168.16万元未在规定时间上缴国库，其中：待查收入107.62万元。</w:t>
      </w:r>
    </w:p>
    <w:p w14:paraId="09E8542E">
      <w:pPr>
        <w:pStyle w:val="4"/>
        <w:keepNext w:val="0"/>
        <w:keepLines w:val="0"/>
        <w:pageBreakBefore w:val="0"/>
        <w:widowControl w:val="0"/>
        <w:kinsoku/>
        <w:wordWrap/>
        <w:overflowPunct w:val="0"/>
        <w:topLinePunct w:val="0"/>
        <w:autoSpaceDE w:val="0"/>
        <w:autoSpaceDN w:val="0"/>
        <w:bidi w:val="0"/>
        <w:adjustRightInd w:val="0"/>
        <w:snapToGrid w:val="0"/>
        <w:spacing w:after="0" w:line="579" w:lineRule="exact"/>
        <w:ind w:right="0" w:firstLine="640" w:firstLineChars="200"/>
        <w:textAlignment w:val="auto"/>
        <w:rPr>
          <w:rFonts w:hint="default" w:ascii="Times New Roman" w:hAnsi="Times New Roman" w:eastAsia="仿宋_GB2312" w:cs="Times New Roman"/>
          <w:color w:val="000000"/>
          <w:kern w:val="2"/>
          <w:sz w:val="32"/>
          <w:szCs w:val="32"/>
          <w:highlight w:val="none"/>
          <w:shd w:val="clear" w:color="auto" w:fill="auto"/>
          <w:lang w:val="en-US" w:eastAsia="zh-CN" w:bidi="ar-SA"/>
        </w:rPr>
      </w:pPr>
      <w:r>
        <w:rPr>
          <w:rFonts w:hint="default" w:ascii="Times New Roman" w:hAnsi="Times New Roman" w:eastAsia="仿宋_GB2312" w:cs="Times New Roman"/>
          <w:color w:val="000000"/>
          <w:kern w:val="2"/>
          <w:sz w:val="32"/>
          <w:szCs w:val="32"/>
          <w:highlight w:val="none"/>
          <w:shd w:val="clear" w:color="auto" w:fill="auto"/>
          <w:lang w:val="en-US" w:eastAsia="zh-CN" w:bidi="ar-SA"/>
        </w:rPr>
        <w:t>六是政府采购监管不到位，部分预算单位超预算采购。</w:t>
      </w:r>
      <w:r>
        <w:rPr>
          <w:rFonts w:hint="default" w:ascii="Times New Roman" w:hAnsi="Times New Roman" w:eastAsia="仿宋_GB2312" w:cs="Times New Roman"/>
          <w:color w:val="000000"/>
          <w:kern w:val="0"/>
          <w:sz w:val="32"/>
          <w:szCs w:val="32"/>
          <w:highlight w:val="none"/>
          <w:shd w:val="clear" w:color="auto" w:fill="auto"/>
          <w:lang w:val="en-US" w:eastAsia="zh-CN"/>
        </w:rPr>
        <w:t>2023年，货物类、服务类分别超预算采购130.88万元、334.19万元。</w:t>
      </w:r>
    </w:p>
    <w:p w14:paraId="1EB0A010">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9" w:lineRule="exact"/>
        <w:ind w:right="0" w:rightChars="0" w:firstLine="640" w:firstLineChars="200"/>
        <w:textAlignment w:val="auto"/>
        <w:rPr>
          <w:rFonts w:hint="default" w:ascii="Times New Roman" w:hAnsi="Times New Roman" w:eastAsia="仿宋_GB2312" w:cs="Times New Roman"/>
          <w:color w:val="000000"/>
          <w:kern w:val="2"/>
          <w:sz w:val="32"/>
          <w:szCs w:val="32"/>
          <w:highlight w:val="none"/>
          <w:shd w:val="clear" w:color="auto" w:fill="auto"/>
          <w:lang w:val="en-US" w:eastAsia="zh-CN" w:bidi="ar-SA"/>
        </w:rPr>
      </w:pPr>
      <w:r>
        <w:rPr>
          <w:rFonts w:hint="default" w:ascii="Times New Roman" w:hAnsi="Times New Roman" w:eastAsia="仿宋_GB2312" w:cs="Times New Roman"/>
          <w:color w:val="000000"/>
          <w:sz w:val="32"/>
          <w:szCs w:val="32"/>
          <w:highlight w:val="none"/>
          <w:shd w:val="clear" w:color="auto" w:fill="auto"/>
          <w:lang w:val="en-US" w:eastAsia="zh-CN"/>
        </w:rPr>
        <w:t>七是未按规定支出功能科目列支预算支出</w:t>
      </w:r>
      <w:r>
        <w:rPr>
          <w:rFonts w:hint="default" w:ascii="Times New Roman" w:hAnsi="Times New Roman" w:eastAsia="仿宋_GB2312" w:cs="Times New Roman"/>
          <w:color w:val="000000"/>
          <w:kern w:val="2"/>
          <w:sz w:val="32"/>
          <w:szCs w:val="32"/>
          <w:highlight w:val="none"/>
          <w:shd w:val="clear" w:color="auto" w:fill="auto"/>
          <w:lang w:val="en-US" w:eastAsia="zh-CN" w:bidi="ar-SA"/>
        </w:rPr>
        <w:t>558.58万元。</w:t>
      </w:r>
    </w:p>
    <w:p w14:paraId="36B1839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楷体_GB2312" w:cs="Times New Roman"/>
          <w:color w:val="000000"/>
          <w:sz w:val="32"/>
          <w:szCs w:val="32"/>
          <w:highlight w:val="none"/>
          <w:shd w:val="clear" w:color="auto" w:fill="auto"/>
          <w:lang w:val="en-US" w:eastAsia="zh-CN"/>
        </w:rPr>
      </w:pPr>
      <w:r>
        <w:rPr>
          <w:rFonts w:hint="default" w:ascii="Times New Roman" w:hAnsi="Times New Roman" w:eastAsia="楷体_GB2312" w:cs="Times New Roman"/>
          <w:color w:val="000000"/>
          <w:sz w:val="32"/>
          <w:szCs w:val="32"/>
          <w:highlight w:val="none"/>
          <w:shd w:val="clear" w:color="auto" w:fill="auto"/>
          <w:lang w:val="en-US" w:eastAsia="zh-CN"/>
        </w:rPr>
        <w:t>（二）预算支出绩效管理有待进一步完善。</w:t>
      </w:r>
    </w:p>
    <w:p w14:paraId="2DE68A2E">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auto"/>
          <w:lang w:val="en-US" w:eastAsia="zh-CN" w:bidi="ar-SA"/>
        </w:rPr>
      </w:pPr>
      <w:r>
        <w:rPr>
          <w:rFonts w:hint="default" w:ascii="Times New Roman" w:hAnsi="Times New Roman" w:eastAsia="仿宋_GB2312" w:cs="Times New Roman"/>
          <w:color w:val="000000"/>
          <w:kern w:val="0"/>
          <w:sz w:val="32"/>
          <w:szCs w:val="32"/>
          <w:highlight w:val="none"/>
          <w:shd w:val="clear" w:color="auto" w:fill="auto"/>
          <w:lang w:val="en-US" w:eastAsia="zh-CN" w:bidi="ar-SA"/>
        </w:rPr>
        <w:t>未按规定对部分绩效评价等级不佳的项目核减预算。经抽查，2022年区财政局安排区交通局“客运一体化营运补贴”项目预算支出468万元，同年末区财政局进行预算绩效评价，评定分值为75分，评价等级为较差。2023年区财政局未根据2022年绩效评价结果核减当年项目预算。</w:t>
      </w:r>
    </w:p>
    <w:p w14:paraId="18954ADA">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楷体_GB2312" w:cs="Times New Roman"/>
          <w:color w:val="000000"/>
          <w:sz w:val="32"/>
          <w:szCs w:val="32"/>
          <w:highlight w:val="none"/>
          <w:shd w:val="clear" w:color="auto" w:fill="auto"/>
          <w:lang w:val="en-US" w:eastAsia="zh-CN"/>
        </w:rPr>
      </w:pPr>
      <w:r>
        <w:rPr>
          <w:rFonts w:hint="default" w:ascii="Times New Roman" w:hAnsi="Times New Roman" w:eastAsia="楷体_GB2312" w:cs="Times New Roman"/>
          <w:color w:val="000000"/>
          <w:sz w:val="32"/>
          <w:szCs w:val="32"/>
          <w:highlight w:val="none"/>
          <w:shd w:val="clear" w:color="auto" w:fill="auto"/>
          <w:lang w:val="en-US" w:eastAsia="zh-CN"/>
        </w:rPr>
        <w:t>（三）</w:t>
      </w:r>
      <w:r>
        <w:rPr>
          <w:rFonts w:hint="default" w:ascii="Times New Roman" w:hAnsi="Times New Roman" w:eastAsia="楷体_GB2312" w:cs="Times New Roman"/>
          <w:color w:val="000000"/>
          <w:sz w:val="32"/>
          <w:szCs w:val="32"/>
          <w:highlight w:val="none"/>
          <w:shd w:val="clear" w:color="auto" w:fill="auto"/>
          <w:lang w:eastAsia="zh-CN"/>
        </w:rPr>
        <w:t>财政专户资金管理</w:t>
      </w:r>
      <w:r>
        <w:rPr>
          <w:rFonts w:hint="default" w:ascii="Times New Roman" w:hAnsi="Times New Roman" w:eastAsia="楷体_GB2312" w:cs="Times New Roman"/>
          <w:color w:val="000000"/>
          <w:sz w:val="32"/>
          <w:szCs w:val="32"/>
          <w:highlight w:val="none"/>
          <w:shd w:val="clear" w:color="auto" w:fill="auto"/>
          <w:lang w:val="en-US" w:eastAsia="zh-CN"/>
        </w:rPr>
        <w:t>有待进一步加强。</w:t>
      </w:r>
    </w:p>
    <w:p w14:paraId="0DB936E9">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auto"/>
          <w:lang w:val="en-US" w:eastAsia="zh-CN"/>
        </w:rPr>
      </w:pPr>
      <w:r>
        <w:rPr>
          <w:rFonts w:hint="default" w:ascii="Times New Roman" w:hAnsi="Times New Roman" w:eastAsia="仿宋_GB2312" w:cs="Times New Roman"/>
          <w:color w:val="000000"/>
          <w:kern w:val="0"/>
          <w:sz w:val="32"/>
          <w:szCs w:val="32"/>
          <w:highlight w:val="none"/>
          <w:shd w:val="clear" w:color="auto" w:fill="auto"/>
          <w:lang w:val="en-US" w:eastAsia="zh-CN"/>
        </w:rPr>
        <w:t>未及时清理特设专户资金上缴国库。2023年，栗办、嵩办特设专户收到社区居民退回惠民资金16.19万元。直至2024年6月14日，才全部退回国库。</w:t>
      </w:r>
    </w:p>
    <w:p w14:paraId="08A027DC">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楷体_GB2312" w:cs="Times New Roman"/>
          <w:color w:val="000000"/>
          <w:sz w:val="32"/>
          <w:szCs w:val="32"/>
          <w:highlight w:val="none"/>
          <w:shd w:val="clear" w:color="auto" w:fill="auto"/>
          <w:lang w:val="en-US" w:eastAsia="zh-CN"/>
        </w:rPr>
      </w:pPr>
      <w:r>
        <w:rPr>
          <w:rFonts w:hint="default" w:ascii="Times New Roman" w:hAnsi="Times New Roman" w:eastAsia="楷体_GB2312" w:cs="Times New Roman"/>
          <w:color w:val="000000"/>
          <w:sz w:val="32"/>
          <w:szCs w:val="32"/>
          <w:highlight w:val="none"/>
          <w:shd w:val="clear" w:color="auto" w:fill="auto"/>
          <w:lang w:eastAsia="zh-CN"/>
        </w:rPr>
        <w:t>（四）</w:t>
      </w:r>
      <w:r>
        <w:rPr>
          <w:rFonts w:hint="default" w:ascii="Times New Roman" w:hAnsi="Times New Roman" w:eastAsia="楷体_GB2312" w:cs="Times New Roman"/>
          <w:color w:val="000000"/>
          <w:sz w:val="32"/>
          <w:szCs w:val="32"/>
          <w:highlight w:val="none"/>
          <w:shd w:val="clear" w:color="auto" w:fill="auto"/>
        </w:rPr>
        <w:t>财政管理与改革</w:t>
      </w:r>
      <w:r>
        <w:rPr>
          <w:rFonts w:hint="default" w:ascii="Times New Roman" w:hAnsi="Times New Roman" w:eastAsia="楷体_GB2312" w:cs="Times New Roman"/>
          <w:color w:val="000000"/>
          <w:sz w:val="32"/>
          <w:szCs w:val="32"/>
          <w:highlight w:val="none"/>
          <w:shd w:val="clear" w:color="auto" w:fill="auto"/>
          <w:lang w:val="en-US" w:eastAsia="zh-CN"/>
        </w:rPr>
        <w:t>有待进一步细化。</w:t>
      </w:r>
    </w:p>
    <w:p w14:paraId="2E105B59">
      <w:pPr>
        <w:keepNext w:val="0"/>
        <w:keepLines w:val="0"/>
        <w:pageBreakBefore w:val="0"/>
        <w:widowControl w:val="0"/>
        <w:kinsoku/>
        <w:wordWrap/>
        <w:overflowPunct w:val="0"/>
        <w:topLinePunct w:val="0"/>
        <w:autoSpaceDE w:val="0"/>
        <w:autoSpaceDN w:val="0"/>
        <w:bidi w:val="0"/>
        <w:adjustRightInd w:val="0"/>
        <w:snapToGrid w:val="0"/>
        <w:spacing w:after="0" w:line="579"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auto"/>
          <w:lang w:val="en-US" w:eastAsia="zh-CN" w:bidi="ar-SA"/>
        </w:rPr>
      </w:pPr>
      <w:r>
        <w:rPr>
          <w:rFonts w:hint="default" w:ascii="Times New Roman" w:hAnsi="Times New Roman" w:eastAsia="仿宋_GB2312" w:cs="Times New Roman"/>
          <w:color w:val="000000"/>
          <w:kern w:val="0"/>
          <w:sz w:val="32"/>
          <w:szCs w:val="32"/>
          <w:highlight w:val="none"/>
          <w:shd w:val="clear" w:color="auto" w:fill="auto"/>
          <w:lang w:val="en-US" w:eastAsia="zh-CN"/>
        </w:rPr>
        <w:t>专项转移支付资金收回或用途调整未报上级财政部门和业务主管部门备案。</w:t>
      </w:r>
    </w:p>
    <w:p w14:paraId="597FB692">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黑体" w:cs="Times New Roman"/>
          <w:bCs/>
          <w:color w:val="000000"/>
          <w:kern w:val="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rPr>
        <w:t>二、</w:t>
      </w:r>
      <w:r>
        <w:rPr>
          <w:rFonts w:hint="default" w:ascii="Times New Roman" w:hAnsi="Times New Roman" w:eastAsia="黑体" w:cs="Times New Roman"/>
          <w:color w:val="000000"/>
          <w:sz w:val="32"/>
          <w:szCs w:val="32"/>
          <w:highlight w:val="none"/>
          <w:shd w:val="clear" w:color="auto" w:fill="auto"/>
        </w:rPr>
        <w:t>2023年部门预算执行情况大数据审计</w:t>
      </w:r>
    </w:p>
    <w:p w14:paraId="1AB9BB2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bCs/>
          <w:color w:val="000000"/>
          <w:kern w:val="0"/>
          <w:sz w:val="32"/>
          <w:szCs w:val="32"/>
          <w:highlight w:val="none"/>
          <w:shd w:val="clear" w:color="auto" w:fill="auto"/>
        </w:rPr>
      </w:pPr>
      <w:r>
        <w:rPr>
          <w:rFonts w:hint="default" w:ascii="Times New Roman" w:hAnsi="Times New Roman" w:eastAsia="仿宋_GB2312" w:cs="Times New Roman"/>
          <w:bCs/>
          <w:color w:val="000000"/>
          <w:kern w:val="0"/>
          <w:sz w:val="32"/>
          <w:szCs w:val="32"/>
          <w:highlight w:val="none"/>
          <w:shd w:val="clear" w:color="auto" w:fill="auto"/>
        </w:rPr>
        <w:t>本次</w:t>
      </w:r>
      <w:r>
        <w:rPr>
          <w:rFonts w:hint="default" w:ascii="Times New Roman" w:hAnsi="Times New Roman" w:eastAsia="仿宋_GB2312" w:cs="Times New Roman"/>
          <w:color w:val="000000"/>
          <w:sz w:val="32"/>
          <w:szCs w:val="32"/>
          <w:highlight w:val="none"/>
          <w:shd w:val="clear" w:color="auto" w:fill="auto"/>
          <w:lang w:eastAsia="zh-CN"/>
        </w:rPr>
        <w:t>采用大数据筛查</w:t>
      </w:r>
      <w:r>
        <w:rPr>
          <w:rFonts w:hint="default" w:ascii="Times New Roman" w:hAnsi="Times New Roman" w:eastAsia="仿宋_GB2312" w:cs="Times New Roman"/>
          <w:color w:val="000000"/>
          <w:sz w:val="32"/>
          <w:szCs w:val="32"/>
          <w:highlight w:val="none"/>
          <w:shd w:val="clear" w:color="auto" w:fill="auto"/>
          <w:lang w:val="en-US" w:eastAsia="zh-CN"/>
        </w:rPr>
        <w:t>线索和现场核实问题的方式开展审计，</w:t>
      </w:r>
      <w:r>
        <w:rPr>
          <w:rFonts w:hint="default" w:ascii="Times New Roman" w:hAnsi="Times New Roman" w:eastAsia="仿宋_GB2312" w:cs="Times New Roman"/>
          <w:bCs/>
          <w:color w:val="000000"/>
          <w:kern w:val="0"/>
          <w:sz w:val="32"/>
          <w:szCs w:val="32"/>
          <w:highlight w:val="none"/>
          <w:shd w:val="clear" w:color="auto" w:fill="auto"/>
        </w:rPr>
        <w:t>审计发现的主要问题有：</w:t>
      </w:r>
    </w:p>
    <w:p w14:paraId="66FE43FE">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楷体" w:cs="Times New Roman"/>
          <w:color w:val="000000"/>
          <w:sz w:val="32"/>
          <w:szCs w:val="32"/>
          <w:highlight w:val="none"/>
          <w:shd w:val="clear" w:color="auto" w:fill="auto"/>
          <w:lang w:val="en-US" w:eastAsia="zh-CN"/>
        </w:rPr>
      </w:pPr>
      <w:r>
        <w:rPr>
          <w:rFonts w:hint="default" w:ascii="Times New Roman" w:hAnsi="Times New Roman" w:eastAsia="楷体" w:cs="Times New Roman"/>
          <w:color w:val="000000"/>
          <w:sz w:val="32"/>
          <w:szCs w:val="32"/>
          <w:highlight w:val="none"/>
          <w:shd w:val="clear" w:color="auto" w:fill="auto"/>
        </w:rPr>
        <w:t>（一）预算</w:t>
      </w:r>
      <w:r>
        <w:rPr>
          <w:rFonts w:hint="default" w:ascii="Times New Roman" w:hAnsi="Times New Roman" w:eastAsia="楷体" w:cs="Times New Roman"/>
          <w:color w:val="000000"/>
          <w:sz w:val="32"/>
          <w:szCs w:val="32"/>
          <w:highlight w:val="none"/>
          <w:shd w:val="clear" w:color="auto" w:fill="auto"/>
          <w:lang w:val="en-US" w:eastAsia="zh-CN"/>
        </w:rPr>
        <w:t>收支管理不规范。</w:t>
      </w:r>
    </w:p>
    <w:p w14:paraId="4A2FF52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rPr>
        <w:t>未按规定使用专项资金。区教育局未规范长沙市一中株洲实验学校等30所学校的财务管理工作，30所学校使用义务教育保障机制专项经费指标支付临时聘用人员工资等人员经费351.44万元。</w:t>
      </w:r>
    </w:p>
    <w:p w14:paraId="051B98CB">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楷体" w:cs="Times New Roman"/>
          <w:color w:val="000000"/>
          <w:sz w:val="32"/>
          <w:szCs w:val="32"/>
          <w:highlight w:val="none"/>
          <w:shd w:val="clear" w:color="auto" w:fill="auto"/>
        </w:rPr>
      </w:pPr>
      <w:r>
        <w:rPr>
          <w:rFonts w:hint="default" w:ascii="Times New Roman" w:hAnsi="Times New Roman" w:eastAsia="楷体" w:cs="Times New Roman"/>
          <w:color w:val="000000"/>
          <w:sz w:val="32"/>
          <w:szCs w:val="32"/>
          <w:highlight w:val="none"/>
          <w:shd w:val="clear" w:color="auto" w:fill="auto"/>
        </w:rPr>
        <w:t>（</w:t>
      </w:r>
      <w:r>
        <w:rPr>
          <w:rFonts w:hint="default" w:ascii="Times New Roman" w:hAnsi="Times New Roman" w:eastAsia="楷体" w:cs="Times New Roman"/>
          <w:color w:val="000000"/>
          <w:sz w:val="32"/>
          <w:szCs w:val="32"/>
          <w:highlight w:val="none"/>
          <w:shd w:val="clear" w:color="auto" w:fill="auto"/>
          <w:lang w:val="en-US" w:eastAsia="zh-CN"/>
        </w:rPr>
        <w:t>二</w:t>
      </w:r>
      <w:r>
        <w:rPr>
          <w:rFonts w:hint="default" w:ascii="Times New Roman" w:hAnsi="Times New Roman" w:eastAsia="楷体" w:cs="Times New Roman"/>
          <w:color w:val="000000"/>
          <w:sz w:val="32"/>
          <w:szCs w:val="32"/>
          <w:highlight w:val="none"/>
          <w:shd w:val="clear" w:color="auto" w:fill="auto"/>
        </w:rPr>
        <w:t>）落实区</w:t>
      </w:r>
      <w:r>
        <w:rPr>
          <w:rFonts w:hint="default" w:ascii="Times New Roman" w:hAnsi="Times New Roman" w:eastAsia="楷体" w:cs="Times New Roman"/>
          <w:color w:val="000000"/>
          <w:sz w:val="32"/>
          <w:szCs w:val="32"/>
          <w:highlight w:val="none"/>
          <w:shd w:val="clear" w:color="auto" w:fill="auto"/>
          <w:lang w:val="en-US" w:eastAsia="zh-CN"/>
        </w:rPr>
        <w:t>重点</w:t>
      </w:r>
      <w:r>
        <w:rPr>
          <w:rFonts w:hint="default" w:ascii="Times New Roman" w:hAnsi="Times New Roman" w:eastAsia="楷体" w:cs="Times New Roman"/>
          <w:color w:val="000000"/>
          <w:sz w:val="32"/>
          <w:szCs w:val="32"/>
          <w:highlight w:val="none"/>
          <w:shd w:val="clear" w:color="auto" w:fill="auto"/>
        </w:rPr>
        <w:t>工作任务</w:t>
      </w:r>
      <w:r>
        <w:rPr>
          <w:rFonts w:hint="default" w:ascii="Times New Roman" w:hAnsi="Times New Roman" w:eastAsia="楷体" w:cs="Times New Roman"/>
          <w:color w:val="000000"/>
          <w:sz w:val="32"/>
          <w:szCs w:val="32"/>
          <w:highlight w:val="none"/>
          <w:shd w:val="clear" w:color="auto" w:fill="auto"/>
          <w:lang w:val="en-US" w:eastAsia="zh-CN"/>
        </w:rPr>
        <w:t>不到位，部分项目未按期推进。</w:t>
      </w:r>
    </w:p>
    <w:p w14:paraId="3DBFB45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rPr>
        <w:t>一是未完成部分城镇老旧小区项目改造任务。截至2024年4月，区物业服务指导中心未按方案完成2022年度区国土局宿舍项目改造任务，涉及2栋43户；2023年度城镇老旧小区改造棉纺厂宿舍项目，于2024年4月才进行政府采购程序，未开工建设，涉及23栋998户。</w:t>
      </w:r>
    </w:p>
    <w:p w14:paraId="2607ACA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rPr>
        <w:t>二是老旧小区改造项目变更未经审批。中央、市、区级补助2023年度老旧小区改造城建小区项目专项资金148.95万元，区物业服务指导中心实际使用47.2万元，剩余专项资金101.75万元全部调整至其他老旧小区改造项目，其建设内容的变更未经相关单位审核，未报区政府同意。</w:t>
      </w:r>
    </w:p>
    <w:p w14:paraId="4296D5D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rPr>
        <w:t>三是改造方案未按“一区一策”原则制定及公示。区物业服务指导中心委托社会中介公司编制长城宿舍、棉纺厂宿舍等10个老旧小区改造方案，未全部开展现状调查及问题分析，公共空间及环境设施规划设计图内容基本一致，同时未按规定在拟改造小区进行改造方案公示。</w:t>
      </w:r>
    </w:p>
    <w:p w14:paraId="08F50F1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left="0" w:leftChars="0"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rPr>
        <w:t>四是未按规定对老旧小区改造信息进行核准。区物业服务指导中心开展2023年度老旧小区改造项目时，未按规定对建成时间、小区居民改造意愿等事项进行核查。</w:t>
      </w:r>
    </w:p>
    <w:p w14:paraId="68FF177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rPr>
        <w:t>五是未按规定出台公务用车管理办法。区机关事务服务中心负责全区公务用车管理工作，截至2024年3月，未出台规范全区长期、固定租赁社会车辆的租赁程序和费用支出等公务用车管理办法。</w:t>
      </w:r>
    </w:p>
    <w:p w14:paraId="113635CC">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黑体" w:cs="Times New Roman"/>
          <w:color w:val="000000"/>
          <w:spacing w:val="-4"/>
          <w:sz w:val="32"/>
          <w:szCs w:val="32"/>
          <w:highlight w:val="none"/>
          <w:shd w:val="clear" w:color="auto" w:fill="auto"/>
          <w:lang w:bidi="ar-SA"/>
        </w:rPr>
      </w:pPr>
      <w:r>
        <w:rPr>
          <w:rFonts w:hint="default" w:ascii="Times New Roman" w:hAnsi="Times New Roman" w:eastAsia="黑体" w:cs="Times New Roman"/>
          <w:bCs/>
          <w:color w:val="000000"/>
          <w:kern w:val="0"/>
          <w:sz w:val="32"/>
          <w:szCs w:val="32"/>
          <w:highlight w:val="none"/>
          <w:shd w:val="clear" w:color="auto" w:fill="auto"/>
          <w:lang w:val="en-US" w:eastAsia="zh-CN"/>
        </w:rPr>
        <w:t>三、</w:t>
      </w:r>
      <w:r>
        <w:rPr>
          <w:rFonts w:hint="default" w:ascii="Times New Roman" w:hAnsi="Times New Roman" w:eastAsia="黑体" w:cs="Times New Roman"/>
          <w:color w:val="000000"/>
          <w:spacing w:val="-4"/>
          <w:sz w:val="32"/>
          <w:szCs w:val="32"/>
          <w:highlight w:val="none"/>
          <w:shd w:val="clear" w:color="auto" w:fill="auto"/>
          <w:lang w:bidi="ar-SA"/>
        </w:rPr>
        <w:t>区交通局2023年度财政财务收支情况审计</w:t>
      </w:r>
    </w:p>
    <w:p w14:paraId="14A79AB4">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bCs w:val="0"/>
          <w:color w:val="000000"/>
          <w:kern w:val="2"/>
          <w:sz w:val="32"/>
          <w:szCs w:val="32"/>
          <w:highlight w:val="none"/>
          <w:shd w:val="clear" w:color="auto" w:fill="auto"/>
        </w:rPr>
      </w:pPr>
      <w:r>
        <w:rPr>
          <w:rFonts w:hint="default" w:ascii="Times New Roman" w:hAnsi="Times New Roman" w:eastAsia="仿宋_GB2312" w:cs="Times New Roman"/>
          <w:bCs w:val="0"/>
          <w:color w:val="000000"/>
          <w:kern w:val="2"/>
          <w:sz w:val="32"/>
          <w:szCs w:val="32"/>
          <w:highlight w:val="none"/>
          <w:shd w:val="clear" w:color="auto" w:fill="auto"/>
        </w:rPr>
        <w:t>审计发现的主要问题有：</w:t>
      </w:r>
    </w:p>
    <w:p w14:paraId="6A041BE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rPr>
        <w:t>（一）</w:t>
      </w:r>
      <w:r>
        <w:rPr>
          <w:rFonts w:hint="default" w:ascii="Times New Roman" w:hAnsi="Times New Roman" w:eastAsia="仿宋_GB2312" w:cs="Times New Roman"/>
          <w:color w:val="000000"/>
          <w:sz w:val="32"/>
          <w:szCs w:val="32"/>
          <w:highlight w:val="none"/>
          <w:shd w:val="clear" w:color="auto" w:fill="auto"/>
          <w:lang w:val="en-US" w:eastAsia="zh-CN" w:bidi="ar-SA"/>
        </w:rPr>
        <w:t>重复支付防疫租车费用。</w:t>
      </w:r>
      <w:r>
        <w:rPr>
          <w:rFonts w:hint="default" w:ascii="Times New Roman" w:hAnsi="Times New Roman" w:eastAsia="仿宋_GB2312" w:cs="Times New Roman"/>
          <w:color w:val="000000"/>
          <w:sz w:val="32"/>
          <w:szCs w:val="32"/>
          <w:highlight w:val="none"/>
          <w:shd w:val="clear" w:color="auto" w:fill="auto"/>
          <w:lang w:val="en-US" w:eastAsia="zh-CN"/>
        </w:rPr>
        <w:t>2023年1月，</w:t>
      </w:r>
      <w:r>
        <w:rPr>
          <w:rFonts w:hint="default" w:ascii="Times New Roman" w:hAnsi="Times New Roman" w:eastAsia="仿宋_GB2312" w:cs="Times New Roman"/>
          <w:color w:val="000000"/>
          <w:sz w:val="32"/>
          <w:szCs w:val="32"/>
          <w:highlight w:val="none"/>
          <w:shd w:val="clear" w:color="auto" w:fill="auto"/>
          <w:lang w:val="en-US" w:eastAsia="zh-CN" w:bidi="ar-SA"/>
        </w:rPr>
        <w:t>区交通局</w:t>
      </w:r>
      <w:r>
        <w:rPr>
          <w:rFonts w:hint="default" w:ascii="Times New Roman" w:hAnsi="Times New Roman" w:eastAsia="仿宋_GB2312" w:cs="Times New Roman"/>
          <w:color w:val="000000"/>
          <w:sz w:val="32"/>
          <w:szCs w:val="32"/>
          <w:highlight w:val="none"/>
          <w:shd w:val="clear" w:color="auto" w:fill="auto"/>
          <w:lang w:val="en-US" w:eastAsia="zh-CN"/>
        </w:rPr>
        <w:t>支付2022年11月3日至12月9日防疫租车等费用76.73万元，审计发现其中有6台车辆重复计租19天，重复支付费用1.9万元。</w:t>
      </w:r>
    </w:p>
    <w:p w14:paraId="4D798DE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eastAsia="zh-CN" w:bidi="ar-SA"/>
        </w:rPr>
        <w:t>（</w:t>
      </w:r>
      <w:r>
        <w:rPr>
          <w:rFonts w:hint="default" w:ascii="Times New Roman" w:hAnsi="Times New Roman" w:eastAsia="仿宋_GB2312" w:cs="Times New Roman"/>
          <w:color w:val="000000"/>
          <w:sz w:val="32"/>
          <w:szCs w:val="32"/>
          <w:highlight w:val="none"/>
          <w:shd w:val="clear" w:color="auto" w:fill="auto"/>
          <w:lang w:val="en-US" w:eastAsia="zh-CN" w:bidi="ar-SA"/>
        </w:rPr>
        <w:t>二</w:t>
      </w:r>
      <w:r>
        <w:rPr>
          <w:rFonts w:hint="default" w:ascii="Times New Roman" w:hAnsi="Times New Roman" w:eastAsia="仿宋_GB2312" w:cs="Times New Roman"/>
          <w:color w:val="000000"/>
          <w:sz w:val="32"/>
          <w:szCs w:val="32"/>
          <w:highlight w:val="none"/>
          <w:shd w:val="clear" w:color="auto" w:fill="auto"/>
          <w:lang w:eastAsia="zh-CN" w:bidi="ar-SA"/>
        </w:rPr>
        <w:t>）</w:t>
      </w:r>
      <w:r>
        <w:rPr>
          <w:rFonts w:hint="default" w:ascii="Times New Roman" w:hAnsi="Times New Roman" w:eastAsia="仿宋_GB2312" w:cs="Times New Roman"/>
          <w:color w:val="000000"/>
          <w:sz w:val="32"/>
          <w:szCs w:val="32"/>
          <w:highlight w:val="none"/>
          <w:shd w:val="clear" w:color="auto" w:fill="auto"/>
          <w:lang w:val="en-US" w:eastAsia="zh-CN"/>
        </w:rPr>
        <w:t>已交付使用的公共基础设施未按照估计价值入账。截至2023年末，</w:t>
      </w:r>
      <w:r>
        <w:rPr>
          <w:rFonts w:hint="default" w:ascii="Times New Roman" w:hAnsi="Times New Roman" w:eastAsia="仿宋_GB2312" w:cs="Times New Roman"/>
          <w:color w:val="000000"/>
          <w:sz w:val="32"/>
          <w:szCs w:val="32"/>
          <w:highlight w:val="none"/>
          <w:shd w:val="clear" w:color="auto" w:fill="auto"/>
          <w:lang w:val="en-US" w:eastAsia="zh-CN" w:bidi="ar-SA"/>
        </w:rPr>
        <w:t>区交通局</w:t>
      </w:r>
      <w:r>
        <w:rPr>
          <w:rFonts w:hint="default" w:ascii="Times New Roman" w:hAnsi="Times New Roman" w:eastAsia="仿宋_GB2312" w:cs="Times New Roman"/>
          <w:color w:val="000000"/>
          <w:sz w:val="32"/>
          <w:szCs w:val="32"/>
          <w:highlight w:val="none"/>
          <w:shd w:val="clear" w:color="auto" w:fill="auto"/>
          <w:lang w:val="en-US" w:eastAsia="zh-CN"/>
        </w:rPr>
        <w:t>在建工程科目中已交付使用农村公路3200.37万元，未按照估计价值入账。</w:t>
      </w:r>
    </w:p>
    <w:p w14:paraId="4138E5F3">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bidi="ar-SA"/>
        </w:rPr>
        <w:t>（三）项目建设管理费列支不合规。</w:t>
      </w:r>
      <w:r>
        <w:rPr>
          <w:rFonts w:hint="default" w:ascii="Times New Roman" w:hAnsi="Times New Roman" w:eastAsia="仿宋_GB2312" w:cs="Times New Roman"/>
          <w:color w:val="000000"/>
          <w:sz w:val="32"/>
          <w:szCs w:val="32"/>
          <w:highlight w:val="none"/>
          <w:shd w:val="clear" w:color="auto" w:fill="auto"/>
          <w:lang w:val="en-US" w:eastAsia="zh-CN"/>
        </w:rPr>
        <w:t>2019年4月至2023年12月，</w:t>
      </w:r>
      <w:r>
        <w:rPr>
          <w:rFonts w:hint="default" w:ascii="Times New Roman" w:hAnsi="Times New Roman" w:eastAsia="仿宋_GB2312" w:cs="Times New Roman"/>
          <w:color w:val="000000"/>
          <w:sz w:val="32"/>
          <w:szCs w:val="32"/>
          <w:highlight w:val="none"/>
          <w:shd w:val="clear" w:color="auto" w:fill="auto"/>
          <w:lang w:val="en-US" w:eastAsia="zh-CN" w:bidi="ar-SA"/>
        </w:rPr>
        <w:t>区交通局</w:t>
      </w:r>
      <w:r>
        <w:rPr>
          <w:rFonts w:hint="default" w:ascii="Times New Roman" w:hAnsi="Times New Roman" w:eastAsia="仿宋_GB2312" w:cs="Times New Roman"/>
          <w:color w:val="000000"/>
          <w:sz w:val="32"/>
          <w:szCs w:val="32"/>
          <w:highlight w:val="none"/>
          <w:shd w:val="clear" w:color="auto" w:fill="auto"/>
          <w:lang w:val="en-US" w:eastAsia="zh-CN"/>
        </w:rPr>
        <w:t>在建工程中建设单位管理费科目列支本单位人员差旅费0.30万元、办公用品2.47万元、印刷和宣传费2.35万元。</w:t>
      </w:r>
    </w:p>
    <w:p w14:paraId="467C3C9C">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bidi="ar-SA"/>
        </w:rPr>
        <w:t>（四）原始凭证不规范。2023年1月，区交通局支付2022年防疫餐费和防疫物资35.47万元，所附原始凭证记载不完整，其中：防疫餐费15.47万元无具体值班地点及值班人员领取明细；防疫物资20万元无出入库手续和去向证明。</w:t>
      </w:r>
    </w:p>
    <w:p w14:paraId="155CC661">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黑体" w:cs="Times New Roman"/>
          <w:snapToGrid w:val="0"/>
          <w:color w:val="000000"/>
          <w:kern w:val="0"/>
          <w:sz w:val="32"/>
          <w:szCs w:val="32"/>
          <w:highlight w:val="none"/>
          <w:shd w:val="clear" w:color="auto" w:fill="auto"/>
        </w:rPr>
      </w:pPr>
      <w:r>
        <w:rPr>
          <w:rFonts w:hint="default" w:ascii="Times New Roman" w:hAnsi="Times New Roman" w:eastAsia="黑体" w:cs="Times New Roman"/>
          <w:color w:val="000000"/>
          <w:sz w:val="32"/>
          <w:szCs w:val="32"/>
          <w:highlight w:val="none"/>
          <w:shd w:val="clear" w:color="auto" w:fill="auto"/>
          <w:lang w:val="en-US" w:eastAsia="zh-CN"/>
        </w:rPr>
        <w:t>四</w:t>
      </w:r>
      <w:r>
        <w:rPr>
          <w:rFonts w:hint="default" w:ascii="Times New Roman" w:hAnsi="Times New Roman" w:eastAsia="黑体" w:cs="Times New Roman"/>
          <w:snapToGrid w:val="0"/>
          <w:color w:val="000000"/>
          <w:kern w:val="0"/>
          <w:sz w:val="32"/>
          <w:szCs w:val="32"/>
          <w:highlight w:val="none"/>
          <w:shd w:val="clear" w:color="auto" w:fill="auto"/>
        </w:rPr>
        <w:t>、审计建议</w:t>
      </w:r>
    </w:p>
    <w:p w14:paraId="230D860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auto"/>
          <w:lang w:val="en-US" w:eastAsia="zh-CN"/>
        </w:rPr>
      </w:pPr>
      <w:r>
        <w:rPr>
          <w:rFonts w:hint="default" w:ascii="Times New Roman" w:hAnsi="Times New Roman" w:eastAsia="楷体_GB2312" w:cs="Times New Roman"/>
          <w:color w:val="000000"/>
          <w:kern w:val="0"/>
          <w:sz w:val="32"/>
          <w:szCs w:val="32"/>
          <w:highlight w:val="none"/>
          <w:shd w:val="clear" w:color="auto" w:fill="auto"/>
          <w:lang w:val="en-US" w:eastAsia="zh-CN" w:bidi="ar-SA"/>
        </w:rPr>
        <w:t>（一）持续深化财政改革，强化财政资金监管</w:t>
      </w:r>
      <w:r>
        <w:rPr>
          <w:rFonts w:hint="default" w:ascii="Times New Roman" w:hAnsi="Times New Roman" w:eastAsia="楷体_GB2312" w:cs="Times New Roman"/>
          <w:color w:val="000000"/>
          <w:sz w:val="32"/>
          <w:szCs w:val="32"/>
          <w:highlight w:val="none"/>
          <w:shd w:val="clear" w:color="auto" w:fill="auto"/>
        </w:rPr>
        <w:t>。</w:t>
      </w:r>
      <w:r>
        <w:rPr>
          <w:rFonts w:hint="default" w:ascii="Times New Roman" w:hAnsi="Times New Roman" w:eastAsia="仿宋_GB2312" w:cs="Times New Roman"/>
          <w:color w:val="000000"/>
          <w:kern w:val="0"/>
          <w:sz w:val="32"/>
          <w:szCs w:val="32"/>
          <w:highlight w:val="none"/>
          <w:shd w:val="clear" w:color="auto" w:fill="auto"/>
          <w:lang w:val="en-US" w:eastAsia="zh-CN"/>
        </w:rPr>
        <w:t>进一步推进预算一体化建设，提升预算编制的准确性、科学性和预算执行效率，加强结转结余资金再安排的管理，切实压缩结转结余资金的规模；</w:t>
      </w:r>
      <w:r>
        <w:rPr>
          <w:rFonts w:hint="default" w:ascii="Times New Roman" w:hAnsi="Times New Roman" w:eastAsia="仿宋_GB2312" w:cs="Times New Roman"/>
          <w:color w:val="000000"/>
          <w:kern w:val="0"/>
          <w:sz w:val="32"/>
          <w:szCs w:val="32"/>
          <w:highlight w:val="none"/>
          <w:shd w:val="clear" w:color="auto" w:fill="auto"/>
        </w:rPr>
        <w:t>规范</w:t>
      </w:r>
      <w:r>
        <w:rPr>
          <w:rFonts w:hint="default" w:ascii="Times New Roman" w:hAnsi="Times New Roman" w:eastAsia="仿宋_GB2312" w:cs="Times New Roman"/>
          <w:color w:val="000000"/>
          <w:kern w:val="0"/>
          <w:sz w:val="32"/>
          <w:szCs w:val="32"/>
          <w:highlight w:val="none"/>
          <w:shd w:val="clear" w:color="auto" w:fill="auto"/>
          <w:lang w:val="en-US" w:eastAsia="zh-CN"/>
        </w:rPr>
        <w:t>各单位</w:t>
      </w:r>
      <w:r>
        <w:rPr>
          <w:rFonts w:hint="default" w:ascii="Times New Roman" w:hAnsi="Times New Roman" w:eastAsia="仿宋_GB2312" w:cs="Times New Roman"/>
          <w:color w:val="000000"/>
          <w:kern w:val="0"/>
          <w:sz w:val="32"/>
          <w:szCs w:val="32"/>
          <w:highlight w:val="none"/>
          <w:shd w:val="clear" w:color="auto" w:fill="auto"/>
        </w:rPr>
        <w:t>预算</w:t>
      </w:r>
      <w:r>
        <w:rPr>
          <w:rFonts w:hint="default" w:ascii="Times New Roman" w:hAnsi="Times New Roman" w:eastAsia="仿宋_GB2312" w:cs="Times New Roman"/>
          <w:color w:val="000000"/>
          <w:kern w:val="0"/>
          <w:sz w:val="32"/>
          <w:szCs w:val="32"/>
          <w:highlight w:val="none"/>
          <w:shd w:val="clear" w:color="auto" w:fill="auto"/>
          <w:lang w:val="en-US" w:eastAsia="zh-CN"/>
        </w:rPr>
        <w:t>编制</w:t>
      </w:r>
      <w:r>
        <w:rPr>
          <w:rFonts w:hint="default" w:ascii="Times New Roman" w:hAnsi="Times New Roman" w:eastAsia="仿宋_GB2312" w:cs="Times New Roman"/>
          <w:color w:val="000000"/>
          <w:kern w:val="0"/>
          <w:sz w:val="32"/>
          <w:szCs w:val="32"/>
          <w:highlight w:val="none"/>
          <w:shd w:val="clear" w:color="auto" w:fill="auto"/>
        </w:rPr>
        <w:t>，</w:t>
      </w:r>
      <w:r>
        <w:rPr>
          <w:rFonts w:hint="default" w:ascii="Times New Roman" w:hAnsi="Times New Roman" w:eastAsia="仿宋_GB2312" w:cs="Times New Roman"/>
          <w:color w:val="000000"/>
          <w:kern w:val="0"/>
          <w:sz w:val="32"/>
          <w:szCs w:val="32"/>
          <w:highlight w:val="none"/>
          <w:shd w:val="clear" w:color="auto" w:fill="auto"/>
          <w:lang w:val="en-US" w:eastAsia="zh-CN"/>
        </w:rPr>
        <w:t>严格支出</w:t>
      </w:r>
      <w:r>
        <w:rPr>
          <w:rFonts w:hint="default" w:ascii="Times New Roman" w:hAnsi="Times New Roman" w:eastAsia="仿宋_GB2312" w:cs="Times New Roman"/>
          <w:color w:val="000000"/>
          <w:sz w:val="32"/>
          <w:szCs w:val="32"/>
          <w:highlight w:val="none"/>
          <w:shd w:val="clear" w:color="auto" w:fill="auto"/>
          <w:lang w:val="en-US" w:eastAsia="zh-CN"/>
        </w:rPr>
        <w:t>功能科目列支范围</w:t>
      </w:r>
      <w:r>
        <w:rPr>
          <w:rFonts w:hint="default" w:ascii="Times New Roman" w:hAnsi="Times New Roman" w:eastAsia="仿宋_GB2312" w:cs="Times New Roman"/>
          <w:color w:val="000000"/>
          <w:kern w:val="0"/>
          <w:sz w:val="32"/>
          <w:szCs w:val="32"/>
          <w:highlight w:val="none"/>
          <w:shd w:val="clear" w:color="auto" w:fill="auto"/>
          <w:lang w:val="en-US" w:eastAsia="zh-CN"/>
        </w:rPr>
        <w:t>，真实、完整反映预算收支；持续盘活存量资金，加大非税账户和特设专户等账户资金及两年以上结余资金的清理力度，</w:t>
      </w:r>
      <w:r>
        <w:rPr>
          <w:rFonts w:hint="default" w:ascii="Times New Roman" w:hAnsi="Times New Roman" w:eastAsia="仿宋_GB2312" w:cs="Times New Roman"/>
          <w:color w:val="000000"/>
          <w:sz w:val="32"/>
          <w:szCs w:val="32"/>
          <w:highlight w:val="none"/>
          <w:shd w:val="clear" w:color="auto" w:fill="auto"/>
          <w:lang w:val="en-US" w:eastAsia="zh-CN"/>
        </w:rPr>
        <w:t>推动在建工程长期挂账项目核算，及时办理竣工结算和财务决算，</w:t>
      </w:r>
      <w:r>
        <w:rPr>
          <w:rFonts w:hint="default" w:ascii="Times New Roman" w:hAnsi="Times New Roman" w:eastAsia="仿宋_GB2312" w:cs="Times New Roman"/>
          <w:color w:val="000000"/>
          <w:kern w:val="0"/>
          <w:sz w:val="32"/>
          <w:szCs w:val="32"/>
          <w:highlight w:val="none"/>
          <w:shd w:val="clear" w:color="auto" w:fill="auto"/>
          <w:lang w:val="en-US" w:eastAsia="zh-CN"/>
        </w:rPr>
        <w:t>不断优化财政资源配置；加强全口径债务规模的预警管控，科学调配政府债务相关项目建设和资金支出，杜绝挪用专项债券资金的现象，坚决</w:t>
      </w:r>
      <w:r>
        <w:rPr>
          <w:rFonts w:hint="default" w:ascii="Times New Roman" w:hAnsi="Times New Roman" w:eastAsia="仿宋_GB2312" w:cs="Times New Roman"/>
          <w:color w:val="000000"/>
          <w:sz w:val="32"/>
          <w:szCs w:val="32"/>
          <w:highlight w:val="none"/>
          <w:shd w:val="clear" w:color="auto" w:fill="auto"/>
          <w:lang w:val="en-US" w:eastAsia="zh-CN"/>
        </w:rPr>
        <w:t>防范化解财政运行风险。</w:t>
      </w:r>
    </w:p>
    <w:p w14:paraId="7A9B461D">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textAlignment w:val="auto"/>
        <w:rPr>
          <w:rFonts w:hint="default" w:ascii="Times New Roman" w:hAnsi="Times New Roman" w:eastAsia="仿宋_GB2312" w:cs="Times New Roman"/>
          <w:snapToGrid w:val="0"/>
          <w:color w:val="000000"/>
          <w:kern w:val="0"/>
          <w:sz w:val="32"/>
          <w:szCs w:val="32"/>
          <w:highlight w:val="none"/>
          <w:shd w:val="clear" w:color="auto" w:fill="auto"/>
          <w:lang w:val="en-US" w:eastAsia="zh-CN"/>
        </w:rPr>
      </w:pPr>
      <w:r>
        <w:rPr>
          <w:rFonts w:hint="default" w:ascii="Times New Roman" w:hAnsi="Times New Roman" w:eastAsia="楷体_GB2312" w:cs="Times New Roman"/>
          <w:color w:val="000000"/>
          <w:kern w:val="0"/>
          <w:sz w:val="32"/>
          <w:szCs w:val="32"/>
          <w:highlight w:val="none"/>
          <w:shd w:val="clear" w:color="auto" w:fill="auto"/>
          <w:lang w:val="en-US" w:eastAsia="zh-CN" w:bidi="ar-SA"/>
        </w:rPr>
        <w:t>（二）持续坚持花钱必问效，提升财政管理水平。</w:t>
      </w:r>
      <w:r>
        <w:rPr>
          <w:rFonts w:hint="default" w:ascii="Times New Roman" w:hAnsi="Times New Roman" w:eastAsia="仿宋_GB2312" w:cs="Times New Roman"/>
          <w:b w:val="0"/>
          <w:bCs w:val="0"/>
          <w:snapToGrid w:val="0"/>
          <w:color w:val="000000"/>
          <w:kern w:val="0"/>
          <w:sz w:val="32"/>
          <w:szCs w:val="32"/>
          <w:highlight w:val="none"/>
          <w:shd w:val="clear" w:color="auto" w:fill="auto"/>
          <w:lang w:val="en-US" w:eastAsia="zh-CN" w:bidi="ar-SA"/>
        </w:rPr>
        <w:t>细化</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“过紧日子”的具体要求，重点服务“六稳”、“六保”，保障刚性需求，推动产业升级发展；</w:t>
      </w:r>
      <w:r>
        <w:rPr>
          <w:rFonts w:hint="default" w:ascii="Times New Roman" w:hAnsi="Times New Roman" w:eastAsia="仿宋_GB2312" w:cs="Times New Roman"/>
          <w:b w:val="0"/>
          <w:bCs w:val="0"/>
          <w:snapToGrid w:val="0"/>
          <w:color w:val="000000"/>
          <w:kern w:val="0"/>
          <w:sz w:val="32"/>
          <w:szCs w:val="32"/>
          <w:highlight w:val="none"/>
          <w:shd w:val="clear" w:color="auto" w:fill="auto"/>
          <w:lang w:val="en-US" w:eastAsia="zh-CN" w:bidi="ar-SA"/>
        </w:rPr>
        <w:t>强化项目</w:t>
      </w:r>
      <w:r>
        <w:rPr>
          <w:rFonts w:hint="default" w:ascii="Times New Roman" w:hAnsi="Times New Roman" w:eastAsia="仿宋_GB2312" w:cs="Times New Roman"/>
          <w:snapToGrid w:val="0"/>
          <w:color w:val="000000"/>
          <w:kern w:val="0"/>
          <w:sz w:val="32"/>
          <w:szCs w:val="32"/>
          <w:highlight w:val="none"/>
          <w:shd w:val="clear" w:color="auto" w:fill="auto"/>
        </w:rPr>
        <w:t>预算绩效管理，全面</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落实</w:t>
      </w:r>
      <w:r>
        <w:rPr>
          <w:rFonts w:hint="default" w:ascii="Times New Roman" w:hAnsi="Times New Roman" w:eastAsia="仿宋_GB2312" w:cs="Times New Roman"/>
          <w:b w:val="0"/>
          <w:bCs w:val="0"/>
          <w:snapToGrid w:val="0"/>
          <w:color w:val="000000"/>
          <w:kern w:val="0"/>
          <w:sz w:val="32"/>
          <w:szCs w:val="32"/>
          <w:highlight w:val="none"/>
          <w:shd w:val="clear" w:color="auto" w:fill="auto"/>
          <w:lang w:val="en-US" w:eastAsia="zh-CN" w:bidi="ar-SA"/>
        </w:rPr>
        <w:t>预算支出绩效评价管理相关政策和规定，</w:t>
      </w:r>
      <w:r>
        <w:rPr>
          <w:rFonts w:hint="default" w:ascii="Times New Roman" w:hAnsi="Times New Roman" w:eastAsia="仿宋_GB2312" w:cs="Times New Roman"/>
          <w:snapToGrid w:val="0"/>
          <w:color w:val="000000"/>
          <w:kern w:val="0"/>
          <w:sz w:val="32"/>
          <w:szCs w:val="32"/>
          <w:highlight w:val="none"/>
          <w:shd w:val="clear" w:color="auto" w:fill="auto"/>
        </w:rPr>
        <w:t>扩大重点预算绩效评价范围，</w:t>
      </w:r>
      <w:r>
        <w:rPr>
          <w:rFonts w:hint="default" w:ascii="Times New Roman" w:hAnsi="Times New Roman" w:eastAsia="仿宋_GB2312" w:cs="Times New Roman"/>
          <w:b w:val="0"/>
          <w:bCs w:val="0"/>
          <w:snapToGrid w:val="0"/>
          <w:color w:val="000000"/>
          <w:kern w:val="0"/>
          <w:sz w:val="32"/>
          <w:szCs w:val="32"/>
          <w:highlight w:val="none"/>
          <w:shd w:val="clear" w:color="auto" w:fill="auto"/>
          <w:lang w:val="en-US" w:eastAsia="zh-CN" w:bidi="ar-SA"/>
        </w:rPr>
        <w:t>绩效评价结果与预算安排相结合，</w:t>
      </w:r>
      <w:r>
        <w:rPr>
          <w:rFonts w:hint="default" w:ascii="Times New Roman" w:hAnsi="Times New Roman" w:eastAsia="仿宋_GB2312" w:cs="Times New Roman"/>
          <w:snapToGrid w:val="0"/>
          <w:color w:val="000000"/>
          <w:kern w:val="0"/>
          <w:sz w:val="32"/>
          <w:szCs w:val="32"/>
          <w:highlight w:val="none"/>
          <w:shd w:val="clear" w:color="auto" w:fill="auto"/>
        </w:rPr>
        <w:t>强化预算绩效评价结果应用，</w:t>
      </w:r>
      <w:r>
        <w:rPr>
          <w:rFonts w:hint="default" w:ascii="Times New Roman" w:hAnsi="Times New Roman" w:eastAsia="仿宋_GB2312" w:cs="Times New Roman"/>
          <w:b w:val="0"/>
          <w:bCs w:val="0"/>
          <w:snapToGrid w:val="0"/>
          <w:color w:val="000000"/>
          <w:kern w:val="0"/>
          <w:sz w:val="32"/>
          <w:szCs w:val="32"/>
          <w:highlight w:val="none"/>
          <w:shd w:val="clear" w:color="auto" w:fill="auto"/>
          <w:lang w:val="en-US" w:eastAsia="zh-CN" w:bidi="ar-SA"/>
        </w:rPr>
        <w:t>对评价等级为优、良的予以支持</w:t>
      </w:r>
      <w:r>
        <w:rPr>
          <w:rFonts w:hint="default" w:ascii="Times New Roman" w:hAnsi="Times New Roman" w:eastAsia="仿宋_GB2312" w:cs="Times New Roman"/>
          <w:snapToGrid w:val="0"/>
          <w:color w:val="000000"/>
          <w:kern w:val="0"/>
          <w:sz w:val="32"/>
          <w:szCs w:val="32"/>
          <w:highlight w:val="none"/>
          <w:shd w:val="clear" w:color="auto" w:fill="auto"/>
        </w:rPr>
        <w:t>，</w:t>
      </w:r>
      <w:r>
        <w:rPr>
          <w:rFonts w:hint="default" w:ascii="Times New Roman" w:hAnsi="Times New Roman" w:eastAsia="仿宋_GB2312" w:cs="Times New Roman"/>
          <w:b w:val="0"/>
          <w:bCs w:val="0"/>
          <w:snapToGrid w:val="0"/>
          <w:color w:val="000000"/>
          <w:kern w:val="0"/>
          <w:sz w:val="32"/>
          <w:szCs w:val="32"/>
          <w:highlight w:val="none"/>
          <w:shd w:val="clear" w:color="auto" w:fill="auto"/>
          <w:lang w:val="en-US" w:eastAsia="zh-CN" w:bidi="ar-SA"/>
        </w:rPr>
        <w:t>对评价等级为较差、差的，要完善政策、改进管理，并根据情况核减预算，甚至取消预算安排</w:t>
      </w:r>
      <w:r>
        <w:rPr>
          <w:rFonts w:hint="default" w:ascii="Times New Roman" w:hAnsi="Times New Roman" w:eastAsia="仿宋_GB2312" w:cs="Times New Roman"/>
          <w:snapToGrid w:val="0"/>
          <w:color w:val="000000"/>
          <w:kern w:val="0"/>
          <w:sz w:val="32"/>
          <w:szCs w:val="32"/>
          <w:highlight w:val="none"/>
          <w:shd w:val="clear" w:color="auto" w:fill="auto"/>
          <w:lang w:eastAsia="zh-CN"/>
        </w:rPr>
        <w:t>，</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以推动财政资金提质增效。各预算单位建立健全专项资金管理办法，严格规范管理和政策兑现，坚决杜绝重复发奖补资金的现象，不断提高专项资金使用效益；全面加强重点项目建设，加大对政府投资项目事前、事中、事后全过程监督力度，严格履行国家规定的基本建设程序。</w:t>
      </w:r>
    </w:p>
    <w:p w14:paraId="6BD7D9A2">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0" w:firstLineChars="200"/>
        <w:jc w:val="left"/>
        <w:textAlignment w:val="auto"/>
        <w:rPr>
          <w:rFonts w:hint="default" w:ascii="Times New Roman" w:hAnsi="Times New Roman" w:eastAsia="仿宋_GB2312" w:cs="Times New Roman"/>
          <w:snapToGrid w:val="0"/>
          <w:color w:val="000000"/>
          <w:kern w:val="0"/>
          <w:sz w:val="32"/>
          <w:szCs w:val="32"/>
          <w:highlight w:val="none"/>
          <w:shd w:val="clear" w:color="auto" w:fill="auto"/>
          <w:lang w:val="en-US" w:eastAsia="zh-CN"/>
        </w:rPr>
      </w:pPr>
      <w:r>
        <w:rPr>
          <w:rFonts w:hint="default" w:ascii="Times New Roman" w:hAnsi="Times New Roman" w:eastAsia="楷体_GB2312" w:cs="Times New Roman"/>
          <w:color w:val="000000"/>
          <w:kern w:val="0"/>
          <w:sz w:val="32"/>
          <w:szCs w:val="32"/>
          <w:highlight w:val="none"/>
          <w:shd w:val="clear" w:color="auto" w:fill="auto"/>
          <w:lang w:val="en-US" w:eastAsia="zh-CN" w:bidi="ar-SA"/>
        </w:rPr>
        <w:t>（三）</w:t>
      </w:r>
      <w:r>
        <w:rPr>
          <w:rFonts w:hint="default" w:ascii="Times New Roman" w:hAnsi="Times New Roman" w:eastAsia="楷体_GB2312" w:cs="Times New Roman"/>
          <w:color w:val="000000"/>
          <w:kern w:val="0"/>
          <w:sz w:val="32"/>
          <w:szCs w:val="32"/>
          <w:highlight w:val="none"/>
          <w:shd w:val="clear" w:color="auto" w:fill="auto"/>
          <w:lang w:val="en-US" w:eastAsia="zh-CN"/>
        </w:rPr>
        <w:t>持续加强审计</w:t>
      </w:r>
      <w:r>
        <w:rPr>
          <w:rFonts w:hint="default" w:ascii="Times New Roman" w:hAnsi="Times New Roman" w:eastAsia="楷体_GB2312" w:cs="Times New Roman"/>
          <w:color w:val="000000"/>
          <w:kern w:val="0"/>
          <w:sz w:val="32"/>
          <w:szCs w:val="32"/>
          <w:highlight w:val="none"/>
          <w:shd w:val="clear" w:color="auto" w:fill="auto"/>
        </w:rPr>
        <w:t>整改</w:t>
      </w:r>
      <w:r>
        <w:rPr>
          <w:rFonts w:hint="default" w:ascii="Times New Roman" w:hAnsi="Times New Roman" w:eastAsia="楷体_GB2312" w:cs="Times New Roman"/>
          <w:color w:val="000000"/>
          <w:kern w:val="0"/>
          <w:sz w:val="32"/>
          <w:szCs w:val="32"/>
          <w:highlight w:val="none"/>
          <w:shd w:val="clear" w:color="auto" w:fill="auto"/>
          <w:lang w:eastAsia="zh-CN"/>
        </w:rPr>
        <w:t>，</w:t>
      </w:r>
      <w:r>
        <w:rPr>
          <w:rFonts w:hint="default" w:ascii="Times New Roman" w:hAnsi="Times New Roman" w:eastAsia="楷体_GB2312" w:cs="Times New Roman"/>
          <w:color w:val="000000"/>
          <w:kern w:val="0"/>
          <w:sz w:val="32"/>
          <w:szCs w:val="32"/>
          <w:highlight w:val="none"/>
          <w:shd w:val="clear" w:color="auto" w:fill="auto"/>
          <w:lang w:val="en-US" w:eastAsia="zh-CN"/>
        </w:rPr>
        <w:t>推动审计查出问题标本兼治。</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认真落实中央、省、市关于建立审计查出问题整改长效机制的要求，一体推进审计揭示问题“上半篇文章”和审计整改“下半篇文章”，主管部门应落实整改监督管理责任，各单位应夯实审计整改主体责任，深入分析问题产生原因，研究提出整改措施，</w:t>
      </w:r>
      <w:r>
        <w:rPr>
          <w:rFonts w:hint="default" w:ascii="Times New Roman" w:hAnsi="Times New Roman" w:eastAsia="仿宋_GB2312" w:cs="Times New Roman"/>
          <w:snapToGrid w:val="0"/>
          <w:color w:val="000000"/>
          <w:kern w:val="0"/>
          <w:sz w:val="32"/>
          <w:szCs w:val="32"/>
          <w:highlight w:val="none"/>
          <w:shd w:val="clear" w:color="auto" w:fill="auto"/>
        </w:rPr>
        <w:t>有针对性地建立健全相关制度</w:t>
      </w:r>
      <w:r>
        <w:rPr>
          <w:rFonts w:hint="default" w:ascii="Times New Roman" w:hAnsi="Times New Roman" w:eastAsia="仿宋_GB2312" w:cs="Times New Roman"/>
          <w:snapToGrid w:val="0"/>
          <w:color w:val="000000"/>
          <w:kern w:val="0"/>
          <w:sz w:val="32"/>
          <w:szCs w:val="32"/>
          <w:highlight w:val="none"/>
          <w:shd w:val="clear" w:color="auto" w:fill="auto"/>
          <w:lang w:eastAsia="zh-CN"/>
        </w:rPr>
        <w:t>，</w:t>
      </w:r>
      <w:r>
        <w:rPr>
          <w:rFonts w:hint="default" w:ascii="Times New Roman" w:hAnsi="Times New Roman" w:eastAsia="仿宋_GB2312" w:cs="Times New Roman"/>
          <w:snapToGrid w:val="0"/>
          <w:color w:val="000000"/>
          <w:kern w:val="0"/>
          <w:sz w:val="32"/>
          <w:szCs w:val="32"/>
          <w:highlight w:val="none"/>
          <w:shd w:val="clear" w:color="auto" w:fill="auto"/>
          <w:lang w:val="en-US" w:eastAsia="zh-CN"/>
        </w:rPr>
        <w:t>完善解决问题的制度机制，促进举一反三，从源头上杜绝“屡审屡犯”问题。坚持发挥监督合力，强化纪检监察、巡视巡察、审计监督贯通协同，深化审计成果运用，确保整改成效。</w:t>
      </w:r>
    </w:p>
    <w:sectPr>
      <w:footerReference r:id="rId3" w:type="default"/>
      <w:pgSz w:w="11906" w:h="16838"/>
      <w:pgMar w:top="2098" w:right="1531" w:bottom="1928" w:left="1531" w:header="851" w:footer="1219"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2F9A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B33B56">
                          <w:pPr>
                            <w:pStyle w:val="1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2B33B56">
                    <w:pPr>
                      <w:pStyle w:val="1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YTgyZDIyODVhNzJlODY5MGU3ZjM5MDJkY2VjNTYifQ=="/>
  </w:docVars>
  <w:rsids>
    <w:rsidRoot w:val="00000000"/>
    <w:rsid w:val="002B69A0"/>
    <w:rsid w:val="006A4ED4"/>
    <w:rsid w:val="00784D2B"/>
    <w:rsid w:val="007E2747"/>
    <w:rsid w:val="015D429B"/>
    <w:rsid w:val="0182741D"/>
    <w:rsid w:val="02013F1B"/>
    <w:rsid w:val="02162BC3"/>
    <w:rsid w:val="02744683"/>
    <w:rsid w:val="02D811B1"/>
    <w:rsid w:val="03197C36"/>
    <w:rsid w:val="038800CB"/>
    <w:rsid w:val="03D82A83"/>
    <w:rsid w:val="044F2CB8"/>
    <w:rsid w:val="0463066A"/>
    <w:rsid w:val="04BA728A"/>
    <w:rsid w:val="04D6138D"/>
    <w:rsid w:val="05E62505"/>
    <w:rsid w:val="0605581E"/>
    <w:rsid w:val="060F25F5"/>
    <w:rsid w:val="06793F90"/>
    <w:rsid w:val="068B1956"/>
    <w:rsid w:val="072F6CD6"/>
    <w:rsid w:val="079E1742"/>
    <w:rsid w:val="083E5E44"/>
    <w:rsid w:val="084917B9"/>
    <w:rsid w:val="085D1644"/>
    <w:rsid w:val="09CB747E"/>
    <w:rsid w:val="0A286615"/>
    <w:rsid w:val="0ACC1D81"/>
    <w:rsid w:val="0BD95F3D"/>
    <w:rsid w:val="0C935BFA"/>
    <w:rsid w:val="0C9D3997"/>
    <w:rsid w:val="0DD95890"/>
    <w:rsid w:val="0EB3118E"/>
    <w:rsid w:val="0EE220F1"/>
    <w:rsid w:val="0EE22A07"/>
    <w:rsid w:val="0F0E2684"/>
    <w:rsid w:val="0FFF5F6E"/>
    <w:rsid w:val="10E53570"/>
    <w:rsid w:val="10FA174B"/>
    <w:rsid w:val="113900C0"/>
    <w:rsid w:val="127B36EB"/>
    <w:rsid w:val="131475C7"/>
    <w:rsid w:val="13712EBB"/>
    <w:rsid w:val="13B9560C"/>
    <w:rsid w:val="1475489E"/>
    <w:rsid w:val="1583476D"/>
    <w:rsid w:val="15BC75D7"/>
    <w:rsid w:val="1652649F"/>
    <w:rsid w:val="16C86822"/>
    <w:rsid w:val="17CE5339"/>
    <w:rsid w:val="18EB3BFF"/>
    <w:rsid w:val="19A119BC"/>
    <w:rsid w:val="19C75B25"/>
    <w:rsid w:val="1B573833"/>
    <w:rsid w:val="1C720CDB"/>
    <w:rsid w:val="1D9458DD"/>
    <w:rsid w:val="1DD8701F"/>
    <w:rsid w:val="1DE1149A"/>
    <w:rsid w:val="1E030379"/>
    <w:rsid w:val="1E9551AC"/>
    <w:rsid w:val="1F6A2B6C"/>
    <w:rsid w:val="1F8A5E61"/>
    <w:rsid w:val="1FAF293C"/>
    <w:rsid w:val="20CD4C7D"/>
    <w:rsid w:val="20D94039"/>
    <w:rsid w:val="221706F4"/>
    <w:rsid w:val="221732D4"/>
    <w:rsid w:val="225773DD"/>
    <w:rsid w:val="226E58F6"/>
    <w:rsid w:val="230C47C7"/>
    <w:rsid w:val="231A1B4D"/>
    <w:rsid w:val="2349196E"/>
    <w:rsid w:val="237544F3"/>
    <w:rsid w:val="2423440A"/>
    <w:rsid w:val="242E5FA8"/>
    <w:rsid w:val="243D1740"/>
    <w:rsid w:val="24703187"/>
    <w:rsid w:val="24B77ED6"/>
    <w:rsid w:val="24FE4046"/>
    <w:rsid w:val="25203DEB"/>
    <w:rsid w:val="26181589"/>
    <w:rsid w:val="263570D6"/>
    <w:rsid w:val="2655589D"/>
    <w:rsid w:val="26556E05"/>
    <w:rsid w:val="26604256"/>
    <w:rsid w:val="26991B1E"/>
    <w:rsid w:val="26A50EE8"/>
    <w:rsid w:val="26B318AD"/>
    <w:rsid w:val="26EF3474"/>
    <w:rsid w:val="271F7B86"/>
    <w:rsid w:val="281D62A2"/>
    <w:rsid w:val="282E3782"/>
    <w:rsid w:val="28371F5F"/>
    <w:rsid w:val="288841CC"/>
    <w:rsid w:val="28C26D78"/>
    <w:rsid w:val="290208CD"/>
    <w:rsid w:val="29350941"/>
    <w:rsid w:val="29845B53"/>
    <w:rsid w:val="29CC45C5"/>
    <w:rsid w:val="29CD17C0"/>
    <w:rsid w:val="29DF4157"/>
    <w:rsid w:val="2B1938C8"/>
    <w:rsid w:val="2B691040"/>
    <w:rsid w:val="2C0365E7"/>
    <w:rsid w:val="2CCB53C6"/>
    <w:rsid w:val="2F4E69AF"/>
    <w:rsid w:val="2F82170A"/>
    <w:rsid w:val="30B205E9"/>
    <w:rsid w:val="30CE41D4"/>
    <w:rsid w:val="319657D4"/>
    <w:rsid w:val="32C90F41"/>
    <w:rsid w:val="32F25811"/>
    <w:rsid w:val="33946264"/>
    <w:rsid w:val="33B81D5F"/>
    <w:rsid w:val="340C4629"/>
    <w:rsid w:val="344D38B9"/>
    <w:rsid w:val="346449C5"/>
    <w:rsid w:val="346518A3"/>
    <w:rsid w:val="348C32D1"/>
    <w:rsid w:val="35A17527"/>
    <w:rsid w:val="35AD1F90"/>
    <w:rsid w:val="373B4388"/>
    <w:rsid w:val="374008FC"/>
    <w:rsid w:val="37A140C3"/>
    <w:rsid w:val="38063BA2"/>
    <w:rsid w:val="380B7566"/>
    <w:rsid w:val="39BF18AF"/>
    <w:rsid w:val="39F14D44"/>
    <w:rsid w:val="3A43428E"/>
    <w:rsid w:val="3A8568F9"/>
    <w:rsid w:val="3AA452CA"/>
    <w:rsid w:val="3BAB442A"/>
    <w:rsid w:val="3C887544"/>
    <w:rsid w:val="3CDB4011"/>
    <w:rsid w:val="3D6D29AA"/>
    <w:rsid w:val="3D8528EF"/>
    <w:rsid w:val="3DD1570D"/>
    <w:rsid w:val="3E6D0454"/>
    <w:rsid w:val="3F00181A"/>
    <w:rsid w:val="3F422D66"/>
    <w:rsid w:val="3F53497B"/>
    <w:rsid w:val="3F985997"/>
    <w:rsid w:val="3FD5040C"/>
    <w:rsid w:val="41E709A9"/>
    <w:rsid w:val="435B24CE"/>
    <w:rsid w:val="43BA318E"/>
    <w:rsid w:val="43EE7A26"/>
    <w:rsid w:val="44B71AA5"/>
    <w:rsid w:val="45277B96"/>
    <w:rsid w:val="458B021D"/>
    <w:rsid w:val="46130987"/>
    <w:rsid w:val="46CD3B8C"/>
    <w:rsid w:val="47204F95"/>
    <w:rsid w:val="48356B23"/>
    <w:rsid w:val="488A5C0A"/>
    <w:rsid w:val="48D42D99"/>
    <w:rsid w:val="48FC53EC"/>
    <w:rsid w:val="490E5157"/>
    <w:rsid w:val="495062DE"/>
    <w:rsid w:val="49BC695C"/>
    <w:rsid w:val="49F430FC"/>
    <w:rsid w:val="4A9F230B"/>
    <w:rsid w:val="4AF70D8B"/>
    <w:rsid w:val="4B685AE3"/>
    <w:rsid w:val="4B9E607F"/>
    <w:rsid w:val="4BA10CAB"/>
    <w:rsid w:val="4C06606A"/>
    <w:rsid w:val="4C4E7471"/>
    <w:rsid w:val="4C8049A8"/>
    <w:rsid w:val="4CAE6B4B"/>
    <w:rsid w:val="4CE47E31"/>
    <w:rsid w:val="4F443AF5"/>
    <w:rsid w:val="4F8551CA"/>
    <w:rsid w:val="4FE57169"/>
    <w:rsid w:val="4FEB5F1B"/>
    <w:rsid w:val="50127491"/>
    <w:rsid w:val="50C4082D"/>
    <w:rsid w:val="50EF57E9"/>
    <w:rsid w:val="5261095D"/>
    <w:rsid w:val="52965485"/>
    <w:rsid w:val="52F86445"/>
    <w:rsid w:val="52F9552F"/>
    <w:rsid w:val="532B78A9"/>
    <w:rsid w:val="53735D8F"/>
    <w:rsid w:val="54403AB0"/>
    <w:rsid w:val="546A232A"/>
    <w:rsid w:val="547A15A0"/>
    <w:rsid w:val="563E1060"/>
    <w:rsid w:val="581B7893"/>
    <w:rsid w:val="589F5D0E"/>
    <w:rsid w:val="5A3B0686"/>
    <w:rsid w:val="5A4A5760"/>
    <w:rsid w:val="5A4F6B6E"/>
    <w:rsid w:val="5A6B5961"/>
    <w:rsid w:val="5A851901"/>
    <w:rsid w:val="5C0C22DA"/>
    <w:rsid w:val="5D3F3187"/>
    <w:rsid w:val="5DD3228A"/>
    <w:rsid w:val="5E680A98"/>
    <w:rsid w:val="5E7B0F35"/>
    <w:rsid w:val="5E912F6A"/>
    <w:rsid w:val="5F752C58"/>
    <w:rsid w:val="5FFD7882"/>
    <w:rsid w:val="602B34D1"/>
    <w:rsid w:val="60CE6627"/>
    <w:rsid w:val="616F75D9"/>
    <w:rsid w:val="61875125"/>
    <w:rsid w:val="61876A73"/>
    <w:rsid w:val="61D038B6"/>
    <w:rsid w:val="61D929BD"/>
    <w:rsid w:val="61E74B3E"/>
    <w:rsid w:val="62611A9D"/>
    <w:rsid w:val="63166BB6"/>
    <w:rsid w:val="633C1E97"/>
    <w:rsid w:val="634B20FF"/>
    <w:rsid w:val="63EA73A4"/>
    <w:rsid w:val="6438054E"/>
    <w:rsid w:val="649F3831"/>
    <w:rsid w:val="65741DEF"/>
    <w:rsid w:val="66656AA8"/>
    <w:rsid w:val="66BE121A"/>
    <w:rsid w:val="679E38AB"/>
    <w:rsid w:val="682D72A8"/>
    <w:rsid w:val="689F6D2B"/>
    <w:rsid w:val="699030B4"/>
    <w:rsid w:val="69954227"/>
    <w:rsid w:val="69D403A3"/>
    <w:rsid w:val="6A93415A"/>
    <w:rsid w:val="6AD2649C"/>
    <w:rsid w:val="6B072D3A"/>
    <w:rsid w:val="6B8E7E08"/>
    <w:rsid w:val="6BEB1679"/>
    <w:rsid w:val="6C2B46C4"/>
    <w:rsid w:val="6E0D2718"/>
    <w:rsid w:val="6E646EA0"/>
    <w:rsid w:val="6F6D2674"/>
    <w:rsid w:val="701C337F"/>
    <w:rsid w:val="703136BE"/>
    <w:rsid w:val="704B2F7D"/>
    <w:rsid w:val="70C547D3"/>
    <w:rsid w:val="712B15A4"/>
    <w:rsid w:val="71965377"/>
    <w:rsid w:val="72161623"/>
    <w:rsid w:val="728235AB"/>
    <w:rsid w:val="73515C28"/>
    <w:rsid w:val="736B6EE4"/>
    <w:rsid w:val="73C05C6D"/>
    <w:rsid w:val="74303271"/>
    <w:rsid w:val="743425DB"/>
    <w:rsid w:val="74AA3CA8"/>
    <w:rsid w:val="74C34A7E"/>
    <w:rsid w:val="74C42670"/>
    <w:rsid w:val="751954C1"/>
    <w:rsid w:val="7523465F"/>
    <w:rsid w:val="75881510"/>
    <w:rsid w:val="75F856C7"/>
    <w:rsid w:val="76122749"/>
    <w:rsid w:val="76F24AB3"/>
    <w:rsid w:val="783B0BEB"/>
    <w:rsid w:val="787D2EC2"/>
    <w:rsid w:val="794D1C88"/>
    <w:rsid w:val="79C26029"/>
    <w:rsid w:val="7C605602"/>
    <w:rsid w:val="7CFE5DBF"/>
    <w:rsid w:val="7D1D5FA1"/>
    <w:rsid w:val="7DA71BC8"/>
    <w:rsid w:val="7E2E2268"/>
    <w:rsid w:val="7EE1029F"/>
    <w:rsid w:val="7F3B2C75"/>
    <w:rsid w:val="7FD81C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2"/>
    <w:basedOn w:val="8"/>
    <w:next w:val="1"/>
    <w:qFormat/>
    <w:uiPriority w:val="0"/>
    <w:pPr>
      <w:kinsoku w:val="0"/>
      <w:outlineLvl w:val="1"/>
    </w:pPr>
    <w:rPr>
      <w:rFonts w:ascii="楷体_GB2312" w:hAnsi="楷体_GB2312" w:eastAsia="楷体_GB2312" w:cs="楷体_GB2312"/>
    </w:rPr>
  </w:style>
  <w:style w:type="paragraph" w:styleId="9">
    <w:name w:val="heading 3"/>
    <w:basedOn w:val="10"/>
    <w:next w:val="1"/>
    <w:qFormat/>
    <w:uiPriority w:val="0"/>
    <w:pPr>
      <w:ind w:firstLine="624"/>
      <w:outlineLvl w:val="2"/>
    </w:pPr>
    <w:rPr>
      <w:spacing w:val="-4"/>
    </w:rPr>
  </w:style>
  <w:style w:type="paragraph" w:styleId="10">
    <w:name w:val="heading 4"/>
    <w:basedOn w:val="1"/>
    <w:next w:val="1"/>
    <w:qFormat/>
    <w:uiPriority w:val="0"/>
    <w:pPr>
      <w:outlineLvl w:val="3"/>
    </w:pPr>
  </w:style>
  <w:style w:type="character" w:default="1" w:styleId="18">
    <w:name w:val="Default Paragraph Font"/>
    <w:semiHidden/>
    <w:uiPriority w:val="0"/>
  </w:style>
  <w:style w:type="table" w:default="1" w:styleId="17">
    <w:name w:val="Normal Table"/>
    <w:semiHidden/>
    <w:uiPriority w:val="0"/>
    <w:tblPr>
      <w:tblStyle w:val="17"/>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ind w:firstLine="630"/>
    </w:pPr>
    <w:rPr>
      <w:rFonts w:ascii="仿宋_GB2312" w:eastAsia="仿宋_GB2312"/>
      <w:sz w:val="32"/>
    </w:rPr>
  </w:style>
  <w:style w:type="paragraph" w:styleId="4">
    <w:name w:val="Body Text First Indent"/>
    <w:basedOn w:val="5"/>
    <w:next w:val="1"/>
    <w:qFormat/>
    <w:uiPriority w:val="0"/>
    <w:pPr>
      <w:suppressLineNumbers/>
      <w:suppressAutoHyphens/>
      <w:topLinePunct/>
      <w:spacing w:after="0"/>
      <w:ind w:right="214" w:firstLine="420" w:firstLineChars="100"/>
      <w:contextualSpacing/>
    </w:pPr>
    <w:rPr>
      <w:szCs w:val="20"/>
    </w:rPr>
  </w:style>
  <w:style w:type="paragraph" w:styleId="5">
    <w:name w:val="Body Text"/>
    <w:basedOn w:val="1"/>
    <w:next w:val="6"/>
    <w:unhideWhenUsed/>
    <w:qFormat/>
    <w:uiPriority w:val="99"/>
    <w:pPr>
      <w:spacing w:after="120"/>
    </w:pPr>
  </w:style>
  <w:style w:type="paragraph" w:customStyle="1" w:styleId="6">
    <w:name w:val="列出段落1"/>
    <w:qFormat/>
    <w:uiPriority w:val="0"/>
    <w:pPr>
      <w:widowControl w:val="0"/>
      <w:ind w:firstLine="420"/>
      <w:jc w:val="both"/>
    </w:pPr>
    <w:rPr>
      <w:rFonts w:ascii="Times New Roman" w:hAnsi="Times New Roman" w:eastAsia="仿宋_GB2312" w:cs="Times New Roman"/>
      <w:kern w:val="2"/>
      <w:sz w:val="30"/>
      <w:szCs w:val="30"/>
      <w:lang w:val="en-US" w:eastAsia="zh-CN" w:bidi="ar-SA"/>
    </w:rPr>
  </w:style>
  <w:style w:type="paragraph" w:styleId="8">
    <w:name w:val="List Paragraph"/>
    <w:basedOn w:val="1"/>
    <w:qFormat/>
    <w:uiPriority w:val="34"/>
    <w:pPr>
      <w:ind w:firstLine="420" w:firstLineChars="200"/>
    </w:pPr>
    <w:rPr>
      <w:rFonts w:ascii="Calibri" w:hAnsi="Calibri" w:eastAsia="宋体"/>
      <w:szCs w:val="24"/>
    </w:rPr>
  </w:style>
  <w:style w:type="paragraph" w:styleId="11">
    <w:name w:val="annotation text"/>
    <w:basedOn w:val="1"/>
    <w:uiPriority w:val="0"/>
    <w:pPr>
      <w:jc w:val="left"/>
    </w:pPr>
  </w:style>
  <w:style w:type="paragraph" w:styleId="12">
    <w:name w:val="Date"/>
    <w:basedOn w:val="1"/>
    <w:next w:val="1"/>
    <w:qFormat/>
    <w:uiPriority w:val="0"/>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next w:val="5"/>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无间隔1"/>
    <w:qFormat/>
    <w:uiPriority w:val="0"/>
    <w:pPr>
      <w:widowControl w:val="0"/>
      <w:jc w:val="center"/>
    </w:pPr>
    <w:rPr>
      <w:rFonts w:ascii="Times New Roman" w:hAnsi="Times New Roman" w:eastAsia="仿宋" w:cs="Times New Roman"/>
      <w:kern w:val="2"/>
      <w:sz w:val="24"/>
      <w:szCs w:val="22"/>
      <w:lang w:val="en-US" w:eastAsia="zh-CN" w:bidi="ar-SA"/>
    </w:rPr>
  </w:style>
  <w:style w:type="paragraph" w:customStyle="1" w:styleId="20">
    <w:name w:val="BodyTextIndent"/>
    <w:basedOn w:val="1"/>
    <w:qFormat/>
    <w:uiPriority w:val="0"/>
    <w:pPr>
      <w:spacing w:after="120"/>
      <w:ind w:left="200" w:leftChars="200"/>
      <w:textAlignment w:val="baseline"/>
    </w:pPr>
  </w:style>
  <w:style w:type="paragraph" w:customStyle="1" w:styleId="21">
    <w:name w:val="正文文字"/>
    <w:basedOn w:val="1"/>
    <w:next w:val="1"/>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customStyle="1" w:styleId="22">
    <w:name w:val="BodyText1I2"/>
    <w:basedOn w:val="20"/>
    <w:qFormat/>
    <w:uiPriority w:val="0"/>
    <w:pPr>
      <w:ind w:firstLine="200" w:firstLineChars="200"/>
    </w:pPr>
  </w:style>
  <w:style w:type="paragraph" w:customStyle="1" w:styleId="23">
    <w:name w:val="一、正文一级小标题"/>
    <w:basedOn w:val="1"/>
    <w:next w:val="1"/>
    <w:qFormat/>
    <w:uiPriority w:val="0"/>
    <w:pPr>
      <w:adjustRightInd w:val="0"/>
      <w:snapToGrid w:val="0"/>
      <w:spacing w:line="579" w:lineRule="exact"/>
      <w:textAlignment w:val="baseline"/>
      <w:outlineLvl w:val="1"/>
    </w:pPr>
    <w:rPr>
      <w:rFonts w:ascii="黑体" w:eastAsia="黑体"/>
      <w:kern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3600</Words>
  <Characters>3912</Characters>
  <Lines>0</Lines>
  <Paragraphs>0</Paragraphs>
  <TotalTime>43</TotalTime>
  <ScaleCrop>false</ScaleCrop>
  <LinksUpToDate>false</LinksUpToDate>
  <CharactersWithSpaces>3915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2023-07-05T02:33:22Z</dcterms:created>
  <dc:creator>Administrator</dc:creator>
  <cp:lastModifiedBy>郭郭</cp:lastModifiedBy>
  <cp:lastPrinted>2024-08-27T03:19:56Z</cp:lastPrinted>
  <dcterms:modified xsi:type="dcterms:W3CDTF">2024-08-29T09:58:35Z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5B3E596E36E24DC39CDF1A8D32CDC849_13</vt:lpwstr>
  </property>
</Properties>
</file>