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4" w:lineRule="auto"/>
      </w:pPr>
    </w:p>
    <w:p>
      <w:pPr>
        <w:pStyle w:val="3"/>
        <w:spacing w:line="244" w:lineRule="auto"/>
      </w:pPr>
      <w:bookmarkStart w:id="0" w:name="_GoBack"/>
      <w:bookmarkEnd w:id="0"/>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攸县消防救援大队</w:t>
      </w: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202</w:t>
      </w:r>
      <w:r>
        <w:rPr>
          <w:rFonts w:hint="eastAsia" w:ascii="宋体" w:hAnsi="宋体" w:eastAsia="隶书" w:cs="宋体"/>
          <w:b/>
          <w:snapToGrid/>
          <w:kern w:val="0"/>
          <w:sz w:val="72"/>
          <w:szCs w:val="72"/>
          <w:lang w:val="en-US" w:eastAsia="zh-CN" w:bidi="zh-CN"/>
        </w:rPr>
        <w:t>3</w:t>
      </w:r>
      <w:r>
        <w:rPr>
          <w:rFonts w:hint="eastAsia" w:ascii="宋体" w:hAnsi="宋体" w:eastAsia="隶书" w:cs="宋体"/>
          <w:b/>
          <w:snapToGrid/>
          <w:kern w:val="0"/>
          <w:sz w:val="72"/>
          <w:szCs w:val="72"/>
          <w:lang w:val="zh-CN" w:eastAsia="zh-CN" w:bidi="zh-CN"/>
        </w:rPr>
        <w:t>年度经费决算</w:t>
      </w: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spacing w:before="113" w:line="224" w:lineRule="auto"/>
        <w:ind w:left="3169"/>
        <w:rPr>
          <w:rFonts w:ascii="隶书" w:hAnsi="隶书" w:eastAsia="隶书" w:cs="隶书"/>
          <w:sz w:val="35"/>
          <w:szCs w:val="35"/>
        </w:rPr>
      </w:pPr>
      <w:r>
        <w:rPr>
          <w:rFonts w:ascii="隶书" w:hAnsi="隶书" w:eastAsia="隶书" w:cs="隶书"/>
          <w:spacing w:val="9"/>
          <w:sz w:val="35"/>
          <w:szCs w:val="35"/>
          <w14:textOutline w14:w="6537" w14:cap="sq" w14:cmpd="sng">
            <w14:solidFill>
              <w14:srgbClr w14:val="000000"/>
            </w14:solidFill>
            <w14:prstDash w14:val="solid"/>
            <w14:bevel/>
          </w14:textOutline>
        </w:rPr>
        <w:t>二〇二</w:t>
      </w:r>
      <w:r>
        <w:rPr>
          <w:rFonts w:hint="eastAsia" w:ascii="隶书" w:hAnsi="隶书" w:eastAsia="隶书" w:cs="隶书"/>
          <w:spacing w:val="9"/>
          <w:sz w:val="35"/>
          <w:szCs w:val="35"/>
          <w:lang w:eastAsia="zh-CN"/>
          <w14:textOutline w14:w="6537" w14:cap="sq" w14:cmpd="sng">
            <w14:solidFill>
              <w14:srgbClr w14:val="000000"/>
            </w14:solidFill>
            <w14:prstDash w14:val="solid"/>
            <w14:bevel/>
          </w14:textOutline>
        </w:rPr>
        <w:t>四</w:t>
      </w:r>
      <w:r>
        <w:rPr>
          <w:rFonts w:ascii="隶书" w:hAnsi="隶书" w:eastAsia="隶书" w:cs="隶书"/>
          <w:spacing w:val="9"/>
          <w:sz w:val="35"/>
          <w:szCs w:val="35"/>
          <w14:textOutline w14:w="6537" w14:cap="sq" w14:cmpd="sng">
            <w14:solidFill>
              <w14:srgbClr w14:val="000000"/>
            </w14:solidFill>
            <w14:prstDash w14:val="solid"/>
            <w14:bevel/>
          </w14:textOutline>
        </w:rPr>
        <w:t>年</w:t>
      </w:r>
      <w:r>
        <w:rPr>
          <w:rFonts w:hint="eastAsia" w:ascii="隶书" w:hAnsi="隶书" w:eastAsia="隶书" w:cs="隶书"/>
          <w:spacing w:val="9"/>
          <w:sz w:val="35"/>
          <w:szCs w:val="35"/>
          <w:lang w:eastAsia="zh-CN"/>
          <w14:textOutline w14:w="6537" w14:cap="sq" w14:cmpd="sng">
            <w14:solidFill>
              <w14:srgbClr w14:val="000000"/>
            </w14:solidFill>
            <w14:prstDash w14:val="solid"/>
            <w14:bevel/>
          </w14:textOutline>
        </w:rPr>
        <w:t>八</w:t>
      </w:r>
      <w:r>
        <w:rPr>
          <w:rFonts w:ascii="隶书" w:hAnsi="隶书" w:eastAsia="隶书" w:cs="隶书"/>
          <w:spacing w:val="9"/>
          <w:sz w:val="35"/>
          <w:szCs w:val="35"/>
          <w14:textOutline w14:w="6537" w14:cap="sq" w14:cmpd="sng">
            <w14:solidFill>
              <w14:srgbClr w14:val="000000"/>
            </w14:solidFill>
            <w14:prstDash w14:val="solid"/>
            <w14:bevel/>
          </w14:textOutline>
        </w:rPr>
        <w:t>月</w:t>
      </w:r>
    </w:p>
    <w:p>
      <w:pPr>
        <w:spacing w:line="224" w:lineRule="auto"/>
        <w:rPr>
          <w:rFonts w:ascii="隶书" w:hAnsi="隶书" w:eastAsia="隶书" w:cs="隶书"/>
          <w:sz w:val="35"/>
          <w:szCs w:val="35"/>
        </w:rPr>
        <w:sectPr>
          <w:pgSz w:w="11906" w:h="16839"/>
          <w:pgMar w:top="1431" w:right="1785" w:bottom="0" w:left="1785" w:header="0" w:footer="0" w:gutter="0"/>
          <w:cols w:space="720" w:num="1"/>
        </w:sectPr>
      </w:pPr>
    </w:p>
    <w:p>
      <w:pPr>
        <w:spacing w:before="182" w:line="235" w:lineRule="auto"/>
        <w:ind w:left="3602"/>
        <w:rPr>
          <w:rFonts w:ascii="方正黑体_GBK" w:hAnsi="方正黑体_GBK" w:eastAsia="方正黑体_GBK" w:cs="方正黑体_GBK"/>
          <w:sz w:val="52"/>
          <w:szCs w:val="52"/>
        </w:rPr>
      </w:pP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目</w:t>
      </w:r>
      <w:r>
        <w:rPr>
          <w:rFonts w:ascii="方正黑体_GBK" w:hAnsi="方正黑体_GBK" w:eastAsia="方正黑体_GBK" w:cs="方正黑体_GBK"/>
          <w:spacing w:val="19"/>
          <w:sz w:val="52"/>
          <w:szCs w:val="52"/>
        </w:rPr>
        <w:t xml:space="preserve">     </w:t>
      </w: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录</w:t>
      </w:r>
    </w:p>
    <w:p>
      <w:pPr>
        <w:pStyle w:val="3"/>
        <w:spacing w:line="311" w:lineRule="auto"/>
      </w:pPr>
    </w:p>
    <w:p>
      <w:pPr>
        <w:pStyle w:val="3"/>
        <w:spacing w:line="311"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第一部分   攸县消防救援大队概况</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一、主要职责</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二、预算单位构成</w:t>
      </w:r>
    </w:p>
    <w:p>
      <w:pPr>
        <w:pStyle w:val="3"/>
        <w:spacing w:line="318" w:lineRule="auto"/>
        <w:rPr>
          <w:rFonts w:hint="default" w:eastAsia="宋体"/>
          <w:lang w:val="en-US" w:eastAsia="zh-CN"/>
        </w:r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第二部分   202</w:t>
      </w:r>
      <w:r>
        <w:rPr>
          <w:rFonts w:hint="eastAsia" w:ascii="方正黑体_GBK" w:hAnsi="方正黑体_GBK" w:eastAsia="方正黑体_GBK" w:cs="方正黑体_GBK"/>
          <w:snapToGrid/>
          <w:kern w:val="0"/>
          <w:sz w:val="36"/>
          <w:szCs w:val="22"/>
          <w:lang w:val="en-US" w:eastAsia="zh-CN" w:bidi="zh-CN"/>
        </w:rPr>
        <w:t>3</w:t>
      </w:r>
      <w:r>
        <w:rPr>
          <w:rFonts w:hint="eastAsia" w:ascii="方正黑体_GBK" w:hAnsi="方正黑体_GBK" w:eastAsia="方正黑体_GBK" w:cs="方正黑体_GBK"/>
          <w:snapToGrid/>
          <w:kern w:val="0"/>
          <w:sz w:val="36"/>
          <w:szCs w:val="22"/>
          <w:lang w:val="zh-CN" w:eastAsia="zh-CN" w:bidi="zh-CN"/>
        </w:rPr>
        <w:t>年度部门决算表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 xml:space="preserve">六、一般公共预算财政拨款基本支出决算明细表 </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七、政府性基金预算财政拨款收入支出决算表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八、国有资本经营预算财政拨款支出决算表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九、一般公共预算财政拨款“三公”经费支出决算表</w:t>
      </w:r>
    </w:p>
    <w:p>
      <w:pPr>
        <w:pStyle w:val="3"/>
        <w:spacing w:line="318" w:lineRule="auto"/>
      </w:pPr>
    </w:p>
    <w:p>
      <w:pPr>
        <w:pStyle w:val="3"/>
        <w:spacing w:line="318"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第三部分   202</w:t>
      </w:r>
      <w:r>
        <w:rPr>
          <w:rFonts w:hint="eastAsia" w:ascii="方正黑体_GBK" w:hAnsi="方正黑体_GBK" w:eastAsia="方正黑体_GBK" w:cs="方正黑体_GBK"/>
          <w:snapToGrid/>
          <w:kern w:val="0"/>
          <w:sz w:val="36"/>
          <w:szCs w:val="22"/>
          <w:lang w:val="en-US" w:eastAsia="zh-CN" w:bidi="zh-CN"/>
        </w:rPr>
        <w:t>3</w:t>
      </w:r>
      <w:r>
        <w:rPr>
          <w:rFonts w:hint="eastAsia" w:ascii="方正黑体_GBK" w:hAnsi="方正黑体_GBK" w:eastAsia="方正黑体_GBK" w:cs="方正黑体_GBK"/>
          <w:snapToGrid/>
          <w:kern w:val="0"/>
          <w:sz w:val="36"/>
          <w:szCs w:val="22"/>
          <w:lang w:val="zh-CN" w:eastAsia="zh-CN" w:bidi="zh-CN"/>
        </w:rPr>
        <w:t>年度经费决算情况说明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一、收入支出决算总体情况说明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四、财政拨款收入支出决算总体情况说明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六、一般公共预算财政拨款基本支出决算情况说明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七、一般公共预算财政拨款“三公”经费支出决算情况说明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八、机关运行经费支出说明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九、政府采购支出说明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十、国有资产占用情况说明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十一、预算绩效情况说明</w:t>
      </w:r>
    </w:p>
    <w:p>
      <w:pPr>
        <w:pStyle w:val="3"/>
        <w:spacing w:line="317" w:lineRule="auto"/>
      </w:pPr>
    </w:p>
    <w:p>
      <w:pPr>
        <w:pStyle w:val="3"/>
        <w:spacing w:line="318"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第四部分  名词解释</w:t>
      </w:r>
    </w:p>
    <w:p>
      <w:pPr>
        <w:spacing w:line="237" w:lineRule="auto"/>
        <w:rPr>
          <w:rFonts w:ascii="方正黑体_GBK" w:hAnsi="方正黑体_GBK" w:eastAsia="方正黑体_GBK" w:cs="方正黑体_GBK"/>
          <w:sz w:val="35"/>
          <w:szCs w:val="35"/>
        </w:rPr>
        <w:sectPr>
          <w:footerReference r:id="rId5" w:type="default"/>
          <w:pgSz w:w="11906" w:h="16839"/>
          <w:pgMar w:top="1431" w:right="1502" w:bottom="1157" w:left="1785" w:header="0" w:footer="992" w:gutter="0"/>
          <w:cols w:space="720" w:num="1"/>
        </w:sectPr>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spacing w:line="3078" w:lineRule="exact"/>
      </w:pPr>
      <w:r>
        <w:rPr>
          <w:position w:val="-61"/>
        </w:rPr>
        <w:pict>
          <v:group id="_x0000_s1026" o:spid="_x0000_s1026" o:spt="203" style="height:153.95pt;width:595.3pt;" coordsize="11905,3078">
            <o:lock v:ext="edit"/>
            <v:shape id="_x0000_s1027" o:spid="_x0000_s1027" o:spt="75" type="#_x0000_t75" style="position:absolute;left:0;top:0;height:3078;width:11905;" filled="f" stroked="f" coordsize="21600,21600">
              <v:path/>
              <v:fill on="f" focussize="0,0"/>
              <v:stroke on="f"/>
              <v:imagedata r:id="rId15" o:title=""/>
              <o:lock v:ext="edit" aspectratio="t"/>
            </v:shape>
            <v:rect id="_x0000_s1028" o:spid="_x0000_s1028" o:spt="1" style="position:absolute;left:0;top:20;height:3038;width:11905;" fillcolor="#95B3D7" filled="t" stroked="f" coordsize="21600,21600">
              <v:path/>
              <v:fill on="t" focussize="0,0"/>
              <v:stroke on="f"/>
              <v:imagedata o:title=""/>
              <o:lock v:ext="edit"/>
            </v:rect>
            <v:shape id="_x0000_s1029" o:spid="_x0000_s1029" o:spt="202" type="#_x0000_t202" style="position:absolute;left:1410;top:1230;height:625;width:9145;" filled="f" stroked="f" coordsize="21600,21600">
              <v:path/>
              <v:fill on="f" focussize="0,0"/>
              <v:stroke on="f"/>
              <v:imagedata o:title=""/>
              <o:lock v:ext="edit" aspectratio="f"/>
              <v:textbox inset="0mm,0mm,0mm,0mm">
                <w:txbxContent>
                  <w:p>
                    <w:pPr>
                      <w:spacing w:before="20" w:line="231" w:lineRule="auto"/>
                      <w:ind w:left="20"/>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第一部分</w:t>
                    </w:r>
                    <w:r>
                      <w:rPr>
                        <w:rFonts w:ascii="方正黑体_GBK" w:hAnsi="方正黑体_GBK" w:eastAsia="方正黑体_GBK" w:cs="方正黑体_GBK"/>
                        <w:spacing w:val="137"/>
                        <w:sz w:val="52"/>
                        <w:szCs w:val="52"/>
                      </w:rPr>
                      <w:t xml:space="preserve"> </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攸县消防救援大队</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概况</w:t>
                    </w:r>
                  </w:p>
                </w:txbxContent>
              </v:textbox>
            </v:shape>
            <w10:wrap type="none"/>
            <w10:anchorlock/>
          </v:group>
        </w:pict>
      </w:r>
    </w:p>
    <w:p>
      <w:pPr>
        <w:spacing w:line="3078" w:lineRule="exact"/>
        <w:sectPr>
          <w:footerReference r:id="rId6" w:type="default"/>
          <w:pgSz w:w="11906" w:h="16839"/>
          <w:pgMar w:top="1431" w:right="0" w:bottom="1156" w:left="0" w:header="0" w:footer="992" w:gutter="0"/>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一、主要职责</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国家综合性消防救援队伍承担防范化解重大安全风险、应对处置各类灾害事故的重要职责，是应急救援的主力军和国家队。攸县消防救援大队在株洲市消防救援支队和攸县人民政府的领导下，依据有关法律法规履行下列职责：</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1.</w:t>
      </w:r>
      <w:r>
        <w:rPr>
          <w:rFonts w:hint="eastAsia" w:ascii="方正仿宋_GBK" w:hAnsi="方正仿宋_GBK" w:eastAsia="方正仿宋_GBK" w:cs="方正仿宋_GBK"/>
          <w:snapToGrid/>
          <w:kern w:val="0"/>
          <w:sz w:val="32"/>
          <w:szCs w:val="32"/>
          <w:lang w:val="zh-CN" w:eastAsia="zh-CN" w:bidi="zh-CN"/>
        </w:rPr>
        <w:t>承担城乡综合性消防救援工作，负责指挥调度相关灾害事故救援行动，承担重要会议、大型活动消防安全保卫工作。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2.</w:t>
      </w:r>
      <w:r>
        <w:rPr>
          <w:rFonts w:hint="eastAsia" w:ascii="方正仿宋_GBK" w:hAnsi="方正仿宋_GBK" w:eastAsia="方正仿宋_GBK" w:cs="方正仿宋_GBK"/>
          <w:snapToGrid/>
          <w:kern w:val="0"/>
          <w:sz w:val="32"/>
          <w:szCs w:val="32"/>
          <w:lang w:val="zh-CN" w:eastAsia="zh-CN" w:bidi="zh-CN"/>
        </w:rPr>
        <w:t>承担火灾预防、消防监督执法以及火灾事故调查处理相关工作，依法行使消防安全综合监管职能，推动落实消防安全责任制。</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3.</w:t>
      </w:r>
      <w:r>
        <w:rPr>
          <w:rFonts w:hint="eastAsia" w:ascii="方正仿宋_GBK" w:hAnsi="方正仿宋_GBK" w:eastAsia="方正仿宋_GBK" w:cs="方正仿宋_GBK"/>
          <w:snapToGrid/>
          <w:kern w:val="0"/>
          <w:sz w:val="32"/>
          <w:szCs w:val="32"/>
          <w:lang w:val="zh-CN" w:eastAsia="zh-CN" w:bidi="zh-CN"/>
        </w:rPr>
        <w:t>参与拟订消防专项规划，参与起草地方性消防法规、规章草案并监督实施。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4.</w:t>
      </w:r>
      <w:r>
        <w:rPr>
          <w:rFonts w:hint="eastAsia" w:ascii="方正仿宋_GBK" w:hAnsi="方正仿宋_GBK" w:eastAsia="方正仿宋_GBK" w:cs="方正仿宋_GBK"/>
          <w:snapToGrid/>
          <w:kern w:val="0"/>
          <w:sz w:val="32"/>
          <w:szCs w:val="32"/>
          <w:lang w:val="zh-CN" w:eastAsia="zh-CN" w:bidi="zh-CN"/>
        </w:rPr>
        <w:t>负责消防救援队伍综合性消防救援预案编制、战术研究和执勤备战、训练演练等工作。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5.</w:t>
      </w:r>
      <w:r>
        <w:rPr>
          <w:rFonts w:hint="eastAsia" w:ascii="方正仿宋_GBK" w:hAnsi="方正仿宋_GBK" w:eastAsia="方正仿宋_GBK" w:cs="方正仿宋_GBK"/>
          <w:snapToGrid/>
          <w:kern w:val="0"/>
          <w:sz w:val="32"/>
          <w:szCs w:val="32"/>
          <w:lang w:val="zh-CN" w:eastAsia="zh-CN" w:bidi="zh-CN"/>
        </w:rPr>
        <w:t>负责消防救援信息化和应急通信建设，承担综合性消防救援行动应急通信保障工作。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6.</w:t>
      </w:r>
      <w:r>
        <w:rPr>
          <w:rFonts w:hint="eastAsia" w:ascii="方正仿宋_GBK" w:hAnsi="方正仿宋_GBK" w:eastAsia="方正仿宋_GBK" w:cs="方正仿宋_GBK"/>
          <w:snapToGrid/>
          <w:kern w:val="0"/>
          <w:sz w:val="32"/>
          <w:szCs w:val="32"/>
          <w:lang w:val="zh-CN" w:eastAsia="zh-CN" w:bidi="zh-CN"/>
        </w:rPr>
        <w:t>负责消防安全宣传教育，组织指导社会消防力量建设。</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7.</w:t>
      </w:r>
      <w:r>
        <w:rPr>
          <w:rFonts w:hint="eastAsia" w:ascii="方正仿宋_GBK" w:hAnsi="方正仿宋_GBK" w:eastAsia="方正仿宋_GBK" w:cs="方正仿宋_GBK"/>
          <w:snapToGrid/>
          <w:kern w:val="0"/>
          <w:sz w:val="32"/>
          <w:szCs w:val="32"/>
          <w:lang w:val="zh-CN" w:eastAsia="zh-CN" w:bidi="zh-CN"/>
        </w:rPr>
        <w:t>负责消防应急救援专业队伍规划、建设与调度指挥，参与组织协调动员各类社会救援力量参加救援任务。</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8.</w:t>
      </w:r>
      <w:r>
        <w:rPr>
          <w:rFonts w:hint="eastAsia" w:ascii="方正仿宋_GBK" w:hAnsi="方正仿宋_GBK" w:eastAsia="方正仿宋_GBK" w:cs="方正仿宋_GBK"/>
          <w:snapToGrid/>
          <w:kern w:val="0"/>
          <w:sz w:val="32"/>
          <w:szCs w:val="32"/>
          <w:lang w:val="zh-CN" w:eastAsia="zh-CN" w:bidi="zh-CN"/>
        </w:rPr>
        <w:t>负责消防救援队伍建设与管理。</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9.</w:t>
      </w:r>
      <w:r>
        <w:rPr>
          <w:rFonts w:hint="eastAsia" w:ascii="方正仿宋_GBK" w:hAnsi="方正仿宋_GBK" w:eastAsia="方正仿宋_GBK" w:cs="方正仿宋_GBK"/>
          <w:snapToGrid/>
          <w:kern w:val="0"/>
          <w:sz w:val="32"/>
          <w:szCs w:val="32"/>
          <w:lang w:val="zh-CN" w:eastAsia="zh-CN" w:bidi="zh-CN"/>
        </w:rPr>
        <w:t>完成株洲市消防救援支队和县委县政府交办的相关任务。</w:t>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二、预算单位构成</w:t>
      </w:r>
    </w:p>
    <w:p>
      <w:pPr>
        <w:keepNext w:val="0"/>
        <w:keepLines w:val="0"/>
        <w:pageBreakBefore w:val="0"/>
        <w:widowControl/>
        <w:kinsoku w:val="0"/>
        <w:wordWrap/>
        <w:overflowPunct/>
        <w:topLinePunct w:val="0"/>
        <w:autoSpaceDE w:val="0"/>
        <w:autoSpaceDN w:val="0"/>
        <w:bidi w:val="0"/>
        <w:adjustRightInd w:val="0"/>
        <w:snapToGrid w:val="0"/>
        <w:spacing w:before="38" w:line="360" w:lineRule="auto"/>
        <w:ind w:firstLine="672" w:firstLineChars="200"/>
        <w:jc w:val="both"/>
        <w:textAlignment w:val="baseline"/>
        <w:rPr>
          <w:rFonts w:hint="eastAsia" w:ascii="方正仿宋_GBK" w:hAnsi="方正仿宋_GBK" w:eastAsia="方正仿宋_GBK" w:cs="方正仿宋_GBK"/>
          <w:snapToGrid/>
          <w:color w:val="000000"/>
          <w:kern w:val="0"/>
          <w:sz w:val="32"/>
          <w:szCs w:val="32"/>
          <w:lang w:val="en-US" w:eastAsia="zh-CN" w:bidi="zh-CN"/>
        </w:rPr>
      </w:pPr>
      <w:r>
        <w:rPr>
          <w:rFonts w:hint="eastAsia" w:ascii="方正仿宋_GBK" w:hAnsi="方正仿宋_GBK" w:eastAsia="方正仿宋_GBK" w:cs="方正仿宋_GBK"/>
          <w:spacing w:val="8"/>
          <w:sz w:val="32"/>
          <w:szCs w:val="32"/>
        </w:rPr>
        <w:t>攸县消防救援大队为四级预算单位</w:t>
      </w:r>
      <w:r>
        <w:rPr>
          <w:rFonts w:hint="eastAsia" w:ascii="方正仿宋_GBK" w:hAnsi="方正仿宋_GBK" w:eastAsia="方正仿宋_GBK" w:cs="方正仿宋_GBK"/>
          <w:spacing w:val="8"/>
          <w:sz w:val="32"/>
          <w:szCs w:val="32"/>
          <w:lang w:eastAsia="zh-CN"/>
        </w:rPr>
        <w:t>，</w:t>
      </w:r>
      <w:r>
        <w:rPr>
          <w:rFonts w:hint="eastAsia" w:ascii="方正仿宋_GBK" w:hAnsi="方正仿宋_GBK" w:eastAsia="方正仿宋_GBK" w:cs="方正仿宋_GBK"/>
          <w:spacing w:val="8"/>
          <w:sz w:val="32"/>
          <w:szCs w:val="32"/>
        </w:rPr>
        <w:t>辖大队1个、建制消防站1 个</w:t>
      </w:r>
      <w:r>
        <w:rPr>
          <w:rFonts w:hint="eastAsia" w:ascii="方正仿宋_GBK" w:hAnsi="方正仿宋_GBK" w:eastAsia="方正仿宋_GBK" w:cs="方正仿宋_GBK"/>
          <w:spacing w:val="8"/>
          <w:sz w:val="32"/>
          <w:szCs w:val="32"/>
          <w:lang w:eastAsia="zh-CN"/>
        </w:rPr>
        <w:t>，新增搜救犬分队</w:t>
      </w:r>
      <w:r>
        <w:rPr>
          <w:rFonts w:hint="eastAsia" w:ascii="方正仿宋_GBK" w:hAnsi="方正仿宋_GBK" w:eastAsia="方正仿宋_GBK" w:cs="方正仿宋_GBK"/>
          <w:spacing w:val="8"/>
          <w:sz w:val="32"/>
          <w:szCs w:val="32"/>
          <w:lang w:val="en-US" w:eastAsia="zh-CN"/>
        </w:rPr>
        <w:t>1个。</w:t>
      </w:r>
    </w:p>
    <w:p>
      <w:pPr>
        <w:sectPr>
          <w:footerReference r:id="rId7" w:type="default"/>
          <w:pgSz w:w="11906" w:h="16839"/>
          <w:pgMar w:top="1431" w:right="1241" w:bottom="1157" w:left="1778" w:header="0" w:footer="992" w:gutter="0"/>
          <w:cols w:space="720" w:num="1"/>
        </w:sectPr>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3131" w:lineRule="exact"/>
        <w:sectPr>
          <w:footerReference r:id="rId8" w:type="default"/>
          <w:pgSz w:w="11906" w:h="16839"/>
          <w:pgMar w:top="1431" w:right="0" w:bottom="1155" w:left="0" w:header="0" w:footer="992" w:gutter="0"/>
          <w:cols w:space="720" w:num="1"/>
        </w:sectPr>
      </w:pPr>
      <w:r>
        <w:rPr>
          <w:position w:val="-62"/>
        </w:rPr>
        <w:pict>
          <v:shape id="_x0000_s1030" o:spid="_x0000_s1030" o:spt="202" type="#_x0000_t202" style="height:156.55pt;width:595.3pt;" fillcolor="#95B3D7" filled="t" stroked="f" coordsize="21600,21600">
            <v:path/>
            <v:fill on="t" focussize="0,0"/>
            <v:stroke on="f"/>
            <v:imagedata o:title=""/>
            <o:lock v:ext="edit" aspectratio="f"/>
            <v:textbox inset="0mm,0mm,0mm,0mm">
              <w:txbxContent>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90" w:line="231" w:lineRule="auto"/>
                    <w:ind w:left="1725"/>
                    <w:rPr>
                      <w:rFonts w:ascii="方正黑体_GBK" w:hAnsi="方正黑体_GBK" w:eastAsia="方正黑体_GBK" w:cs="方正黑体_GBK"/>
                      <w:sz w:val="52"/>
                      <w:szCs w:val="52"/>
                    </w:rPr>
                  </w:pP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第二部分</w:t>
                  </w:r>
                  <w:r>
                    <w:rPr>
                      <w:rFonts w:ascii="方正黑体_GBK" w:hAnsi="方正黑体_GBK" w:eastAsia="方正黑体_GBK" w:cs="方正黑体_GBK"/>
                      <w:sz w:val="52"/>
                      <w:szCs w:val="52"/>
                    </w:rPr>
                    <w:t xml:space="preserve">       </w:t>
                  </w:r>
                  <w:r>
                    <w:rPr>
                      <w:rFonts w:ascii="Times New Roman" w:hAnsi="Times New Roman" w:eastAsia="Times New Roman" w:cs="Times New Roman"/>
                      <w:b/>
                      <w:bCs/>
                      <w:sz w:val="52"/>
                      <w:szCs w:val="52"/>
                    </w:rPr>
                    <w:t>202</w:t>
                  </w:r>
                  <w:r>
                    <w:rPr>
                      <w:rFonts w:hint="eastAsia" w:ascii="Times New Roman" w:hAnsi="Times New Roman" w:eastAsia="宋体" w:cs="Times New Roman"/>
                      <w:b/>
                      <w:bCs/>
                      <w:sz w:val="52"/>
                      <w:szCs w:val="52"/>
                      <w:lang w:val="en-US" w:eastAsia="zh-CN"/>
                    </w:rPr>
                    <w:t>3</w:t>
                  </w:r>
                  <w:r>
                    <w:rPr>
                      <w:rFonts w:ascii="Times New Roman" w:hAnsi="Times New Roman" w:eastAsia="Times New Roman" w:cs="Times New Roman"/>
                      <w:b/>
                      <w:bCs/>
                      <w:spacing w:val="32"/>
                      <w:sz w:val="52"/>
                      <w:szCs w:val="52"/>
                    </w:rPr>
                    <w:t xml:space="preserve"> </w:t>
                  </w: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决算表</w:t>
                  </w:r>
                </w:p>
              </w:txbxContent>
            </v:textbox>
            <w10:wrap type="none"/>
            <w10:anchorlock/>
          </v:shape>
        </w:pict>
      </w:r>
    </w:p>
    <w:tbl>
      <w:tblPr>
        <w:tblStyle w:val="4"/>
        <w:tblW w:w="9060"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684"/>
        <w:gridCol w:w="1439"/>
        <w:gridCol w:w="2527"/>
        <w:gridCol w:w="478"/>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6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4"/>
                <w:szCs w:val="2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2416"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684"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3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527"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7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5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24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部门：攸县消防救援大队</w:t>
            </w:r>
          </w:p>
        </w:tc>
        <w:tc>
          <w:tcPr>
            <w:tcW w:w="684"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3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527"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7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5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453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收入</w:t>
            </w:r>
          </w:p>
        </w:tc>
        <w:tc>
          <w:tcPr>
            <w:tcW w:w="4521" w:type="dxa"/>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行次</w:t>
            </w:r>
          </w:p>
        </w:tc>
        <w:tc>
          <w:tcPr>
            <w:tcW w:w="143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行次</w:t>
            </w:r>
          </w:p>
        </w:tc>
        <w:tc>
          <w:tcPr>
            <w:tcW w:w="1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栏次</w:t>
            </w:r>
          </w:p>
        </w:tc>
        <w:tc>
          <w:tcPr>
            <w:tcW w:w="684"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8"/>
                <w:szCs w:val="18"/>
                <w:u w:val="none"/>
              </w:rPr>
            </w:pPr>
          </w:p>
        </w:tc>
        <w:tc>
          <w:tcPr>
            <w:tcW w:w="143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栏次</w:t>
            </w:r>
          </w:p>
        </w:tc>
        <w:tc>
          <w:tcPr>
            <w:tcW w:w="478"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8"/>
                <w:szCs w:val="18"/>
                <w:u w:val="none"/>
              </w:rPr>
            </w:pPr>
          </w:p>
        </w:tc>
        <w:tc>
          <w:tcPr>
            <w:tcW w:w="1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一、一般公共预算财政拨款收入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63.71</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一、一般公共服务支出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二、政府性基金预算财政拨款收入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二、外交支出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三、国有资本经营预算财政拨款收入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三、国防支出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四、上级补助收入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四、公共安全支出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五、事业收入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五、教育支出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六、经营收入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六、科学技术支出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37</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七、附属单位上缴收入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七、文化旅游体育与传媒支出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八、其他收入</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928.54</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八、社会保障和就业支出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九、卫生健康支出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十、节能环保支出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41</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十一、城乡社区支出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十二、农林水支出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43</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十三、交通运输支出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十四、资源勘探工业信息等支出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十五、商业服务业等支出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十六、金融支出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十七、援助其他地区支出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十八、自然资源海洋气象等支出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49</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十九、住房保障支出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二十、粮油物资储备支出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51</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二十一、国有资本经营预算支出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二十二、灾害防治及应急管理支出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844.06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二十三、其他支出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二十四、债务还本支出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55</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二十五、债务付息支出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56</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二十六、抗疫特别国债安排的支出</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本年收入合计</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992.25</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本年支出合计</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58</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845.13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使用非财政拨款结余</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结余分配</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59</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年初结转和结余</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99.48</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年末结转和结余</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4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27"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61</w:t>
            </w:r>
          </w:p>
        </w:tc>
        <w:tc>
          <w:tcPr>
            <w:tcW w:w="151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1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68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14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1091.73</w:t>
            </w:r>
          </w:p>
        </w:tc>
        <w:tc>
          <w:tcPr>
            <w:tcW w:w="252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4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w:t>
            </w:r>
          </w:p>
        </w:tc>
        <w:tc>
          <w:tcPr>
            <w:tcW w:w="1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1091.73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906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注：1.本表反映部门本年度的总收支和年末结转结余情况。</w:t>
            </w:r>
          </w:p>
        </w:tc>
      </w:tr>
    </w:tbl>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4"/>
        <w:tblW w:w="9099" w:type="dxa"/>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222"/>
        <w:gridCol w:w="222"/>
        <w:gridCol w:w="1337"/>
        <w:gridCol w:w="1156"/>
        <w:gridCol w:w="927"/>
        <w:gridCol w:w="821"/>
        <w:gridCol w:w="707"/>
        <w:gridCol w:w="717"/>
        <w:gridCol w:w="726"/>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099"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snapToGrid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117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11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5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15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92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w:t>
            </w:r>
          </w:p>
        </w:tc>
        <w:tc>
          <w:tcPr>
            <w:tcW w:w="82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上级补助收入</w:t>
            </w:r>
          </w:p>
        </w:tc>
        <w:tc>
          <w:tcPr>
            <w:tcW w:w="70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事业收入</w:t>
            </w:r>
          </w:p>
        </w:tc>
        <w:tc>
          <w:tcPr>
            <w:tcW w:w="71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经营收入</w:t>
            </w:r>
          </w:p>
        </w:tc>
        <w:tc>
          <w:tcPr>
            <w:tcW w:w="72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附属单位上缴收入</w:t>
            </w:r>
          </w:p>
        </w:tc>
        <w:tc>
          <w:tcPr>
            <w:tcW w:w="108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33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1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2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2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2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37"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2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2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2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37"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5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2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2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5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1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2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2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0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1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2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08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5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992.25</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63.71</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928.54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2101199</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其他行政事业单位医疗支出</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灾害防治及应急管理支出</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991.18</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62.64</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928.54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消防救援事务</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991.18</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62.64</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2240201</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行政运行</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899.19</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882.19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2240204</w:t>
            </w:r>
          </w:p>
        </w:tc>
        <w:tc>
          <w:tcPr>
            <w:tcW w:w="1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消防应急救援</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91.99</w:t>
            </w:r>
          </w:p>
        </w:tc>
        <w:tc>
          <w:tcPr>
            <w:tcW w:w="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45.64</w:t>
            </w:r>
          </w:p>
        </w:tc>
        <w:tc>
          <w:tcPr>
            <w:tcW w:w="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0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099"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注：本表反映部门本年度取得的各项收入情况。</w:t>
            </w:r>
          </w:p>
        </w:tc>
      </w:tr>
    </w:tbl>
    <w:p>
      <w:pPr>
        <w:pStyle w:val="2"/>
        <w:ind w:left="0" w:leftChars="0" w:firstLine="0" w:firstLineChars="0"/>
      </w:pPr>
    </w:p>
    <w:p>
      <w:pPr>
        <w:pStyle w:val="2"/>
        <w:ind w:left="0" w:leftChars="0" w:firstLine="0" w:firstLineChars="0"/>
      </w:pPr>
    </w:p>
    <w:p>
      <w:pPr>
        <w:pStyle w:val="2"/>
        <w:ind w:left="0" w:leftChars="0" w:firstLine="0" w:firstLineChars="0"/>
        <w:sectPr>
          <w:footerReference r:id="rId9" w:type="default"/>
          <w:pgSz w:w="11906" w:h="16839"/>
          <w:pgMar w:top="1431" w:right="1302" w:bottom="1157" w:left="1785" w:header="0" w:footer="992" w:gutter="0"/>
          <w:cols w:space="720" w:num="1"/>
        </w:sectPr>
      </w:pPr>
    </w:p>
    <w:tbl>
      <w:tblPr>
        <w:tblStyle w:val="4"/>
        <w:tblW w:w="9344"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221"/>
        <w:gridCol w:w="222"/>
        <w:gridCol w:w="1521"/>
        <w:gridCol w:w="1408"/>
        <w:gridCol w:w="1408"/>
        <w:gridCol w:w="915"/>
        <w:gridCol w:w="879"/>
        <w:gridCol w:w="563"/>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9344"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snapToGrid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36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36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22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32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40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140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91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87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上缴上级支出</w:t>
            </w:r>
          </w:p>
        </w:tc>
        <w:tc>
          <w:tcPr>
            <w:tcW w:w="56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经营支出</w:t>
            </w:r>
          </w:p>
        </w:tc>
        <w:tc>
          <w:tcPr>
            <w:tcW w:w="84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0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521"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40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0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21"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0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21"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32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4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7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6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4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32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845.13</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752.20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92.93</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2101199</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其他行政事业单位医疗支出</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灾害防治及应急管理支出</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844.06</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751.13</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92.93</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消防救援事务</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844.06</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751.13</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92.93</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2240201</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行政运行</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751.13</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751.13</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8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2240204</w:t>
            </w:r>
          </w:p>
        </w:tc>
        <w:tc>
          <w:tcPr>
            <w:tcW w:w="15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消防应急救援</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92.93</w:t>
            </w:r>
          </w:p>
        </w:tc>
        <w:tc>
          <w:tcPr>
            <w:tcW w:w="14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92.93</w:t>
            </w:r>
          </w:p>
        </w:tc>
        <w:tc>
          <w:tcPr>
            <w:tcW w:w="8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344"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注：本表反映部门本年度各项支出情况。</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4"/>
        <w:tblpPr w:leftFromText="180" w:rightFromText="180" w:vertAnchor="text" w:horzAnchor="page" w:tblpX="1748" w:tblpY="2403"/>
        <w:tblOverlap w:val="never"/>
        <w:tblW w:w="8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450"/>
        <w:gridCol w:w="919"/>
        <w:gridCol w:w="1425"/>
        <w:gridCol w:w="431"/>
        <w:gridCol w:w="1163"/>
        <w:gridCol w:w="1106"/>
        <w:gridCol w:w="863"/>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942"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4"/>
                <w:szCs w:val="2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45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91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1"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16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10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86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13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部门：攸县消防救援大队</w:t>
            </w:r>
          </w:p>
        </w:tc>
        <w:tc>
          <w:tcPr>
            <w:tcW w:w="45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91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1"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16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10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86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13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2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收     入</w:t>
            </w:r>
          </w:p>
        </w:tc>
        <w:tc>
          <w:tcPr>
            <w:tcW w:w="6118"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5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w:t>
            </w:r>
          </w:p>
        </w:tc>
        <w:tc>
          <w:tcPr>
            <w:tcW w:w="4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行次</w:t>
            </w:r>
          </w:p>
        </w:tc>
        <w:tc>
          <w:tcPr>
            <w:tcW w:w="9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w:t>
            </w:r>
          </w:p>
        </w:tc>
        <w:tc>
          <w:tcPr>
            <w:tcW w:w="14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w:t>
            </w:r>
          </w:p>
        </w:tc>
        <w:tc>
          <w:tcPr>
            <w:tcW w:w="43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行次</w:t>
            </w:r>
          </w:p>
        </w:tc>
        <w:tc>
          <w:tcPr>
            <w:tcW w:w="1163"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10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一般公共预算财政拨款</w:t>
            </w:r>
          </w:p>
        </w:tc>
        <w:tc>
          <w:tcPr>
            <w:tcW w:w="86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政府性基金预算财政拨款</w:t>
            </w:r>
          </w:p>
        </w:tc>
        <w:tc>
          <w:tcPr>
            <w:tcW w:w="11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5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4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91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142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4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1163"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8"/>
                <w:szCs w:val="18"/>
                <w:u w:val="none"/>
              </w:rPr>
            </w:pPr>
          </w:p>
        </w:tc>
        <w:tc>
          <w:tcPr>
            <w:tcW w:w="110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86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c>
          <w:tcPr>
            <w:tcW w:w="11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栏次</w:t>
            </w:r>
          </w:p>
        </w:tc>
        <w:tc>
          <w:tcPr>
            <w:tcW w:w="450"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8"/>
                <w:szCs w:val="18"/>
                <w:u w:val="none"/>
              </w:rPr>
            </w:pPr>
          </w:p>
        </w:tc>
        <w:tc>
          <w:tcPr>
            <w:tcW w:w="9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栏次</w:t>
            </w:r>
          </w:p>
        </w:tc>
        <w:tc>
          <w:tcPr>
            <w:tcW w:w="431"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8"/>
                <w:szCs w:val="18"/>
                <w:u w:val="none"/>
              </w:rPr>
            </w:pPr>
          </w:p>
        </w:tc>
        <w:tc>
          <w:tcPr>
            <w:tcW w:w="116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0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86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一、一般公共预算财政拨款</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63.71</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一、一般公共服务支出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二、政府性基金预算财政拨款</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二、外交支出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三、国有资本经营预算财政拨款</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三、国防支出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四、公共安全支出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五、教育支出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37</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六、科学技术支出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七、文化旅游体育与传媒支出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八、社会保障和就业支出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九、卫生健康支出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41</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1.07</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1.07</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十、节能环保支出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十一、城乡社区支出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43</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十二、农林水支出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十三、交通运输支出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十四、资源勘探工业信息等支出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十五、商业服务业等支出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十六、金融支出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十七、援助其他地区支出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49</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十八、自然资源海洋气象等支出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十九、住房保障支出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51</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二十、粮油物资储备支出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二十一、国有资本经营预算支出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二十二、灾害防治及应急管理支出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63.58</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63.58</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二十三、其他支出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55</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二十四、债务还本支出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56</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二十五、债务付息支出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9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二十六、抗疫特别国债安排的支出</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58</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本年收入合计</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63.71</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本年支出合计</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59</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64.65</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64.65</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年初财政拨款结转和结余</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4.27</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年末财政拨款结转和结余</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3.33</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3.33</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一般公共预算财政拨款</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4.27</w:t>
            </w:r>
          </w:p>
        </w:tc>
        <w:tc>
          <w:tcPr>
            <w:tcW w:w="142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61</w:t>
            </w:r>
          </w:p>
        </w:tc>
        <w:tc>
          <w:tcPr>
            <w:tcW w:w="116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0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6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政府性基金预算财政拨款</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42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w:t>
            </w:r>
          </w:p>
        </w:tc>
        <w:tc>
          <w:tcPr>
            <w:tcW w:w="116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0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6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国有资本经营预算财政拨款</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42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8"/>
                <w:szCs w:val="18"/>
                <w:u w:val="none"/>
              </w:rPr>
            </w:pP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w:t>
            </w:r>
          </w:p>
        </w:tc>
        <w:tc>
          <w:tcPr>
            <w:tcW w:w="116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0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6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4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9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67.98</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64</w:t>
            </w:r>
          </w:p>
        </w:tc>
        <w:tc>
          <w:tcPr>
            <w:tcW w:w="11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67.98</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67.98</w:t>
            </w:r>
          </w:p>
        </w:tc>
        <w:tc>
          <w:tcPr>
            <w:tcW w:w="8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1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113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r>
    </w:tbl>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tbl>
      <w:tblPr>
        <w:tblStyle w:val="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7"/>
        <w:gridCol w:w="236"/>
        <w:gridCol w:w="236"/>
        <w:gridCol w:w="1728"/>
        <w:gridCol w:w="1786"/>
        <w:gridCol w:w="1587"/>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00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snapToGrid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215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7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215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2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7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4643"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72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78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158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12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28"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8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28"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8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7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5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64.65</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18.07</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46.58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2101199</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其他行政事业单位医疗支出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灾害防治及应急管理支出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63.58</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消防救援事务</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63.58</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2240201</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行政运行</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2240204</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消防应急救援</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46.58</w:t>
            </w:r>
          </w:p>
        </w:tc>
        <w:tc>
          <w:tcPr>
            <w:tcW w:w="15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2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注：本表反映部门本年度一般公共预算财政拨款支出情况。</w:t>
            </w:r>
          </w:p>
        </w:tc>
      </w:tr>
    </w:tbl>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ind w:left="0" w:leftChars="0" w:firstLine="0" w:firstLineChars="0"/>
      </w:pPr>
    </w:p>
    <w:p>
      <w:pPr>
        <w:pStyle w:val="2"/>
      </w:pPr>
    </w:p>
    <w:tbl>
      <w:tblPr>
        <w:tblStyle w:val="4"/>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219"/>
        <w:gridCol w:w="938"/>
        <w:gridCol w:w="862"/>
        <w:gridCol w:w="1219"/>
        <w:gridCol w:w="1451"/>
        <w:gridCol w:w="611"/>
        <w:gridCol w:w="1369"/>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48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snapToGrid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81"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21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1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7081" w:type="dxa"/>
            <w:gridSpan w:val="7"/>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2399"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93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w:t>
            </w:r>
          </w:p>
        </w:tc>
        <w:tc>
          <w:tcPr>
            <w:tcW w:w="6542"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1"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2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93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86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2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45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61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36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0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1"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5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1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6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工资福利支出</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商品和服务支出</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债务利息及费用支出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基本工资</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30701</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国内债务付息</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30102</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津贴补贴</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30202</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印刷费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30702</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国外债务付息</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30103</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奖金</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30203</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咨询费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资本性支出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30106</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伙食补助费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30204</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手续费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31001</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房屋建筑物购建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30107</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绩效工资</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30205</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水费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31002</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办公设备购置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30108</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机关事业单位基本养老保险缴费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30206</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电费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4.80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31003</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专用设备购置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职业年金缴费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30207</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邮电费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31005</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基础设施建设</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30110</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职工基本医疗保险缴费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30208</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取暖费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31006</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大型修缮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公务员医疗补助缴费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物业管理费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31007</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信息网络及软件购置更新</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30112</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其他社会保障缴费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差旅费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31008</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物资储备</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30113</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住房公积金</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30212</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因公出国（境）费用</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31009</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土地补偿</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30114</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30213</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维修（护）费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31010</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安置补助</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30199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其他工资福利支出</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30214</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租赁费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31011</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地上附着物和青苗补偿</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对个人和家庭的补助</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30215</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会议费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31012</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拆迁补偿</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离休费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30216</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培训费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31013</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公务用车购置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30302</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退休费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30217</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公务接待费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31019</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其他交通工具购置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30303</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退职（役）费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30218</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专用材料费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31021</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文物和陈列品购置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30304</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抚恤金</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30224</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被装购置费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31022</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无形资产购置</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30305</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生活补助</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30225</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专用燃料费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31099</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其他资本性支出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30306</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救济费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30226</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劳务费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30307</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医疗费补助</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30227</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委托业务费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39907</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国家赔偿费用支出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30308</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助学金</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30228</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工会经费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4.52</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对民间非营利组织和群众性自治组织补贴</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奖励金</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福利费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39909</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经常性赠与</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30310</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个人农业生产补贴</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公务用车运行维护费</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39910</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资本性赠与</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30311</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代缴社会保险费</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其他交通费用</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39999</w:t>
            </w:r>
          </w:p>
        </w:tc>
        <w:tc>
          <w:tcPr>
            <w:tcW w:w="13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其他支出</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30399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其他对个人和家庭的补助</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30240</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税金及附加费用</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1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69"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8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30299</w:t>
            </w:r>
          </w:p>
        </w:tc>
        <w:tc>
          <w:tcPr>
            <w:tcW w:w="12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其他商品和服务支出</w:t>
            </w:r>
          </w:p>
        </w:tc>
        <w:tc>
          <w:tcPr>
            <w:tcW w:w="14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1.68</w:t>
            </w:r>
          </w:p>
        </w:tc>
        <w:tc>
          <w:tcPr>
            <w:tcW w:w="611"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69"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000"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人员经费合计</w:t>
            </w:r>
          </w:p>
        </w:tc>
        <w:tc>
          <w:tcPr>
            <w:tcW w:w="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1.07</w:t>
            </w:r>
          </w:p>
        </w:tc>
        <w:tc>
          <w:tcPr>
            <w:tcW w:w="5512"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公用经费合计</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48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注：本表反映部门本年度一般公共预算财政拨款基本支出明细情况。</w:t>
            </w:r>
          </w:p>
        </w:tc>
      </w:tr>
    </w:tbl>
    <w:p>
      <w:pPr>
        <w:pStyle w:val="2"/>
        <w:ind w:left="0" w:leftChars="0" w:firstLine="0" w:firstLineChars="0"/>
      </w:pPr>
    </w:p>
    <w:p>
      <w:pPr>
        <w:pStyle w:val="2"/>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4"/>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1096"/>
        <w:gridCol w:w="770"/>
        <w:gridCol w:w="770"/>
        <w:gridCol w:w="770"/>
        <w:gridCol w:w="770"/>
        <w:gridCol w:w="77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94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snapToGrid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91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91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w:t>
            </w:r>
          </w:p>
        </w:tc>
        <w:tc>
          <w:tcPr>
            <w:tcW w:w="275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c>
          <w:tcPr>
            <w:tcW w:w="134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9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91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91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13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注：本表反映部门本年度政府性基金预算财政拨款收入、支出及结转和结余情况。</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4"/>
        <w:tblW w:w="92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7"/>
        <w:gridCol w:w="274"/>
        <w:gridCol w:w="402"/>
        <w:gridCol w:w="1351"/>
        <w:gridCol w:w="1162"/>
        <w:gridCol w:w="1162"/>
        <w:gridCol w:w="1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294"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snapToGrid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97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6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97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2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5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6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429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5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351"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16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16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196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5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51"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6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5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51"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6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1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1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9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5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5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5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5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5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53"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9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注：本表反映部门本年度国有资本经营预算财政拨款支出情况。</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4"/>
        <w:tblpPr w:leftFromText="180" w:rightFromText="180" w:vertAnchor="text" w:horzAnchor="page" w:tblpXSpec="center" w:tblpY="431"/>
        <w:tblOverlap w:val="never"/>
        <w:tblW w:w="9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837"/>
        <w:gridCol w:w="816"/>
        <w:gridCol w:w="684"/>
        <w:gridCol w:w="806"/>
        <w:gridCol w:w="764"/>
        <w:gridCol w:w="813"/>
        <w:gridCol w:w="764"/>
        <w:gridCol w:w="720"/>
        <w:gridCol w:w="656"/>
        <w:gridCol w:w="735"/>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jc w:val="center"/>
        </w:trPr>
        <w:tc>
          <w:tcPr>
            <w:tcW w:w="9338"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snapToGrid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017"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8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01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部门：攸县消防救援大队</w:t>
            </w:r>
          </w:p>
        </w:tc>
        <w:tc>
          <w:tcPr>
            <w:tcW w:w="8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4924"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预算数</w:t>
            </w:r>
          </w:p>
        </w:tc>
        <w:tc>
          <w:tcPr>
            <w:tcW w:w="4414"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1017"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83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2306"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7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c>
          <w:tcPr>
            <w:tcW w:w="81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7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2111"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72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4" w:hRule="atLeast"/>
          <w:jc w:val="center"/>
        </w:trPr>
        <w:tc>
          <w:tcPr>
            <w:tcW w:w="1017"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3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68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80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7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1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6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72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1017"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8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0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6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1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76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7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72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6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jc w:val="center"/>
        </w:trPr>
        <w:tc>
          <w:tcPr>
            <w:tcW w:w="9338"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ind w:left="0" w:leftChars="0" w:firstLine="0" w:firstLineChars="0"/>
      </w:pPr>
    </w:p>
    <w:p>
      <w:pPr>
        <w:pStyle w:val="2"/>
        <w:ind w:left="0" w:leftChars="0" w:firstLine="0" w:firstLineChars="0"/>
        <w:sectPr>
          <w:pgSz w:w="11906" w:h="16839"/>
          <w:pgMar w:top="1803" w:right="1440" w:bottom="1803" w:left="1440" w:header="0" w:footer="992" w:gutter="0"/>
          <w:cols w:space="720" w:num="1"/>
        </w:sectPr>
      </w:pPr>
    </w:p>
    <w:p>
      <w:pPr>
        <w:pStyle w:val="3"/>
        <w:spacing w:line="3052" w:lineRule="exact"/>
        <w:rPr>
          <w:position w:val="-61"/>
        </w:rPr>
      </w:pPr>
    </w:p>
    <w:p>
      <w:pPr>
        <w:pStyle w:val="3"/>
        <w:spacing w:line="3052" w:lineRule="exact"/>
      </w:pPr>
      <w:r>
        <w:rPr>
          <w:position w:val="-61"/>
        </w:rPr>
        <w:pict>
          <v:shape id="_x0000_s1031" o:spid="_x0000_s1031" o:spt="202" type="#_x0000_t202" style="height:152.65pt;width:595.3pt;" fillcolor="#8EADD1" filled="t" stroked="f" coordsize="21600,21600">
            <v:path/>
            <v:fill on="t" color2="#FFFFFF" focussize="0,0"/>
            <v:stroke on="f"/>
            <v:imagedata o:title=""/>
            <o:lock v:ext="edit" aspectratio="f"/>
            <v:textbox inset="0mm,0mm,0mm,0mm">
              <w:txbxContent>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90" w:line="231" w:lineRule="auto"/>
                    <w:ind w:left="1207"/>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第三部分</w:t>
                  </w:r>
                  <w:r>
                    <w:rPr>
                      <w:rFonts w:ascii="方正黑体_GBK" w:hAnsi="方正黑体_GBK" w:eastAsia="方正黑体_GBK" w:cs="方正黑体_GBK"/>
                      <w:spacing w:val="36"/>
                      <w:sz w:val="52"/>
                      <w:szCs w:val="52"/>
                    </w:rPr>
                    <w:t xml:space="preserve">   </w:t>
                  </w:r>
                  <w:r>
                    <w:rPr>
                      <w:rFonts w:ascii="Times New Roman" w:hAnsi="Times New Roman" w:eastAsia="Times New Roman" w:cs="Times New Roman"/>
                      <w:b/>
                      <w:bCs/>
                      <w:spacing w:val="-1"/>
                      <w:sz w:val="52"/>
                      <w:szCs w:val="52"/>
                    </w:rPr>
                    <w:t>202</w:t>
                  </w:r>
                  <w:r>
                    <w:rPr>
                      <w:rFonts w:hint="eastAsia" w:ascii="Times New Roman" w:hAnsi="Times New Roman" w:eastAsia="宋体" w:cs="Times New Roman"/>
                      <w:b/>
                      <w:bCs/>
                      <w:spacing w:val="-1"/>
                      <w:sz w:val="52"/>
                      <w:szCs w:val="52"/>
                      <w:lang w:val="en-US" w:eastAsia="zh-CN"/>
                    </w:rPr>
                    <w:t>3</w:t>
                  </w:r>
                  <w:r>
                    <w:rPr>
                      <w:rFonts w:ascii="Times New Roman" w:hAnsi="Times New Roman" w:eastAsia="Times New Roman" w:cs="Times New Roman"/>
                      <w:b/>
                      <w:bCs/>
                      <w:spacing w:val="-1"/>
                      <w:sz w:val="52"/>
                      <w:szCs w:val="52"/>
                    </w:rPr>
                    <w:t xml:space="preserve"> </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决算情况说明</w:t>
                  </w:r>
                </w:p>
              </w:txbxContent>
            </v:textbox>
            <w10:wrap type="none"/>
            <w10:anchorlock/>
          </v:shape>
        </w:pict>
      </w:r>
    </w:p>
    <w:p>
      <w:pPr>
        <w:spacing w:line="3052" w:lineRule="exact"/>
        <w:sectPr>
          <w:footerReference r:id="rId10" w:type="default"/>
          <w:pgSz w:w="11906" w:h="16839"/>
          <w:pgMar w:top="1803" w:right="1440" w:bottom="1803" w:left="1440" w:header="0" w:footer="992" w:gutter="0"/>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color w:val="auto"/>
          <w:spacing w:val="-14"/>
          <w:kern w:val="0"/>
          <w:sz w:val="32"/>
          <w:szCs w:val="32"/>
          <w:lang w:val="en-US" w:eastAsia="zh-CN" w:bidi="zh-CN"/>
        </w:rPr>
        <w:t>202</w:t>
      </w:r>
      <w:r>
        <w:rPr>
          <w:rFonts w:hint="eastAsia" w:ascii="Times New Roman" w:hAnsi="Times New Roman" w:eastAsia="方正仿宋_GBK" w:cs="Times New Roman"/>
          <w:snapToGrid/>
          <w:color w:val="auto"/>
          <w:spacing w:val="-14"/>
          <w:kern w:val="0"/>
          <w:sz w:val="32"/>
          <w:szCs w:val="32"/>
          <w:lang w:val="en-US" w:eastAsia="zh-CN" w:bidi="zh-CN"/>
        </w:rPr>
        <w:t>3</w:t>
      </w:r>
      <w:r>
        <w:rPr>
          <w:rFonts w:ascii="Times New Roman" w:hAnsi="Times New Roman" w:eastAsia="方正仿宋_GBK" w:cs="Times New Roman"/>
          <w:snapToGrid/>
          <w:color w:val="auto"/>
          <w:spacing w:val="-14"/>
          <w:kern w:val="0"/>
          <w:sz w:val="32"/>
          <w:szCs w:val="32"/>
          <w:lang w:val="en-US" w:eastAsia="zh-CN" w:bidi="zh-CN"/>
        </w:rPr>
        <w:t>年度收、支总计</w:t>
      </w:r>
      <w:r>
        <w:rPr>
          <w:rFonts w:hint="eastAsia" w:ascii="Times New Roman" w:hAnsi="Times New Roman" w:eastAsia="方正仿宋_GBK" w:cs="Times New Roman"/>
          <w:snapToGrid/>
          <w:color w:val="auto"/>
          <w:spacing w:val="-14"/>
          <w:kern w:val="0"/>
          <w:sz w:val="32"/>
          <w:szCs w:val="32"/>
          <w:lang w:val="en-US" w:eastAsia="zh-CN" w:bidi="zh-CN"/>
        </w:rPr>
        <w:t>1091.73</w:t>
      </w:r>
      <w:r>
        <w:rPr>
          <w:rFonts w:ascii="Times New Roman" w:hAnsi="Times New Roman" w:eastAsia="方正仿宋_GBK" w:cs="Times New Roman"/>
          <w:snapToGrid/>
          <w:color w:val="auto"/>
          <w:spacing w:val="-14"/>
          <w:kern w:val="0"/>
          <w:sz w:val="32"/>
          <w:szCs w:val="32"/>
          <w:lang w:val="en-US" w:eastAsia="zh-CN" w:bidi="zh-CN"/>
        </w:rPr>
        <w:t>万元，</w:t>
      </w:r>
      <w:r>
        <w:rPr>
          <w:rFonts w:ascii="Times New Roman" w:hAnsi="Times New Roman" w:eastAsia="方正仿宋_GBK" w:cs="Times New Roman"/>
          <w:snapToGrid/>
          <w:spacing w:val="-14"/>
          <w:kern w:val="0"/>
          <w:sz w:val="32"/>
          <w:szCs w:val="32"/>
          <w:lang w:val="en-US" w:eastAsia="zh-CN" w:bidi="zh-CN"/>
        </w:rPr>
        <w:t>与202</w:t>
      </w:r>
      <w:r>
        <w:rPr>
          <w:rFonts w:hint="eastAsia" w:ascii="Times New Roman" w:hAnsi="Times New Roman" w:eastAsia="方正仿宋_GBK" w:cs="Times New Roman"/>
          <w:snapToGrid/>
          <w:spacing w:val="-14"/>
          <w:kern w:val="0"/>
          <w:sz w:val="32"/>
          <w:szCs w:val="32"/>
          <w:lang w:val="en-US" w:eastAsia="zh-CN" w:bidi="zh-CN"/>
        </w:rPr>
        <w:t>2</w:t>
      </w:r>
      <w:r>
        <w:rPr>
          <w:rFonts w:ascii="Times New Roman" w:hAnsi="Times New Roman" w:eastAsia="方正仿宋_GBK" w:cs="Times New Roman"/>
          <w:snapToGrid/>
          <w:spacing w:val="-14"/>
          <w:kern w:val="0"/>
          <w:sz w:val="32"/>
          <w:szCs w:val="32"/>
          <w:lang w:val="en-US" w:eastAsia="zh-CN" w:bidi="zh-CN"/>
        </w:rPr>
        <w:t>年度相比，收、支总计</w:t>
      </w:r>
      <w:r>
        <w:rPr>
          <w:rFonts w:hint="eastAsia" w:ascii="Times New Roman" w:hAnsi="Times New Roman" w:eastAsia="方正仿宋_GBK" w:cs="Times New Roman"/>
          <w:snapToGrid/>
          <w:spacing w:val="-14"/>
          <w:kern w:val="0"/>
          <w:sz w:val="32"/>
          <w:szCs w:val="32"/>
          <w:lang w:val="en-US" w:eastAsia="zh-CN" w:bidi="zh-CN"/>
        </w:rPr>
        <w:t>增加236.88</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上升27.71</w:t>
      </w:r>
      <w:r>
        <w:rPr>
          <w:rFonts w:ascii="Times New Roman" w:hAnsi="Times New Roman" w:eastAsia="方正仿宋_GBK" w:cs="Times New Roman"/>
          <w:snapToGrid/>
          <w:spacing w:val="-14"/>
          <w:kern w:val="0"/>
          <w:sz w:val="32"/>
          <w:szCs w:val="32"/>
          <w:lang w:val="en-US" w:eastAsia="zh-CN" w:bidi="zh-CN"/>
        </w:rPr>
        <w:t>%，主要是年初结转和结余</w:t>
      </w:r>
      <w:r>
        <w:rPr>
          <w:rFonts w:hint="eastAsia" w:ascii="Times New Roman" w:hAnsi="Times New Roman" w:eastAsia="方正仿宋_GBK" w:cs="Times New Roman"/>
          <w:snapToGrid/>
          <w:spacing w:val="-14"/>
          <w:kern w:val="0"/>
          <w:sz w:val="32"/>
          <w:szCs w:val="32"/>
          <w:lang w:val="en-US" w:eastAsia="zh-CN" w:bidi="zh-CN"/>
        </w:rPr>
        <w:t>增加</w:t>
      </w:r>
      <w:r>
        <w:rPr>
          <w:rFonts w:ascii="Times New Roman" w:hAnsi="Times New Roman" w:eastAsia="方正仿宋_GBK" w:cs="Times New Roman"/>
          <w:snapToGrid/>
          <w:spacing w:val="-14"/>
          <w:kern w:val="0"/>
          <w:sz w:val="32"/>
          <w:szCs w:val="32"/>
          <w:lang w:val="en-US" w:eastAsia="zh-CN" w:bidi="zh-CN"/>
        </w:rPr>
        <w:t>。</w:t>
      </w:r>
    </w:p>
    <w:p>
      <w:pPr>
        <w:spacing w:before="114" w:line="203" w:lineRule="auto"/>
        <w:ind w:left="2832"/>
        <w:rPr>
          <w:rFonts w:ascii="微软雅黑" w:hAnsi="微软雅黑" w:eastAsia="微软雅黑" w:cs="微软雅黑"/>
          <w:sz w:val="28"/>
          <w:szCs w:val="28"/>
        </w:rPr>
      </w:pPr>
      <w:r>
        <w:rPr>
          <w:rFonts w:ascii="微软雅黑" w:hAnsi="微软雅黑" w:eastAsia="微软雅黑" w:cs="微软雅黑"/>
          <w:spacing w:val="-9"/>
          <w:sz w:val="28"/>
          <w:szCs w:val="28"/>
        </w:rPr>
        <w:t>图</w:t>
      </w:r>
      <w:r>
        <w:rPr>
          <w:rFonts w:ascii="Times New Roman" w:hAnsi="Times New Roman" w:eastAsia="Times New Roman" w:cs="Times New Roman"/>
          <w:spacing w:val="-9"/>
          <w:sz w:val="28"/>
          <w:szCs w:val="28"/>
        </w:rPr>
        <w:t>1</w:t>
      </w:r>
      <w:r>
        <w:rPr>
          <w:rFonts w:ascii="微软雅黑" w:hAnsi="微软雅黑" w:eastAsia="微软雅黑" w:cs="微软雅黑"/>
          <w:spacing w:val="-9"/>
          <w:sz w:val="28"/>
          <w:szCs w:val="28"/>
        </w:rPr>
        <w:t>：收、支决算总计变动情况</w:t>
      </w:r>
    </w:p>
    <w:p>
      <w:pPr>
        <w:spacing w:before="133" w:line="170" w:lineRule="auto"/>
        <w:ind w:left="3813"/>
        <w:rPr>
          <w:rFonts w:hint="eastAsia" w:eastAsia="微软雅黑"/>
          <w:lang w:eastAsia="zh-CN"/>
        </w:rPr>
      </w:pPr>
      <w:r>
        <w:rPr>
          <w:rFonts w:ascii="微软雅黑" w:hAnsi="微软雅黑" w:eastAsia="微软雅黑" w:cs="微软雅黑"/>
          <w:spacing w:val="3"/>
          <w:sz w:val="28"/>
          <w:szCs w:val="28"/>
        </w:rPr>
        <w:t>（单位</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万元）</w:t>
      </w:r>
    </w:p>
    <w:p>
      <w:pPr>
        <w:spacing w:before="113" w:line="236" w:lineRule="auto"/>
        <w:ind w:left="20"/>
        <w:rPr>
          <w:rFonts w:ascii="方正黑体_GBK" w:hAnsi="方正黑体_GBK" w:eastAsia="方正黑体_GBK" w:cs="方正黑体_GBK"/>
          <w:spacing w:val="5"/>
          <w:sz w:val="31"/>
          <w:szCs w:val="31"/>
        </w:rPr>
      </w:pPr>
      <w:r>
        <w:rPr>
          <w:rFonts w:hint="eastAsia" w:eastAsia="微软雅黑"/>
          <w:lang w:val="en-US" w:eastAsia="zh-CN"/>
        </w:rPr>
        <w:t xml:space="preserve">                     </w:t>
      </w: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二、收入决算情况说明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本年收入合计</w:t>
      </w:r>
      <w:r>
        <w:rPr>
          <w:rFonts w:hint="eastAsia" w:ascii="Times New Roman" w:hAnsi="Times New Roman" w:eastAsia="方正仿宋_GBK" w:cs="Times New Roman"/>
          <w:snapToGrid/>
          <w:spacing w:val="-14"/>
          <w:kern w:val="0"/>
          <w:sz w:val="32"/>
          <w:szCs w:val="32"/>
          <w:lang w:val="en-US" w:eastAsia="zh-CN" w:bidi="zh-CN"/>
        </w:rPr>
        <w:t>992.25</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财政拨款收入</w:t>
      </w:r>
      <w:r>
        <w:rPr>
          <w:rFonts w:hint="eastAsia" w:ascii="Times New Roman" w:hAnsi="Times New Roman" w:eastAsia="方正仿宋_GBK" w:cs="Times New Roman"/>
          <w:snapToGrid/>
          <w:spacing w:val="-14"/>
          <w:kern w:val="0"/>
          <w:sz w:val="32"/>
          <w:szCs w:val="32"/>
          <w:lang w:val="en-US" w:eastAsia="zh-CN" w:bidi="zh-CN"/>
        </w:rPr>
        <w:t>63.71</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6.42</w:t>
      </w:r>
      <w:r>
        <w:rPr>
          <w:rFonts w:ascii="Times New Roman" w:hAnsi="Times New Roman" w:eastAsia="方正仿宋_GBK" w:cs="Times New Roman"/>
          <w:snapToGrid/>
          <w:spacing w:val="-14"/>
          <w:kern w:val="0"/>
          <w:sz w:val="32"/>
          <w:szCs w:val="32"/>
          <w:lang w:val="en-US" w:eastAsia="zh-CN" w:bidi="zh-CN"/>
        </w:rPr>
        <w:t>%；其他收入</w:t>
      </w:r>
      <w:r>
        <w:rPr>
          <w:rFonts w:hint="eastAsia" w:ascii="Times New Roman" w:hAnsi="Times New Roman" w:eastAsia="方正仿宋_GBK" w:cs="Times New Roman"/>
          <w:snapToGrid/>
          <w:spacing w:val="-14"/>
          <w:kern w:val="0"/>
          <w:sz w:val="32"/>
          <w:szCs w:val="32"/>
          <w:lang w:val="en-US" w:eastAsia="zh-CN" w:bidi="zh-CN"/>
        </w:rPr>
        <w:t>928.54</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93.58</w:t>
      </w:r>
      <w:r>
        <w:rPr>
          <w:rFonts w:ascii="Times New Roman" w:hAnsi="Times New Roman" w:eastAsia="方正仿宋_GBK" w:cs="Times New Roman"/>
          <w:snapToGrid/>
          <w:spacing w:val="-14"/>
          <w:kern w:val="0"/>
          <w:sz w:val="32"/>
          <w:szCs w:val="32"/>
          <w:lang w:val="en-US" w:eastAsia="zh-CN" w:bidi="zh-CN"/>
        </w:rPr>
        <w:t>%。</w:t>
      </w:r>
    </w:p>
    <w:p>
      <w:pPr>
        <w:spacing w:before="102" w:line="177" w:lineRule="auto"/>
        <w:ind w:left="3427"/>
        <w:rPr>
          <w:rFonts w:ascii="微软雅黑" w:hAnsi="微软雅黑" w:eastAsia="微软雅黑" w:cs="微软雅黑"/>
          <w:sz w:val="28"/>
          <w:szCs w:val="28"/>
        </w:rPr>
      </w:pPr>
      <w:r>
        <w:rPr>
          <w:rFonts w:ascii="微软雅黑" w:hAnsi="微软雅黑" w:eastAsia="微软雅黑" w:cs="微软雅黑"/>
          <w:spacing w:val="-13"/>
          <w:sz w:val="28"/>
          <w:szCs w:val="28"/>
        </w:rPr>
        <w:t>图</w:t>
      </w:r>
      <w:r>
        <w:rPr>
          <w:rFonts w:ascii="Times New Roman" w:hAnsi="Times New Roman" w:eastAsia="Times New Roman" w:cs="Times New Roman"/>
          <w:spacing w:val="-13"/>
          <w:sz w:val="28"/>
          <w:szCs w:val="28"/>
        </w:rPr>
        <w:t>2</w:t>
      </w:r>
      <w:r>
        <w:rPr>
          <w:rFonts w:ascii="微软雅黑" w:hAnsi="微软雅黑" w:eastAsia="微软雅黑" w:cs="微软雅黑"/>
          <w:spacing w:val="-13"/>
          <w:sz w:val="28"/>
          <w:szCs w:val="28"/>
        </w:rPr>
        <w:t>：收入决算</w:t>
      </w:r>
    </w:p>
    <w:p>
      <w:pPr>
        <w:spacing w:before="154" w:line="236" w:lineRule="auto"/>
        <w:ind w:left="678"/>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
      </w:pPr>
    </w:p>
    <w:p>
      <w:pPr>
        <w:pStyle w:val="2"/>
      </w:pPr>
    </w:p>
    <w:p>
      <w:pPr>
        <w:pStyle w:val="2"/>
      </w:pPr>
    </w:p>
    <w:p>
      <w:pPr>
        <w:pStyle w:val="2"/>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三、支出决算情况说明</w:t>
      </w:r>
    </w:p>
    <w:p>
      <w:pPr>
        <w:widowControl w:val="0"/>
        <w:kinsoku/>
        <w:adjustRightInd/>
        <w:snapToGrid/>
        <w:spacing w:before="100" w:beforeAutospacing="1" w:line="579" w:lineRule="exact"/>
        <w:ind w:firstLine="420"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drawing>
          <wp:anchor distT="0" distB="0" distL="114300" distR="114300" simplePos="0" relativeHeight="251660288" behindDoc="0" locked="0" layoutInCell="1" allowOverlap="1">
            <wp:simplePos x="0" y="0"/>
            <wp:positionH relativeFrom="column">
              <wp:posOffset>119380</wp:posOffset>
            </wp:positionH>
            <wp:positionV relativeFrom="paragraph">
              <wp:posOffset>1180465</wp:posOffset>
            </wp:positionV>
            <wp:extent cx="4572000" cy="2743200"/>
            <wp:effectExtent l="4445" t="4445" r="14605" b="1460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Times New Roman" w:hAnsi="Times New Roman" w:eastAsia="方正仿宋_GBK" w:cs="Times New Roman"/>
          <w:snapToGrid/>
          <w:spacing w:val="-14"/>
          <w:kern w:val="0"/>
          <w:sz w:val="32"/>
          <w:szCs w:val="32"/>
          <w:lang w:val="en-US" w:eastAsia="zh-CN" w:bidi="zh-CN"/>
        </w:rPr>
        <w:t>本年支出合计</w:t>
      </w:r>
      <w:r>
        <w:rPr>
          <w:rFonts w:hint="eastAsia" w:ascii="Times New Roman" w:hAnsi="Times New Roman" w:eastAsia="方正仿宋_GBK" w:cs="Times New Roman"/>
          <w:snapToGrid/>
          <w:spacing w:val="-14"/>
          <w:kern w:val="0"/>
          <w:sz w:val="32"/>
          <w:szCs w:val="32"/>
          <w:lang w:val="en-US" w:eastAsia="zh-CN" w:bidi="zh-CN"/>
        </w:rPr>
        <w:t>845.13</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其中：基本支出</w:t>
      </w:r>
      <w:r>
        <w:rPr>
          <w:rFonts w:hint="eastAsia" w:ascii="Times New Roman" w:hAnsi="Times New Roman" w:eastAsia="方正仿宋_GBK" w:cs="Times New Roman"/>
          <w:snapToGrid/>
          <w:spacing w:val="-14"/>
          <w:kern w:val="0"/>
          <w:sz w:val="32"/>
          <w:szCs w:val="32"/>
          <w:lang w:val="en-US" w:eastAsia="zh-CN" w:bidi="zh-CN"/>
        </w:rPr>
        <w:t>752.20</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89</w:t>
      </w:r>
      <w:r>
        <w:rPr>
          <w:rFonts w:ascii="Times New Roman" w:hAnsi="Times New Roman" w:eastAsia="方正仿宋_GBK" w:cs="Times New Roman"/>
          <w:snapToGrid/>
          <w:spacing w:val="-14"/>
          <w:kern w:val="0"/>
          <w:sz w:val="32"/>
          <w:szCs w:val="32"/>
          <w:lang w:val="en-US" w:eastAsia="zh-CN" w:bidi="zh-CN"/>
        </w:rPr>
        <w:t>%；项目支出</w:t>
      </w:r>
      <w:r>
        <w:rPr>
          <w:rFonts w:hint="eastAsia" w:ascii="Times New Roman" w:hAnsi="Times New Roman" w:eastAsia="方正仿宋_GBK" w:cs="Times New Roman"/>
          <w:snapToGrid/>
          <w:spacing w:val="-14"/>
          <w:kern w:val="0"/>
          <w:sz w:val="32"/>
          <w:szCs w:val="32"/>
          <w:lang w:val="en-US" w:eastAsia="zh-CN" w:bidi="zh-CN"/>
        </w:rPr>
        <w:t>92.93</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占</w:t>
      </w:r>
      <w:r>
        <w:rPr>
          <w:rFonts w:hint="eastAsia" w:ascii="Times New Roman" w:hAnsi="Times New Roman" w:eastAsia="方正仿宋_GBK" w:cs="Times New Roman"/>
          <w:snapToGrid/>
          <w:spacing w:val="-14"/>
          <w:kern w:val="0"/>
          <w:sz w:val="32"/>
          <w:szCs w:val="32"/>
          <w:lang w:val="en-US" w:eastAsia="zh-CN" w:bidi="zh-CN"/>
        </w:rPr>
        <w:t>11</w:t>
      </w:r>
      <w:r>
        <w:rPr>
          <w:rFonts w:ascii="Times New Roman" w:hAnsi="Times New Roman" w:eastAsia="方正仿宋_GBK" w:cs="Times New Roman"/>
          <w:snapToGrid/>
          <w:spacing w:val="-14"/>
          <w:kern w:val="0"/>
          <w:sz w:val="32"/>
          <w:szCs w:val="32"/>
          <w:lang w:val="en-US" w:eastAsia="zh-CN" w:bidi="zh-CN"/>
        </w:rPr>
        <w:t>%。</w:t>
      </w:r>
    </w:p>
    <w:p>
      <w:pPr>
        <w:spacing w:before="86" w:line="166" w:lineRule="auto"/>
        <w:ind w:left="3427"/>
        <w:rPr>
          <w:rFonts w:ascii="微软雅黑" w:hAnsi="微软雅黑" w:eastAsia="微软雅黑" w:cs="微软雅黑"/>
          <w:spacing w:val="-11"/>
          <w:sz w:val="28"/>
          <w:szCs w:val="28"/>
        </w:rPr>
      </w:pPr>
      <w:r>
        <w:rPr>
          <w:rFonts w:ascii="微软雅黑" w:hAnsi="微软雅黑" w:eastAsia="微软雅黑" w:cs="微软雅黑"/>
          <w:spacing w:val="-11"/>
          <w:sz w:val="28"/>
          <w:szCs w:val="28"/>
        </w:rPr>
        <w:t>图</w:t>
      </w:r>
      <w:r>
        <w:rPr>
          <w:rFonts w:ascii="Times New Roman" w:hAnsi="Times New Roman" w:eastAsia="Times New Roman" w:cs="Times New Roman"/>
          <w:spacing w:val="-11"/>
          <w:sz w:val="28"/>
          <w:szCs w:val="28"/>
        </w:rPr>
        <w:t>3</w:t>
      </w:r>
      <w:r>
        <w:rPr>
          <w:rFonts w:ascii="微软雅黑" w:hAnsi="微软雅黑" w:eastAsia="微软雅黑" w:cs="微软雅黑"/>
          <w:spacing w:val="-11"/>
          <w:sz w:val="28"/>
          <w:szCs w:val="28"/>
        </w:rPr>
        <w:t>：支出决算</w:t>
      </w:r>
    </w:p>
    <w:p>
      <w:pPr>
        <w:pStyle w:val="2"/>
        <w:ind w:left="0" w:leftChars="0" w:firstLine="0" w:firstLineChars="0"/>
        <w:rPr>
          <w:rFonts w:hint="eastAsia" w:eastAsia="微软雅黑"/>
          <w:lang w:eastAsia="zh-CN"/>
        </w:rPr>
      </w:pPr>
    </w:p>
    <w:p>
      <w:pPr>
        <w:pStyle w:val="2"/>
        <w:ind w:left="0" w:leftChars="0" w:firstLine="0" w:firstLineChars="0"/>
        <w:rPr>
          <w:rFonts w:hint="eastAsia" w:eastAsia="微软雅黑"/>
          <w:lang w:eastAsia="zh-CN"/>
        </w:rPr>
      </w:pPr>
    </w:p>
    <w:p>
      <w:pPr>
        <w:pStyle w:val="2"/>
        <w:ind w:left="0" w:leftChars="0" w:firstLine="0" w:firstLineChars="0"/>
        <w:rPr>
          <w:rFonts w:hint="eastAsia" w:eastAsia="微软雅黑"/>
          <w:lang w:eastAsia="zh-CN"/>
        </w:r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四、财政拨款收入支出决算总体情况说明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w:t>
      </w:r>
      <w:r>
        <w:rPr>
          <w:rFonts w:hint="eastAsia" w:ascii="Times New Roman" w:hAnsi="Times New Roman" w:eastAsia="方正仿宋_GBK" w:cs="Times New Roman"/>
          <w:snapToGrid/>
          <w:spacing w:val="-14"/>
          <w:kern w:val="0"/>
          <w:sz w:val="32"/>
          <w:szCs w:val="32"/>
          <w:lang w:val="en-US" w:eastAsia="zh-CN" w:bidi="zh-CN"/>
        </w:rPr>
        <w:t>3</w:t>
      </w:r>
      <w:r>
        <w:rPr>
          <w:rFonts w:ascii="Times New Roman" w:hAnsi="Times New Roman" w:eastAsia="方正仿宋_GBK" w:cs="Times New Roman"/>
          <w:snapToGrid/>
          <w:spacing w:val="-14"/>
          <w:kern w:val="0"/>
          <w:sz w:val="32"/>
          <w:szCs w:val="32"/>
          <w:lang w:val="en-US" w:eastAsia="zh-CN" w:bidi="zh-CN"/>
        </w:rPr>
        <w:t>年度财政拨款收、支总计</w:t>
      </w:r>
      <w:r>
        <w:rPr>
          <w:rFonts w:hint="eastAsia" w:ascii="Times New Roman" w:hAnsi="Times New Roman" w:eastAsia="方正仿宋_GBK" w:cs="Times New Roman"/>
          <w:snapToGrid/>
          <w:spacing w:val="-14"/>
          <w:kern w:val="0"/>
          <w:sz w:val="32"/>
          <w:szCs w:val="32"/>
          <w:lang w:val="en-US" w:eastAsia="zh-CN" w:bidi="zh-CN"/>
        </w:rPr>
        <w:t>67.98</w:t>
      </w:r>
      <w:r>
        <w:rPr>
          <w:rFonts w:ascii="Times New Roman" w:hAnsi="Times New Roman" w:eastAsia="方正仿宋_GBK" w:cs="Times New Roman"/>
          <w:snapToGrid/>
          <w:spacing w:val="-14"/>
          <w:kern w:val="0"/>
          <w:sz w:val="32"/>
          <w:szCs w:val="32"/>
          <w:lang w:val="en-US" w:eastAsia="zh-CN" w:bidi="zh-CN"/>
        </w:rPr>
        <w:t>万元。与202</w:t>
      </w:r>
      <w:r>
        <w:rPr>
          <w:rFonts w:hint="eastAsia" w:ascii="Times New Roman" w:hAnsi="Times New Roman" w:eastAsia="方正仿宋_GBK" w:cs="Times New Roman"/>
          <w:snapToGrid/>
          <w:spacing w:val="-14"/>
          <w:kern w:val="0"/>
          <w:sz w:val="32"/>
          <w:szCs w:val="32"/>
          <w:lang w:val="en-US" w:eastAsia="zh-CN" w:bidi="zh-CN"/>
        </w:rPr>
        <w:t>2</w:t>
      </w:r>
      <w:r>
        <w:rPr>
          <w:rFonts w:ascii="Times New Roman" w:hAnsi="Times New Roman" w:eastAsia="方正仿宋_GBK" w:cs="Times New Roman"/>
          <w:snapToGrid/>
          <w:spacing w:val="-14"/>
          <w:kern w:val="0"/>
          <w:sz w:val="32"/>
          <w:szCs w:val="32"/>
          <w:lang w:val="en-US" w:eastAsia="zh-CN" w:bidi="zh-CN"/>
        </w:rPr>
        <w:t>年度相比，财政拨款收、支总计</w:t>
      </w:r>
      <w:r>
        <w:rPr>
          <w:rFonts w:hint="eastAsia" w:ascii="Times New Roman" w:hAnsi="Times New Roman" w:eastAsia="方正仿宋_GBK" w:cs="Times New Roman"/>
          <w:snapToGrid/>
          <w:spacing w:val="-14"/>
          <w:kern w:val="0"/>
          <w:sz w:val="32"/>
          <w:szCs w:val="32"/>
          <w:lang w:val="en-US" w:eastAsia="zh-CN" w:bidi="zh-CN"/>
        </w:rPr>
        <w:t>增加14.51</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，增加27.14</w:t>
      </w:r>
      <w:r>
        <w:rPr>
          <w:rFonts w:ascii="Times New Roman" w:hAnsi="Times New Roman" w:eastAsia="方正仿宋_GBK" w:cs="Times New Roman"/>
          <w:snapToGrid/>
          <w:spacing w:val="-14"/>
          <w:kern w:val="0"/>
          <w:sz w:val="32"/>
          <w:szCs w:val="32"/>
          <w:lang w:val="en-US" w:eastAsia="zh-CN" w:bidi="zh-CN"/>
        </w:rPr>
        <w:t>%，主要是</w:t>
      </w:r>
      <w:r>
        <w:rPr>
          <w:rFonts w:hint="eastAsia" w:ascii="Times New Roman" w:hAnsi="Times New Roman" w:eastAsia="方正仿宋_GBK" w:cs="Times New Roman"/>
          <w:snapToGrid/>
          <w:spacing w:val="-14"/>
          <w:kern w:val="0"/>
          <w:sz w:val="32"/>
          <w:szCs w:val="32"/>
          <w:lang w:val="en-US" w:eastAsia="zh-CN" w:bidi="zh-CN"/>
        </w:rPr>
        <w:t>项目经费支出增加</w:t>
      </w:r>
      <w:r>
        <w:rPr>
          <w:rFonts w:ascii="Times New Roman" w:hAnsi="Times New Roman" w:eastAsia="方正仿宋_GBK" w:cs="Times New Roman"/>
          <w:snapToGrid/>
          <w:spacing w:val="-14"/>
          <w:kern w:val="0"/>
          <w:sz w:val="32"/>
          <w:szCs w:val="32"/>
          <w:lang w:val="en-US" w:eastAsia="zh-CN" w:bidi="zh-CN"/>
        </w:rPr>
        <w:t>。</w:t>
      </w:r>
    </w:p>
    <w:p>
      <w:pPr>
        <w:pStyle w:val="2"/>
        <w:rPr>
          <w:rFonts w:ascii="Times New Roman" w:hAnsi="Times New Roman" w:eastAsia="方正仿宋_GBK" w:cs="Times New Roman"/>
          <w:snapToGrid/>
          <w:spacing w:val="-14"/>
          <w:kern w:val="0"/>
          <w:sz w:val="32"/>
          <w:szCs w:val="32"/>
          <w:lang w:val="en-US" w:eastAsia="zh-CN" w:bidi="zh-CN"/>
        </w:rPr>
      </w:pPr>
    </w:p>
    <w:p>
      <w:pPr>
        <w:pStyle w:val="2"/>
        <w:rPr>
          <w:rFonts w:ascii="Times New Roman" w:hAnsi="Times New Roman" w:eastAsia="方正仿宋_GBK" w:cs="Times New Roman"/>
          <w:snapToGrid/>
          <w:spacing w:val="-14"/>
          <w:kern w:val="0"/>
          <w:sz w:val="32"/>
          <w:szCs w:val="32"/>
          <w:lang w:val="en-US" w:eastAsia="zh-CN" w:bidi="zh-CN"/>
        </w:rPr>
      </w:pPr>
    </w:p>
    <w:p>
      <w:pPr>
        <w:pStyle w:val="2"/>
        <w:rPr>
          <w:rFonts w:ascii="Times New Roman" w:hAnsi="Times New Roman" w:eastAsia="方正仿宋_GBK" w:cs="Times New Roman"/>
          <w:snapToGrid/>
          <w:spacing w:val="-14"/>
          <w:kern w:val="0"/>
          <w:sz w:val="32"/>
          <w:szCs w:val="32"/>
          <w:lang w:val="en-US" w:eastAsia="zh-CN" w:bidi="zh-CN"/>
        </w:rPr>
      </w:pPr>
    </w:p>
    <w:p>
      <w:pPr>
        <w:pStyle w:val="2"/>
        <w:rPr>
          <w:rFonts w:ascii="Times New Roman" w:hAnsi="Times New Roman" w:eastAsia="方正仿宋_GBK" w:cs="Times New Roman"/>
          <w:snapToGrid/>
          <w:spacing w:val="-14"/>
          <w:kern w:val="0"/>
          <w:sz w:val="32"/>
          <w:szCs w:val="32"/>
          <w:lang w:val="en-US" w:eastAsia="zh-CN" w:bidi="zh-CN"/>
        </w:rPr>
      </w:pPr>
    </w:p>
    <w:p>
      <w:pPr>
        <w:pStyle w:val="2"/>
        <w:rPr>
          <w:rFonts w:ascii="Times New Roman" w:hAnsi="Times New Roman" w:eastAsia="方正仿宋_GBK" w:cs="Times New Roman"/>
          <w:snapToGrid/>
          <w:spacing w:val="-14"/>
          <w:kern w:val="0"/>
          <w:sz w:val="32"/>
          <w:szCs w:val="32"/>
          <w:lang w:val="en-US" w:eastAsia="zh-CN" w:bidi="zh-CN"/>
        </w:rPr>
      </w:pPr>
    </w:p>
    <w:p>
      <w:pPr>
        <w:spacing w:before="94" w:line="203" w:lineRule="auto"/>
        <w:ind w:left="1464"/>
        <w:rPr>
          <w:rFonts w:ascii="微软雅黑" w:hAnsi="微软雅黑" w:eastAsia="微软雅黑" w:cs="微软雅黑"/>
          <w:sz w:val="28"/>
          <w:szCs w:val="28"/>
        </w:rPr>
      </w:pPr>
      <w:r>
        <w:rPr>
          <w:rFonts w:ascii="微软雅黑" w:hAnsi="微软雅黑" w:eastAsia="微软雅黑" w:cs="微软雅黑"/>
          <w:spacing w:val="-4"/>
          <w:sz w:val="28"/>
          <w:szCs w:val="28"/>
        </w:rPr>
        <w:t xml:space="preserve">图 </w:t>
      </w:r>
      <w:r>
        <w:rPr>
          <w:rFonts w:ascii="Times New Roman" w:hAnsi="Times New Roman" w:eastAsia="Times New Roman" w:cs="Times New Roman"/>
          <w:spacing w:val="-4"/>
          <w:sz w:val="28"/>
          <w:szCs w:val="28"/>
        </w:rPr>
        <w:t>4</w:t>
      </w:r>
      <w:r>
        <w:rPr>
          <w:rFonts w:ascii="微软雅黑" w:hAnsi="微软雅黑" w:eastAsia="微软雅黑" w:cs="微软雅黑"/>
          <w:spacing w:val="-4"/>
          <w:sz w:val="28"/>
          <w:szCs w:val="28"/>
        </w:rPr>
        <w:t>：财政拨款收、支决算总计变动情况</w:t>
      </w:r>
    </w:p>
    <w:p>
      <w:pPr>
        <w:spacing w:before="135" w:line="198" w:lineRule="auto"/>
        <w:ind w:left="3081"/>
        <w:rPr>
          <w:rFonts w:ascii="微软雅黑" w:hAnsi="微软雅黑" w:eastAsia="微软雅黑" w:cs="微软雅黑"/>
          <w:sz w:val="28"/>
          <w:szCs w:val="28"/>
        </w:rPr>
      </w:pPr>
      <w:r>
        <w:rPr>
          <w:rFonts w:ascii="微软雅黑" w:hAnsi="微软雅黑" w:eastAsia="微软雅黑" w:cs="微软雅黑"/>
          <w:spacing w:val="-1"/>
          <w:sz w:val="28"/>
          <w:szCs w:val="28"/>
        </w:rPr>
        <w:t>（单位：</w:t>
      </w:r>
      <w:r>
        <w:rPr>
          <w:rFonts w:ascii="微软雅黑" w:hAnsi="微软雅黑" w:eastAsia="微软雅黑" w:cs="微软雅黑"/>
          <w:spacing w:val="-54"/>
          <w:sz w:val="28"/>
          <w:szCs w:val="28"/>
        </w:rPr>
        <w:t xml:space="preserve"> </w:t>
      </w:r>
      <w:r>
        <w:rPr>
          <w:rFonts w:ascii="微软雅黑" w:hAnsi="微软雅黑" w:eastAsia="微软雅黑" w:cs="微软雅黑"/>
          <w:spacing w:val="-1"/>
          <w:sz w:val="28"/>
          <w:szCs w:val="28"/>
        </w:rPr>
        <w:t>万元）</w:t>
      </w:r>
    </w:p>
    <w:p>
      <w:pPr>
        <w:pStyle w:val="3"/>
        <w:spacing w:line="279" w:lineRule="auto"/>
        <w:jc w:val="center"/>
        <w:rPr>
          <w:rFonts w:hint="eastAsia" w:eastAsia="宋体"/>
          <w:lang w:eastAsia="zh-CN"/>
        </w:rPr>
      </w:pPr>
      <w:r>
        <w:drawing>
          <wp:inline distT="0" distB="0" distL="114300" distR="114300">
            <wp:extent cx="4989830" cy="2760345"/>
            <wp:effectExtent l="4445" t="4445" r="15875" b="1651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3"/>
        <w:spacing w:line="279" w:lineRule="auto"/>
      </w:pPr>
    </w:p>
    <w:p>
      <w:pPr>
        <w:pStyle w:val="3"/>
        <w:spacing w:line="279" w:lineRule="auto"/>
      </w:pPr>
    </w:p>
    <w:p>
      <w:pPr>
        <w:pStyle w:val="3"/>
        <w:spacing w:line="279"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五、一般公共预算财政拨款支出决算情况说明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（一）财政拨款支出决算总体情况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w:t>
      </w:r>
      <w:r>
        <w:rPr>
          <w:rFonts w:hint="eastAsia" w:ascii="Times New Roman" w:hAnsi="Times New Roman" w:eastAsia="方正仿宋_GBK" w:cs="Times New Roman"/>
          <w:snapToGrid/>
          <w:spacing w:val="-14"/>
          <w:kern w:val="0"/>
          <w:sz w:val="32"/>
          <w:szCs w:val="32"/>
          <w:lang w:val="en-US" w:eastAsia="zh-CN" w:bidi="zh-CN"/>
        </w:rPr>
        <w:t>3</w:t>
      </w:r>
      <w:r>
        <w:rPr>
          <w:rFonts w:ascii="Times New Roman" w:hAnsi="Times New Roman" w:eastAsia="方正仿宋_GBK" w:cs="Times New Roman"/>
          <w:snapToGrid/>
          <w:spacing w:val="-14"/>
          <w:kern w:val="0"/>
          <w:sz w:val="32"/>
          <w:szCs w:val="32"/>
          <w:lang w:val="en-US" w:eastAsia="zh-CN" w:bidi="zh-CN"/>
        </w:rPr>
        <w:t>年度财政拨款支出</w:t>
      </w:r>
      <w:r>
        <w:rPr>
          <w:rFonts w:hint="eastAsia" w:ascii="Times New Roman" w:hAnsi="Times New Roman" w:eastAsia="方正仿宋_GBK" w:cs="Times New Roman"/>
          <w:snapToGrid/>
          <w:spacing w:val="-14"/>
          <w:kern w:val="0"/>
          <w:sz w:val="32"/>
          <w:szCs w:val="32"/>
          <w:lang w:val="en-US" w:eastAsia="zh-CN" w:bidi="zh-CN"/>
        </w:rPr>
        <w:t>64.65</w:t>
      </w:r>
      <w:r>
        <w:rPr>
          <w:rFonts w:ascii="Times New Roman" w:hAnsi="Times New Roman" w:eastAsia="方正仿宋_GBK" w:cs="Times New Roman"/>
          <w:snapToGrid/>
          <w:spacing w:val="-14"/>
          <w:kern w:val="0"/>
          <w:sz w:val="32"/>
          <w:szCs w:val="32"/>
          <w:lang w:val="en-US" w:eastAsia="zh-CN" w:bidi="zh-CN"/>
        </w:rPr>
        <w:t xml:space="preserve">万元，占本年支出的  </w:t>
      </w:r>
      <w:r>
        <w:rPr>
          <w:rFonts w:hint="eastAsia" w:ascii="Times New Roman" w:hAnsi="Times New Roman" w:eastAsia="方正仿宋_GBK" w:cs="Times New Roman"/>
          <w:snapToGrid/>
          <w:spacing w:val="-14"/>
          <w:kern w:val="0"/>
          <w:sz w:val="32"/>
          <w:szCs w:val="32"/>
          <w:lang w:val="en-US" w:eastAsia="zh-CN" w:bidi="zh-CN"/>
        </w:rPr>
        <w:t>7.65</w:t>
      </w:r>
      <w:r>
        <w:rPr>
          <w:rFonts w:ascii="Times New Roman" w:hAnsi="Times New Roman" w:eastAsia="方正仿宋_GBK" w:cs="Times New Roman"/>
          <w:snapToGrid/>
          <w:spacing w:val="-14"/>
          <w:kern w:val="0"/>
          <w:sz w:val="32"/>
          <w:szCs w:val="32"/>
          <w:lang w:val="en-US" w:eastAsia="zh-CN" w:bidi="zh-CN"/>
        </w:rPr>
        <w:t>%。与202</w:t>
      </w:r>
      <w:r>
        <w:rPr>
          <w:rFonts w:hint="eastAsia" w:ascii="Times New Roman" w:hAnsi="Times New Roman" w:eastAsia="方正仿宋_GBK" w:cs="Times New Roman"/>
          <w:snapToGrid/>
          <w:spacing w:val="-14"/>
          <w:kern w:val="0"/>
          <w:sz w:val="32"/>
          <w:szCs w:val="32"/>
          <w:lang w:val="en-US" w:eastAsia="zh-CN" w:bidi="zh-CN"/>
        </w:rPr>
        <w:t>2</w:t>
      </w:r>
      <w:r>
        <w:rPr>
          <w:rFonts w:ascii="Times New Roman" w:hAnsi="Times New Roman" w:eastAsia="方正仿宋_GBK" w:cs="Times New Roman"/>
          <w:snapToGrid/>
          <w:spacing w:val="-14"/>
          <w:kern w:val="0"/>
          <w:sz w:val="32"/>
          <w:szCs w:val="32"/>
          <w:lang w:val="en-US" w:eastAsia="zh-CN" w:bidi="zh-CN"/>
        </w:rPr>
        <w:t>年度相比，财政拨款支出</w:t>
      </w:r>
      <w:r>
        <w:rPr>
          <w:rFonts w:hint="eastAsia" w:ascii="Times New Roman" w:hAnsi="Times New Roman" w:eastAsia="方正仿宋_GBK" w:cs="Times New Roman"/>
          <w:snapToGrid/>
          <w:spacing w:val="-14"/>
          <w:kern w:val="0"/>
          <w:sz w:val="32"/>
          <w:szCs w:val="32"/>
          <w:lang w:val="en-US" w:eastAsia="zh-CN" w:bidi="zh-CN"/>
        </w:rPr>
        <w:t>增加15.45</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上升31.40</w:t>
      </w:r>
      <w:r>
        <w:rPr>
          <w:rFonts w:ascii="Times New Roman" w:hAnsi="Times New Roman" w:eastAsia="方正仿宋_GBK" w:cs="Times New Roman"/>
          <w:snapToGrid/>
          <w:spacing w:val="-14"/>
          <w:kern w:val="0"/>
          <w:sz w:val="32"/>
          <w:szCs w:val="32"/>
          <w:lang w:val="en-US" w:eastAsia="zh-CN" w:bidi="zh-CN"/>
        </w:rPr>
        <w:t>%</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主要是</w:t>
      </w:r>
      <w:r>
        <w:rPr>
          <w:rFonts w:hint="eastAsia" w:ascii="Times New Roman" w:hAnsi="Times New Roman" w:eastAsia="方正仿宋_GBK" w:cs="Times New Roman"/>
          <w:snapToGrid/>
          <w:spacing w:val="-14"/>
          <w:kern w:val="0"/>
          <w:sz w:val="32"/>
          <w:szCs w:val="32"/>
          <w:lang w:val="en-US" w:eastAsia="zh-CN" w:bidi="zh-CN"/>
        </w:rPr>
        <w:t>项目经费支出增加</w:t>
      </w:r>
      <w:r>
        <w:rPr>
          <w:rFonts w:ascii="Times New Roman" w:hAnsi="Times New Roman" w:eastAsia="方正仿宋_GBK" w:cs="Times New Roman"/>
          <w:snapToGrid/>
          <w:spacing w:val="-14"/>
          <w:kern w:val="0"/>
          <w:sz w:val="32"/>
          <w:szCs w:val="32"/>
          <w:lang w:val="en-US" w:eastAsia="zh-CN" w:bidi="zh-CN"/>
        </w:rPr>
        <w:t>。</w:t>
      </w:r>
    </w:p>
    <w:p>
      <w:pPr>
        <w:spacing w:before="155" w:line="600" w:lineRule="exact"/>
        <w:ind w:left="2302"/>
        <w:rPr>
          <w:rFonts w:ascii="微软雅黑" w:hAnsi="微软雅黑" w:eastAsia="微软雅黑" w:cs="微软雅黑"/>
          <w:sz w:val="28"/>
          <w:szCs w:val="28"/>
        </w:rPr>
      </w:pPr>
      <w:r>
        <w:rPr>
          <w:rFonts w:ascii="微软雅黑" w:hAnsi="微软雅黑" w:eastAsia="微软雅黑" w:cs="微软雅黑"/>
          <w:spacing w:val="-5"/>
          <w:position w:val="22"/>
          <w:sz w:val="28"/>
          <w:szCs w:val="28"/>
        </w:rPr>
        <w:t xml:space="preserve">图 </w:t>
      </w:r>
      <w:r>
        <w:rPr>
          <w:rFonts w:ascii="Times New Roman" w:hAnsi="Times New Roman" w:eastAsia="Times New Roman" w:cs="Times New Roman"/>
          <w:spacing w:val="-5"/>
          <w:position w:val="22"/>
          <w:sz w:val="28"/>
          <w:szCs w:val="28"/>
        </w:rPr>
        <w:t>5</w:t>
      </w:r>
      <w:r>
        <w:rPr>
          <w:rFonts w:ascii="微软雅黑" w:hAnsi="微软雅黑" w:eastAsia="微软雅黑" w:cs="微软雅黑"/>
          <w:spacing w:val="-5"/>
          <w:position w:val="22"/>
          <w:sz w:val="28"/>
          <w:szCs w:val="28"/>
        </w:rPr>
        <w:t>：财政拨款支出决算变动情况</w:t>
      </w:r>
    </w:p>
    <w:p>
      <w:pPr>
        <w:spacing w:line="198" w:lineRule="auto"/>
        <w:ind w:left="3074"/>
        <w:rPr>
          <w:rFonts w:ascii="微软雅黑" w:hAnsi="微软雅黑" w:eastAsia="微软雅黑" w:cs="微软雅黑"/>
          <w:sz w:val="28"/>
          <w:szCs w:val="28"/>
        </w:rPr>
      </w:pPr>
      <w:r>
        <w:rPr>
          <w:rFonts w:ascii="微软雅黑" w:hAnsi="微软雅黑" w:eastAsia="微软雅黑" w:cs="微软雅黑"/>
          <w:spacing w:val="3"/>
          <w:sz w:val="28"/>
          <w:szCs w:val="28"/>
        </w:rPr>
        <w:t>（单位</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万元）</w:t>
      </w:r>
    </w:p>
    <w:p>
      <w:pPr>
        <w:pStyle w:val="3"/>
        <w:spacing w:line="340" w:lineRule="auto"/>
      </w:pPr>
      <w:r>
        <w:rPr>
          <w:rFonts w:hint="eastAsia" w:eastAsia="宋体"/>
          <w:lang w:val="en-US" w:eastAsia="zh-CN"/>
        </w:rPr>
        <w:t xml:space="preserve">            </w:t>
      </w:r>
      <w:r>
        <w:drawing>
          <wp:inline distT="0" distB="0" distL="114300" distR="114300">
            <wp:extent cx="4396105" cy="2524760"/>
            <wp:effectExtent l="4445" t="4445" r="19050" b="2349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（二）财政拨款支出决算结构情况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w:t>
      </w:r>
      <w:r>
        <w:rPr>
          <w:rFonts w:hint="eastAsia" w:ascii="Times New Roman" w:hAnsi="Times New Roman" w:eastAsia="方正仿宋_GBK" w:cs="Times New Roman"/>
          <w:snapToGrid/>
          <w:spacing w:val="-14"/>
          <w:kern w:val="0"/>
          <w:sz w:val="32"/>
          <w:szCs w:val="32"/>
          <w:lang w:val="en-US" w:eastAsia="zh-CN" w:bidi="zh-CN"/>
        </w:rPr>
        <w:t>3</w:t>
      </w:r>
      <w:r>
        <w:rPr>
          <w:rFonts w:ascii="Times New Roman" w:hAnsi="Times New Roman" w:eastAsia="方正仿宋_GBK" w:cs="Times New Roman"/>
          <w:snapToGrid/>
          <w:spacing w:val="-14"/>
          <w:kern w:val="0"/>
          <w:sz w:val="32"/>
          <w:szCs w:val="32"/>
          <w:lang w:val="en-US" w:eastAsia="zh-CN" w:bidi="zh-CN"/>
        </w:rPr>
        <w:t xml:space="preserve"> 年度财政拨款支出</w:t>
      </w:r>
      <w:r>
        <w:rPr>
          <w:rFonts w:hint="eastAsia" w:ascii="Times New Roman" w:hAnsi="Times New Roman" w:eastAsia="方正仿宋_GBK" w:cs="Times New Roman"/>
          <w:snapToGrid/>
          <w:spacing w:val="-14"/>
          <w:kern w:val="0"/>
          <w:sz w:val="32"/>
          <w:szCs w:val="32"/>
          <w:lang w:val="en-US" w:eastAsia="zh-CN" w:bidi="zh-CN"/>
        </w:rPr>
        <w:t>64.65</w:t>
      </w:r>
      <w:r>
        <w:rPr>
          <w:rFonts w:ascii="Times New Roman" w:hAnsi="Times New Roman" w:eastAsia="方正仿宋_GBK" w:cs="Times New Roman"/>
          <w:snapToGrid/>
          <w:spacing w:val="-14"/>
          <w:kern w:val="0"/>
          <w:sz w:val="32"/>
          <w:szCs w:val="32"/>
          <w:lang w:val="en-US" w:eastAsia="zh-CN" w:bidi="zh-CN"/>
        </w:rPr>
        <w:t>万元，主要用于以下方面：</w:t>
      </w:r>
      <w:r>
        <w:rPr>
          <w:rFonts w:ascii="Times New Roman" w:hAnsi="Times New Roman" w:eastAsia="方正仿宋_GBK" w:cs="Times New Roman"/>
          <w:b/>
          <w:bCs/>
          <w:snapToGrid/>
          <w:spacing w:val="-14"/>
          <w:kern w:val="0"/>
          <w:sz w:val="32"/>
          <w:szCs w:val="32"/>
          <w:lang w:val="en-US" w:eastAsia="zh-CN" w:bidi="zh-CN"/>
        </w:rPr>
        <w:t>卫生健康（类）</w:t>
      </w:r>
      <w:r>
        <w:rPr>
          <w:rFonts w:ascii="Times New Roman" w:hAnsi="Times New Roman" w:eastAsia="方正仿宋_GBK" w:cs="Times New Roman"/>
          <w:snapToGrid/>
          <w:spacing w:val="-14"/>
          <w:kern w:val="0"/>
          <w:sz w:val="32"/>
          <w:szCs w:val="32"/>
          <w:lang w:val="en-US" w:eastAsia="zh-CN" w:bidi="zh-CN"/>
        </w:rPr>
        <w:t>支出</w:t>
      </w:r>
      <w:r>
        <w:rPr>
          <w:rFonts w:hint="eastAsia" w:ascii="Times New Roman" w:hAnsi="Times New Roman" w:eastAsia="方正仿宋_GBK" w:cs="Times New Roman"/>
          <w:snapToGrid/>
          <w:spacing w:val="-14"/>
          <w:kern w:val="0"/>
          <w:sz w:val="32"/>
          <w:szCs w:val="32"/>
          <w:lang w:val="en-US" w:eastAsia="zh-CN" w:bidi="zh-CN"/>
        </w:rPr>
        <w:t>1.07</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1.66</w:t>
      </w:r>
      <w:r>
        <w:rPr>
          <w:rFonts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b/>
          <w:bCs/>
          <w:snapToGrid/>
          <w:spacing w:val="-14"/>
          <w:kern w:val="0"/>
          <w:sz w:val="32"/>
          <w:szCs w:val="32"/>
          <w:lang w:val="en-US" w:eastAsia="zh-CN" w:bidi="zh-CN"/>
        </w:rPr>
        <w:t>灾害防治及应急管理（类）</w:t>
      </w:r>
      <w:r>
        <w:rPr>
          <w:rFonts w:ascii="Times New Roman" w:hAnsi="Times New Roman" w:eastAsia="方正仿宋_GBK" w:cs="Times New Roman"/>
          <w:snapToGrid/>
          <w:spacing w:val="-14"/>
          <w:kern w:val="0"/>
          <w:sz w:val="32"/>
          <w:szCs w:val="32"/>
          <w:lang w:val="en-US" w:eastAsia="zh-CN" w:bidi="zh-CN"/>
        </w:rPr>
        <w:t>支出</w:t>
      </w:r>
      <w:r>
        <w:rPr>
          <w:rFonts w:hint="eastAsia" w:ascii="Times New Roman" w:hAnsi="Times New Roman" w:eastAsia="方正仿宋_GBK" w:cs="Times New Roman"/>
          <w:snapToGrid/>
          <w:spacing w:val="-14"/>
          <w:kern w:val="0"/>
          <w:sz w:val="32"/>
          <w:szCs w:val="32"/>
          <w:lang w:val="en-US" w:eastAsia="zh-CN" w:bidi="zh-CN"/>
        </w:rPr>
        <w:t>63.58</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98.34</w:t>
      </w:r>
      <w:r>
        <w:rPr>
          <w:rFonts w:ascii="Times New Roman" w:hAnsi="Times New Roman" w:eastAsia="方正仿宋_GBK" w:cs="Times New Roman"/>
          <w:snapToGrid/>
          <w:spacing w:val="-14"/>
          <w:kern w:val="0"/>
          <w:sz w:val="32"/>
          <w:szCs w:val="32"/>
          <w:lang w:val="en-US" w:eastAsia="zh-CN" w:bidi="zh-CN"/>
        </w:rPr>
        <w:t>%。</w:t>
      </w:r>
    </w:p>
    <w:p>
      <w:pPr>
        <w:pStyle w:val="2"/>
        <w:rPr>
          <w:rFonts w:ascii="Times New Roman" w:hAnsi="Times New Roman" w:eastAsia="方正仿宋_GBK" w:cs="Times New Roman"/>
          <w:snapToGrid/>
          <w:spacing w:val="-14"/>
          <w:kern w:val="0"/>
          <w:sz w:val="32"/>
          <w:szCs w:val="32"/>
          <w:lang w:val="en-US" w:eastAsia="zh-CN" w:bidi="zh-CN"/>
        </w:rPr>
      </w:pPr>
    </w:p>
    <w:p>
      <w:pPr>
        <w:spacing w:before="255" w:line="203" w:lineRule="auto"/>
        <w:jc w:val="center"/>
        <w:rPr>
          <w:rFonts w:ascii="微软雅黑" w:hAnsi="微软雅黑" w:eastAsia="微软雅黑" w:cs="微软雅黑"/>
          <w:sz w:val="28"/>
          <w:szCs w:val="28"/>
        </w:rPr>
      </w:pPr>
      <w:r>
        <w:rPr>
          <w:rFonts w:ascii="微软雅黑" w:hAnsi="微软雅黑" w:eastAsia="微软雅黑" w:cs="微软雅黑"/>
          <w:spacing w:val="-5"/>
          <w:sz w:val="28"/>
          <w:szCs w:val="28"/>
        </w:rPr>
        <w:t xml:space="preserve">图 </w:t>
      </w:r>
      <w:r>
        <w:rPr>
          <w:rFonts w:ascii="Times New Roman" w:hAnsi="Times New Roman" w:eastAsia="Times New Roman" w:cs="Times New Roman"/>
          <w:spacing w:val="-5"/>
          <w:sz w:val="28"/>
          <w:szCs w:val="28"/>
        </w:rPr>
        <w:t>6</w:t>
      </w:r>
      <w:r>
        <w:rPr>
          <w:rFonts w:ascii="微软雅黑" w:hAnsi="微软雅黑" w:eastAsia="微软雅黑" w:cs="微软雅黑"/>
          <w:spacing w:val="-5"/>
          <w:sz w:val="28"/>
          <w:szCs w:val="28"/>
        </w:rPr>
        <w:t>：财政拨款支出决算结构</w:t>
      </w:r>
    </w:p>
    <w:p>
      <w:pPr>
        <w:pStyle w:val="2"/>
        <w:rPr>
          <w:rFonts w:ascii="Times New Roman" w:hAnsi="Times New Roman" w:eastAsia="方正仿宋_GBK" w:cs="Times New Roman"/>
          <w:snapToGrid/>
          <w:spacing w:val="-14"/>
          <w:kern w:val="0"/>
          <w:sz w:val="32"/>
          <w:szCs w:val="32"/>
          <w:lang w:val="en-US" w:eastAsia="zh-CN" w:bidi="zh-CN"/>
        </w:rPr>
      </w:pPr>
    </w:p>
    <w:p>
      <w:pPr>
        <w:spacing w:before="255" w:line="203" w:lineRule="auto"/>
        <w:jc w:val="cente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2"/>
      </w:pP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（三）财政拨款支出决算具体情况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w:t>
      </w:r>
      <w:r>
        <w:rPr>
          <w:rFonts w:hint="eastAsia" w:ascii="Times New Roman" w:hAnsi="Times New Roman" w:eastAsia="方正仿宋_GBK" w:cs="Times New Roman"/>
          <w:snapToGrid/>
          <w:spacing w:val="-14"/>
          <w:kern w:val="0"/>
          <w:sz w:val="32"/>
          <w:szCs w:val="32"/>
          <w:lang w:val="en-US" w:eastAsia="zh-CN" w:bidi="zh-CN"/>
        </w:rPr>
        <w:t>3</w:t>
      </w:r>
      <w:r>
        <w:rPr>
          <w:rFonts w:ascii="Times New Roman" w:hAnsi="Times New Roman" w:eastAsia="方正仿宋_GBK" w:cs="Times New Roman"/>
          <w:snapToGrid/>
          <w:spacing w:val="-14"/>
          <w:kern w:val="0"/>
          <w:sz w:val="32"/>
          <w:szCs w:val="32"/>
          <w:lang w:val="en-US" w:eastAsia="zh-CN" w:bidi="zh-CN"/>
        </w:rPr>
        <w:t>年度财政拨款支出年初预算为</w:t>
      </w:r>
      <w:r>
        <w:rPr>
          <w:rFonts w:hint="eastAsia" w:ascii="Times New Roman" w:hAnsi="Times New Roman" w:eastAsia="方正仿宋_GBK" w:cs="Times New Roman"/>
          <w:snapToGrid/>
          <w:spacing w:val="-14"/>
          <w:kern w:val="0"/>
          <w:sz w:val="32"/>
          <w:szCs w:val="32"/>
          <w:lang w:val="en-US" w:eastAsia="zh-CN" w:bidi="zh-CN"/>
        </w:rPr>
        <w:t>67.98</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64.65</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95.10</w:t>
      </w:r>
      <w:r>
        <w:rPr>
          <w:rFonts w:ascii="Times New Roman" w:hAnsi="Times New Roman" w:eastAsia="方正仿宋_GBK" w:cs="Times New Roman"/>
          <w:snapToGrid/>
          <w:spacing w:val="-14"/>
          <w:kern w:val="0"/>
          <w:sz w:val="32"/>
          <w:szCs w:val="32"/>
          <w:lang w:val="en-US" w:eastAsia="zh-CN" w:bidi="zh-CN"/>
        </w:rPr>
        <w:t>%。其中：</w:t>
      </w:r>
    </w:p>
    <w:p>
      <w:pPr>
        <w:widowControl w:val="0"/>
        <w:kinsoku/>
        <w:adjustRightInd/>
        <w:snapToGrid/>
        <w:spacing w:before="100" w:beforeAutospacing="1" w:line="579" w:lineRule="exact"/>
        <w:ind w:firstLine="587"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1</w:t>
      </w:r>
      <w:r>
        <w:rPr>
          <w:rFonts w:ascii="Times New Roman" w:hAnsi="Times New Roman" w:eastAsia="方正仿宋_GBK" w:cs="Times New Roman"/>
          <w:b/>
          <w:bCs/>
          <w:snapToGrid/>
          <w:spacing w:val="-14"/>
          <w:kern w:val="0"/>
          <w:sz w:val="32"/>
          <w:szCs w:val="32"/>
          <w:lang w:val="en-US" w:eastAsia="zh-CN" w:bidi="zh-CN"/>
        </w:rPr>
        <w:t>.健康支出（类）行政事业单位医疗（款）其他行政事业单位医疗支出（项）。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1.07</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1.07</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w:t>
      </w:r>
    </w:p>
    <w:p>
      <w:pPr>
        <w:widowControl w:val="0"/>
        <w:kinsoku/>
        <w:adjustRightInd/>
        <w:snapToGrid/>
        <w:spacing w:before="100" w:beforeAutospacing="1" w:line="579" w:lineRule="exact"/>
        <w:ind w:firstLine="587"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2.灾害防治及应急管理（类）消防事务（款）行政运行（项）。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17</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17</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w:t>
      </w:r>
    </w:p>
    <w:p>
      <w:pPr>
        <w:widowControl w:val="0"/>
        <w:kinsoku/>
        <w:adjustRightInd/>
        <w:snapToGrid/>
        <w:spacing w:before="100" w:beforeAutospacing="1" w:line="579" w:lineRule="exact"/>
        <w:ind w:firstLine="587"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3.灾害防治及应急管理（类）消防事务（款）消防应急救援（项）。</w:t>
      </w:r>
      <w:r>
        <w:rPr>
          <w:rFonts w:hint="eastAsia" w:ascii="Times New Roman" w:hAnsi="Times New Roman" w:eastAsia="方正仿宋_GBK" w:cs="Times New Roman"/>
          <w:snapToGrid/>
          <w:spacing w:val="-14"/>
          <w:kern w:val="0"/>
          <w:sz w:val="32"/>
          <w:szCs w:val="32"/>
          <w:lang w:val="en-US" w:eastAsia="zh-CN" w:bidi="zh-CN"/>
        </w:rPr>
        <w:t>年初预算为49.91万元</w:t>
      </w:r>
      <w:r>
        <w:rPr>
          <w:rFonts w:hint="default" w:ascii="Times New Roman" w:hAnsi="Times New Roman" w:eastAsia="方正仿宋_GBK" w:cs="Times New Roman"/>
          <w:snapToGrid/>
          <w:spacing w:val="-14"/>
          <w:kern w:val="0"/>
          <w:sz w:val="32"/>
          <w:szCs w:val="32"/>
          <w:lang w:val="en" w:eastAsia="zh-CN" w:bidi="zh-CN"/>
        </w:rPr>
        <w:t>,</w:t>
      </w:r>
      <w:r>
        <w:rPr>
          <w:rFonts w:hint="eastAsia" w:ascii="Times New Roman" w:hAnsi="Times New Roman" w:eastAsia="方正仿宋_GBK" w:cs="Times New Roman"/>
          <w:snapToGrid/>
          <w:spacing w:val="-14"/>
          <w:kern w:val="0"/>
          <w:sz w:val="32"/>
          <w:szCs w:val="32"/>
          <w:lang w:val="en-US" w:eastAsia="zh-CN" w:bidi="zh-CN"/>
        </w:rPr>
        <w:t>支出决算为46.58万元，完成年初预算的93.33%。年末财政拨款结转和结余3.33万元。</w:t>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六、一般公共预算财政拨款基本支出决算情况说明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2023年度财政拨款基本支出18.07万元，其中：人员经费1.07万元，主要为医疗费；公用经费17万元，主要包括办公费、电费、维修（护）费、工会经费、公务用车运行维护费、其他商品和服务支出。</w:t>
      </w:r>
    </w:p>
    <w:p>
      <w:pPr>
        <w:spacing w:before="116" w:line="236" w:lineRule="auto"/>
        <w:ind w:left="668"/>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七、一般公共预算财政拨款</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4"/>
          <w:sz w:val="31"/>
          <w:szCs w:val="31"/>
        </w:rPr>
        <w:t xml:space="preserve"> </w:t>
      </w:r>
      <w:r>
        <w:rPr>
          <w:rFonts w:ascii="方正黑体_GBK" w:hAnsi="方正黑体_GBK" w:eastAsia="方正黑体_GBK" w:cs="方正黑体_GBK"/>
          <w:spacing w:val="7"/>
          <w:sz w:val="31"/>
          <w:szCs w:val="31"/>
        </w:rPr>
        <w:t>三公</w:t>
      </w:r>
      <w:r>
        <w:rPr>
          <w:rFonts w:ascii="Times New Roman" w:hAnsi="Times New Roman" w:eastAsia="Times New Roman" w:cs="Times New Roman"/>
          <w:spacing w:val="7"/>
          <w:sz w:val="31"/>
          <w:szCs w:val="31"/>
        </w:rPr>
        <w:t>”</w:t>
      </w:r>
      <w:r>
        <w:rPr>
          <w:rFonts w:ascii="方正黑体_GBK" w:hAnsi="方正黑体_GBK" w:eastAsia="方正黑体_GBK" w:cs="方正黑体_GBK"/>
          <w:spacing w:val="7"/>
          <w:sz w:val="31"/>
          <w:szCs w:val="31"/>
        </w:rPr>
        <w:t>经费支出决算情况</w:t>
      </w:r>
      <w:r>
        <w:rPr>
          <w:rFonts w:ascii="方正黑体_GBK" w:hAnsi="方正黑体_GBK" w:eastAsia="方正黑体_GBK" w:cs="方正黑体_GBK"/>
          <w:spacing w:val="6"/>
          <w:sz w:val="31"/>
          <w:szCs w:val="31"/>
        </w:rPr>
        <w:t>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（一）“三公”经费财政拨款支出决算总体情况说明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2023年度“三公”经费财政拨款支出预算为1万元，支出决算为1万元，完成预算的100%。认真贯彻落实中央“八项规定”精神和“过紧日子”要求，从严控制“三公”经费开支。</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（二）“三公”经费财政拨款支出决算具体情况说明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2023年度“三公”经费财政拨款支出预算为1万元，均为公务用车运行支出决算。主要是公务用车燃料费、维修费、过桥过路费、保险费等支出。</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八、机关运行经费支出说明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攸县消防救援大队2023年度机关运行经费支出18.07万元，比2022年减少1.13万元。主要原因是大队落实“过紧日子”要求，压减机关运行经费开支。</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九、政府采购支出说明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color w:val="auto"/>
          <w:spacing w:val="-14"/>
          <w:kern w:val="0"/>
          <w:sz w:val="32"/>
          <w:szCs w:val="32"/>
          <w:lang w:val="en-US" w:eastAsia="zh-CN" w:bidi="zh-CN"/>
        </w:rPr>
      </w:pPr>
      <w:r>
        <w:rPr>
          <w:rFonts w:hint="eastAsia" w:ascii="Times New Roman" w:hAnsi="Times New Roman" w:eastAsia="方正仿宋_GBK" w:cs="Times New Roman"/>
          <w:snapToGrid/>
          <w:color w:val="auto"/>
          <w:spacing w:val="-14"/>
          <w:kern w:val="0"/>
          <w:sz w:val="32"/>
          <w:szCs w:val="32"/>
          <w:lang w:val="en-US" w:eastAsia="zh-CN" w:bidi="zh-CN"/>
        </w:rPr>
        <w:t>攸县消防救援大队2023年度政府采购支出总额0万元。</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十、国有资产占用情况说明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截至2023年12月31日，攸县消防救援大队共有车11辆，其中：</w:t>
      </w:r>
      <w:r>
        <w:rPr>
          <w:rFonts w:hint="eastAsia" w:ascii="方正仿宋_GBK" w:hAnsi="方正仿宋_GBK" w:eastAsia="方正仿宋_GBK" w:cs="方正仿宋_GBK"/>
          <w:spacing w:val="8"/>
          <w:sz w:val="32"/>
          <w:szCs w:val="32"/>
        </w:rPr>
        <w:t>其中执勤消防车</w:t>
      </w:r>
      <w:r>
        <w:rPr>
          <w:rFonts w:hint="eastAsia" w:ascii="方正仿宋_GBK" w:hAnsi="方正仿宋_GBK" w:eastAsia="方正仿宋_GBK" w:cs="方正仿宋_GBK"/>
          <w:spacing w:val="8"/>
          <w:sz w:val="32"/>
          <w:szCs w:val="32"/>
          <w:lang w:val="en-US" w:eastAsia="zh-CN"/>
        </w:rPr>
        <w:t>8</w:t>
      </w:r>
      <w:r>
        <w:rPr>
          <w:rFonts w:hint="eastAsia" w:ascii="方正仿宋_GBK" w:hAnsi="方正仿宋_GBK" w:eastAsia="方正仿宋_GBK" w:cs="方正仿宋_GBK"/>
          <w:spacing w:val="8"/>
          <w:sz w:val="32"/>
          <w:szCs w:val="32"/>
        </w:rPr>
        <w:t>辆（包含支队2022年调拨排涝车1辆、</w:t>
      </w:r>
      <w:r>
        <w:rPr>
          <w:rFonts w:hint="eastAsia" w:ascii="方正仿宋_GBK" w:hAnsi="方正仿宋_GBK" w:eastAsia="方正仿宋_GBK" w:cs="方正仿宋_GBK"/>
          <w:spacing w:val="8"/>
          <w:sz w:val="32"/>
          <w:szCs w:val="32"/>
          <w:lang w:eastAsia="zh-CN"/>
        </w:rPr>
        <w:t>抢险救援模块车</w:t>
      </w:r>
      <w:r>
        <w:rPr>
          <w:rFonts w:hint="eastAsia" w:ascii="方正仿宋_GBK" w:hAnsi="方正仿宋_GBK" w:eastAsia="方正仿宋_GBK" w:cs="方正仿宋_GBK"/>
          <w:spacing w:val="8"/>
          <w:sz w:val="32"/>
          <w:szCs w:val="32"/>
        </w:rPr>
        <w:t>1台），皮卡车1辆，行政车2辆</w:t>
      </w:r>
      <w:r>
        <w:rPr>
          <w:rFonts w:hint="eastAsia" w:ascii="方正仿宋_GBK" w:hAnsi="方正仿宋_GBK" w:eastAsia="方正仿宋_GBK" w:cs="方正仿宋_GBK"/>
          <w:spacing w:val="8"/>
          <w:sz w:val="32"/>
          <w:szCs w:val="32"/>
          <w:lang w:eastAsia="zh-CN"/>
        </w:rPr>
        <w:t>。</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十一、预算绩效情况说明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（一）预算绩效管理工作开展情况</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根据预算绩效管理要求，攸县消防救援大队组织对2023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（二）项目绩效自评结果</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服装护具及伙食补助项目绩效自评综述：根据年初设定的绩效目标，项目自评得分为99分。项目全年预算数92.93万元，执行数为89.6万元，完成预算的96.42% 。项目绩效目标完成情况：依据人员实力和伙食费补助标准，保障了消防救援人员需要。</w:t>
      </w: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ind w:left="0" w:leftChars="0" w:firstLine="0" w:firstLineChars="0"/>
        <w:rPr>
          <w:rFonts w:ascii="微软雅黑" w:hAnsi="微软雅黑" w:eastAsia="微软雅黑" w:cs="微软雅黑"/>
          <w:spacing w:val="4"/>
          <w:sz w:val="31"/>
          <w:szCs w:val="31"/>
        </w:rPr>
      </w:pPr>
    </w:p>
    <w:p>
      <w:pPr>
        <w:pStyle w:val="2"/>
        <w:ind w:left="0" w:leftChars="0" w:firstLine="0" w:firstLineChars="0"/>
        <w:rPr>
          <w:rFonts w:ascii="微软雅黑" w:hAnsi="微软雅黑" w:eastAsia="微软雅黑" w:cs="微软雅黑"/>
          <w:spacing w:val="4"/>
          <w:sz w:val="31"/>
          <w:szCs w:val="31"/>
        </w:rPr>
      </w:pPr>
    </w:p>
    <w:tbl>
      <w:tblPr>
        <w:tblStyle w:val="4"/>
        <w:tblW w:w="9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929"/>
        <w:gridCol w:w="1323"/>
        <w:gridCol w:w="759"/>
        <w:gridCol w:w="1001"/>
        <w:gridCol w:w="852"/>
        <w:gridCol w:w="1144"/>
        <w:gridCol w:w="876"/>
        <w:gridCol w:w="993"/>
        <w:gridCol w:w="23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297"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攸县大队伙食补助费绩效自评表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97"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9"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2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0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9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79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攸县大队伙食补助费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主管部门</w:t>
            </w:r>
          </w:p>
        </w:tc>
        <w:tc>
          <w:tcPr>
            <w:tcW w:w="3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225 消防救援局</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实施单位</w:t>
            </w:r>
          </w:p>
        </w:tc>
        <w:tc>
          <w:tcPr>
            <w:tcW w:w="4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攸县消防救援大队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项目资金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（万元）</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全年执行数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执行率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92.93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92.93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89.6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96.42%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其中：财政拨款</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45.64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45.64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42.31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92.7%</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上年结转资金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4.27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4.27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43.02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43.02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43.02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年度总体目标</w:t>
            </w:r>
          </w:p>
        </w:tc>
        <w:tc>
          <w:tcPr>
            <w:tcW w:w="48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预期目标</w:t>
            </w:r>
          </w:p>
        </w:tc>
        <w:tc>
          <w:tcPr>
            <w:tcW w:w="4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6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科学调剂伙食，保证消防救援指战员营养和体能消耗需要，提升队伍战斗力，预算执行率达到 95%以上。</w:t>
            </w:r>
          </w:p>
        </w:tc>
        <w:tc>
          <w:tcPr>
            <w:tcW w:w="403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2023年度，攸县消防救援大队切实保证消防救援人员营养与体能消耗需要，按照健康饮食、荤素搭配的原则，科学调剂伙食，预算执行率达到96.42%。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绩效指标</w:t>
            </w:r>
          </w:p>
        </w:tc>
        <w:tc>
          <w:tcPr>
            <w:tcW w:w="929"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产出指标</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7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96.42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19.28</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伙食费标准提高，追加3.33万元，结转到下年度使用。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专款专用率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食品安全率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20</w:t>
            </w:r>
          </w:p>
        </w:tc>
        <w:tc>
          <w:tcPr>
            <w:tcW w:w="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7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保持消防员充沛体力，提升战斗力。</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显著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显著</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17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消防员对伙食满意度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4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99.28</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12035" w:lineRule="exact"/>
        <w:sectPr>
          <w:footerReference r:id="rId11" w:type="default"/>
          <w:pgSz w:w="11906" w:h="16839"/>
          <w:pgMar w:top="1413" w:right="1254" w:bottom="1157" w:left="1785" w:header="0" w:footer="992" w:gutter="0"/>
          <w:cols w:space="720" w:num="1"/>
        </w:sectPr>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3052" w:lineRule="exact"/>
      </w:pPr>
      <w:r>
        <w:rPr>
          <w:position w:val="-61"/>
        </w:rPr>
        <w:pict>
          <v:shape id="_x0000_s1040" o:spid="_x0000_s1040" o:spt="202" type="#_x0000_t202" style="height:152.65pt;width:595.3pt;" fillcolor="#95B3D7" filled="t" stroked="f" coordsize="21600,21600">
            <v:path/>
            <v:fill on="t" focussize="0,0"/>
            <v:stroke on="f"/>
            <v:imagedata o:title=""/>
            <o:lock v:ext="edit" aspectratio="f"/>
            <v:textbox inset="0mm,0mm,0mm,0mm">
              <w:txbxContent>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89" w:line="232" w:lineRule="auto"/>
                    <w:ind w:left="3777"/>
                    <w:rPr>
                      <w:rFonts w:ascii="方正黑体_GBK" w:hAnsi="方正黑体_GBK" w:eastAsia="方正黑体_GBK" w:cs="方正黑体_GBK"/>
                      <w:sz w:val="52"/>
                      <w:szCs w:val="52"/>
                    </w:rPr>
                  </w:pP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第四部分</w:t>
                  </w:r>
                  <w:r>
                    <w:rPr>
                      <w:rFonts w:ascii="方正黑体_GBK" w:hAnsi="方正黑体_GBK" w:eastAsia="方正黑体_GBK" w:cs="方正黑体_GBK"/>
                      <w:spacing w:val="146"/>
                      <w:sz w:val="52"/>
                      <w:szCs w:val="52"/>
                    </w:rPr>
                    <w:t xml:space="preserve"> </w:t>
                  </w: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名词解释</w:t>
                  </w:r>
                </w:p>
              </w:txbxContent>
            </v:textbox>
            <w10:wrap type="none"/>
            <w10:anchorlock/>
          </v:shape>
        </w:pict>
      </w:r>
    </w:p>
    <w:p>
      <w:pPr>
        <w:spacing w:line="3052" w:lineRule="exact"/>
        <w:sectPr>
          <w:footerReference r:id="rId12" w:type="default"/>
          <w:pgSz w:w="11906" w:h="16839"/>
          <w:pgMar w:top="1431" w:right="0" w:bottom="1157" w:left="0" w:header="0" w:footer="992" w:gutter="0"/>
          <w:cols w:space="720" w:num="1"/>
        </w:sectPr>
      </w:pP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（一）一般公共预算财政拨款收入：指中央财政当年拨付的资金。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（二）事业收入：指事业单位开展专业业务活动及辅助活动所取得的收入。</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（三）其他收入：指除上述“一般公共预算财政拨款收入”“事业收入”“事业单位经营收入”等以外的收入。</w:t>
      </w:r>
    </w:p>
    <w:p>
      <w:pPr>
        <w:spacing w:before="174" w:line="562" w:lineRule="exact"/>
        <w:ind w:firstLine="584" w:firstLineChars="200"/>
        <w:jc w:val="both"/>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（四）使用非财政拨款结余：指单位使用以前年度累的非财政拨款结余弥补当年收支差额的金额。</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（五）年初结转和结余：指单位以前年度尚未完成、结转到本年按有关规定继续使用的资金。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（六）社会保障和就业支出（类）行政事业单位养老支出（款）机关事业单位基本养老保险缴费支出（项）：指机关事业单位实施养老保险制度由单位缴纳的基本养老保险费支出。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（七）社会保障和就业支出（类）行政事业单位养老支出（款）机关事业单位职业年金缴费支出（项）：指机关事业单位实施养老保险制度由单位实际缴纳的职业年金支出。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（八）卫生健康支出（类）行政事业单位医疗（款）其他行政事业单位医疗支出（项）：指中央财政安排的行政单位（包括参照公务员法管理事业单位）基本医疗保险缴费经费。</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（九）住房保障支出（类）住房改革支出（款）住房公积金（项）：反映行政事业单位按人力资源和社会保障部、财政部规定的基本工资和津贴补贴以及规定比例为职工缴纳的住房公积金。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（十）住房保障支出（类）住房改革支出（款）提租补贴（项）：反映按房改政策规定的标准，行政事业单位向职工（含离退休人员）发放的租金补贴。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（十一）住房保障支出（类）住房改革支出（款）购房补贴（项）：反映按房改政策规定，行政事业单位向符合条件职工（含离退休人员）发放的用于购买住房的补贴。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（十二）灾害防治及应急管理支出（类）消防事务（款）行政运行（项）：指原应急管理部消防救援局及所属消防救援队伍用于保障机构正常运行、开展日常工作的基本支出。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（十三）灾害防治及应急管理支出（类）消防事务（款）消防应急救援（项）：指原应急管理部消防救援局开展消防应急救援方面的支出。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（十四）结余分配：指事业单位按照会计制度规定缴纳的所得税以及从非财政补助结余中提取的职工福利基金、事业基金等。</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（十五）年末结转和结余：指单位本年度或以前年度预算安排、因客观条件发生变化未全部执行或未执行，结转到以后年度继续使用的资金，或项目已完成等产生的结余资金。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（十六）基本支出：指为保障机构正常运转、完成日常工作</w:t>
      </w:r>
    </w:p>
    <w:p>
      <w:pPr>
        <w:spacing w:before="174" w:line="562" w:lineRule="exact"/>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任务而发生的人员支出和公用支出。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（十七）项目支出：指在基本支出之外为完成特定行政任务和事业发展目标所发生的支出。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（十八）“三公” 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九）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13" w:type="default"/>
      <w:pgSz w:w="11906" w:h="16839"/>
      <w:pgMar w:top="1431" w:right="1163"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6"/>
      <w:rPr>
        <w:rFonts w:ascii="Calibri" w:hAnsi="Calibri" w:eastAsia="Calibri" w:cs="Calibri"/>
        <w:sz w:val="18"/>
        <w:szCs w:val="18"/>
      </w:rPr>
    </w:pPr>
    <w:r>
      <w:rPr>
        <w:rFonts w:ascii="Calibri" w:hAnsi="Calibri" w:eastAsia="Calibri" w:cs="Calibri"/>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67"/>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4"/>
      <w:rPr>
        <w:rFonts w:ascii="Calibri" w:hAnsi="Calibri" w:eastAsia="Calibri" w:cs="Calibri"/>
        <w:sz w:val="18"/>
        <w:szCs w:val="18"/>
      </w:rPr>
    </w:pPr>
    <w:r>
      <w:rPr>
        <w:rFonts w:ascii="Calibri" w:hAnsi="Calibri" w:eastAsia="Calibri" w:cs="Calibri"/>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171"/>
      <w:rPr>
        <w:rFonts w:ascii="Calibri" w:hAnsi="Calibri" w:eastAsia="Calibri" w:cs="Calibri"/>
        <w:sz w:val="18"/>
        <w:szCs w:val="18"/>
      </w:rPr>
    </w:pPr>
    <w:r>
      <w:rPr>
        <w:rFonts w:ascii="Calibri" w:hAnsi="Calibri" w:eastAsia="Calibri" w:cs="Calibri"/>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4"/>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35"/>
      <w:rPr>
        <w:rFonts w:ascii="Calibri" w:hAnsi="Calibri" w:eastAsia="Calibri" w:cs="Calibri"/>
        <w:sz w:val="18"/>
        <w:szCs w:val="18"/>
      </w:rPr>
    </w:pPr>
    <w:r>
      <w:rPr>
        <w:rFonts w:ascii="Calibri" w:hAnsi="Calibri" w:eastAsia="Calibri" w:cs="Calibri"/>
        <w:spacing w:val="-8"/>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rFonts w:ascii="Calibri" w:hAnsi="Calibri" w:eastAsia="Calibri" w:cs="Calibri"/>
        <w:spacing w:val="-5"/>
        <w:sz w:val="18"/>
        <w:szCs w:val="18"/>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129"/>
      <w:rPr>
        <w:rFonts w:ascii="Calibri" w:hAnsi="Calibri" w:eastAsia="Calibri" w:cs="Calibri"/>
        <w:sz w:val="18"/>
        <w:szCs w:val="18"/>
      </w:rPr>
    </w:pPr>
    <w:r>
      <w:rPr>
        <w:rFonts w:ascii="Calibri" w:hAnsi="Calibri" w:eastAsia="Calibri" w:cs="Calibri"/>
        <w:spacing w:val="-5"/>
        <w:sz w:val="18"/>
        <w:szCs w:val="18"/>
      </w:rPr>
      <w:t>36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rFonts w:ascii="Calibri" w:hAnsi="Calibri" w:eastAsia="Calibri" w:cs="Calibri"/>
        <w:spacing w:val="-5"/>
        <w:sz w:val="18"/>
        <w:szCs w:val="18"/>
      </w:rPr>
      <w:t>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E5YjI0NmIwYzkwMTE0MGYwYzRmNjQ2YmIzZDNlMWMifQ=="/>
  </w:docVars>
  <w:rsids>
    <w:rsidRoot w:val="00000000"/>
    <w:rsid w:val="00C51166"/>
    <w:rsid w:val="01736FA7"/>
    <w:rsid w:val="024602D8"/>
    <w:rsid w:val="036207B8"/>
    <w:rsid w:val="04D74983"/>
    <w:rsid w:val="0534627A"/>
    <w:rsid w:val="06A73409"/>
    <w:rsid w:val="073A7C14"/>
    <w:rsid w:val="07C35B28"/>
    <w:rsid w:val="08E815AA"/>
    <w:rsid w:val="092A3C3E"/>
    <w:rsid w:val="094620D8"/>
    <w:rsid w:val="0A8600DB"/>
    <w:rsid w:val="0C177D5B"/>
    <w:rsid w:val="0C9F1F6D"/>
    <w:rsid w:val="0D6B16A1"/>
    <w:rsid w:val="0EC266A4"/>
    <w:rsid w:val="10321608"/>
    <w:rsid w:val="11525735"/>
    <w:rsid w:val="12180373"/>
    <w:rsid w:val="16777D74"/>
    <w:rsid w:val="18252379"/>
    <w:rsid w:val="186A4D6A"/>
    <w:rsid w:val="18FA2EDF"/>
    <w:rsid w:val="19757653"/>
    <w:rsid w:val="1ACD0398"/>
    <w:rsid w:val="1D93516E"/>
    <w:rsid w:val="1E784883"/>
    <w:rsid w:val="1EBC3D5D"/>
    <w:rsid w:val="1F99183C"/>
    <w:rsid w:val="203E7B55"/>
    <w:rsid w:val="20AB72B1"/>
    <w:rsid w:val="22680EB9"/>
    <w:rsid w:val="22EA7B20"/>
    <w:rsid w:val="244A1131"/>
    <w:rsid w:val="2519649B"/>
    <w:rsid w:val="25421D67"/>
    <w:rsid w:val="255C2942"/>
    <w:rsid w:val="26AB7136"/>
    <w:rsid w:val="283C450B"/>
    <w:rsid w:val="286A488E"/>
    <w:rsid w:val="28923E83"/>
    <w:rsid w:val="295F30EF"/>
    <w:rsid w:val="29D27D69"/>
    <w:rsid w:val="29ED3764"/>
    <w:rsid w:val="2AE467F6"/>
    <w:rsid w:val="2C7E38F2"/>
    <w:rsid w:val="2CA1772C"/>
    <w:rsid w:val="2CC43190"/>
    <w:rsid w:val="2DC01BA9"/>
    <w:rsid w:val="2ECB16AF"/>
    <w:rsid w:val="316157B6"/>
    <w:rsid w:val="31E40EE6"/>
    <w:rsid w:val="34AA710F"/>
    <w:rsid w:val="354A7D4B"/>
    <w:rsid w:val="3D7A68C3"/>
    <w:rsid w:val="3D956BAE"/>
    <w:rsid w:val="3E0374C9"/>
    <w:rsid w:val="3F7546C2"/>
    <w:rsid w:val="417D62D7"/>
    <w:rsid w:val="43C8BF9B"/>
    <w:rsid w:val="44625310"/>
    <w:rsid w:val="46805F22"/>
    <w:rsid w:val="470E2DEB"/>
    <w:rsid w:val="47AB50BF"/>
    <w:rsid w:val="481B7779"/>
    <w:rsid w:val="4AFF5FAF"/>
    <w:rsid w:val="4B4106A4"/>
    <w:rsid w:val="4CCF1BE9"/>
    <w:rsid w:val="4D6C2383"/>
    <w:rsid w:val="4DA42E3E"/>
    <w:rsid w:val="4E324336"/>
    <w:rsid w:val="4F066990"/>
    <w:rsid w:val="4F1D4FCF"/>
    <w:rsid w:val="4F2F3ACD"/>
    <w:rsid w:val="4F5FC591"/>
    <w:rsid w:val="507516D4"/>
    <w:rsid w:val="53335E7F"/>
    <w:rsid w:val="53C35F16"/>
    <w:rsid w:val="5488491F"/>
    <w:rsid w:val="56C41E5B"/>
    <w:rsid w:val="5726500B"/>
    <w:rsid w:val="57EB0803"/>
    <w:rsid w:val="5A494B51"/>
    <w:rsid w:val="5CDD3C76"/>
    <w:rsid w:val="5CE4729D"/>
    <w:rsid w:val="5DB357F8"/>
    <w:rsid w:val="5E272CB2"/>
    <w:rsid w:val="60234096"/>
    <w:rsid w:val="62EE2739"/>
    <w:rsid w:val="697762EC"/>
    <w:rsid w:val="6A222CC8"/>
    <w:rsid w:val="6ACB400B"/>
    <w:rsid w:val="6E5E46FE"/>
    <w:rsid w:val="6FDD516C"/>
    <w:rsid w:val="70704DD5"/>
    <w:rsid w:val="726122A3"/>
    <w:rsid w:val="72E44ED2"/>
    <w:rsid w:val="73792C22"/>
    <w:rsid w:val="73BC13DD"/>
    <w:rsid w:val="73CA68AB"/>
    <w:rsid w:val="74F33CD5"/>
    <w:rsid w:val="75BF2246"/>
    <w:rsid w:val="75DE488F"/>
    <w:rsid w:val="76115B6B"/>
    <w:rsid w:val="76FD1003"/>
    <w:rsid w:val="78602705"/>
    <w:rsid w:val="792C3B64"/>
    <w:rsid w:val="79FED2C3"/>
    <w:rsid w:val="7B35C464"/>
    <w:rsid w:val="7D98438D"/>
    <w:rsid w:val="7DDEC656"/>
    <w:rsid w:val="7EEA256F"/>
    <w:rsid w:val="7F067F23"/>
    <w:rsid w:val="7F7D58EC"/>
    <w:rsid w:val="7F7FD243"/>
    <w:rsid w:val="7FD50AB1"/>
    <w:rsid w:val="7FDEE887"/>
    <w:rsid w:val="7FDF2600"/>
    <w:rsid w:val="7FF33277"/>
    <w:rsid w:val="8DEF00E9"/>
    <w:rsid w:val="9D4B5CFF"/>
    <w:rsid w:val="AD9576AC"/>
    <w:rsid w:val="BA7B23C6"/>
    <w:rsid w:val="BEFB5B42"/>
    <w:rsid w:val="C77FA91B"/>
    <w:rsid w:val="D5EF5B08"/>
    <w:rsid w:val="E2DF18E0"/>
    <w:rsid w:val="E3E75135"/>
    <w:rsid w:val="EABBC3B6"/>
    <w:rsid w:val="EB6F014B"/>
    <w:rsid w:val="EDFFBC34"/>
    <w:rsid w:val="EFB9061B"/>
    <w:rsid w:val="F2FF5966"/>
    <w:rsid w:val="F5DF1211"/>
    <w:rsid w:val="F5E76EF8"/>
    <w:rsid w:val="F6FCCDD2"/>
    <w:rsid w:val="F9F7DF24"/>
    <w:rsid w:val="FDDFF3A5"/>
    <w:rsid w:val="FE734873"/>
    <w:rsid w:val="FEF7BD29"/>
    <w:rsid w:val="FFBF6D8E"/>
    <w:rsid w:val="FFD44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9"/>
      <w:szCs w:val="19"/>
      <w:lang w:val="en-US" w:eastAsia="en-US" w:bidi="ar-SA"/>
    </w:rPr>
  </w:style>
  <w:style w:type="character" w:customStyle="1" w:styleId="8">
    <w:name w:val="font61"/>
    <w:basedOn w:val="5"/>
    <w:qFormat/>
    <w:uiPriority w:val="0"/>
    <w:rPr>
      <w:rFonts w:ascii="宋体" w:hAnsi="宋体" w:eastAsia="宋体" w:cs="宋体"/>
      <w:color w:val="000000"/>
      <w:sz w:val="18"/>
      <w:szCs w:val="18"/>
      <w:u w:val="none"/>
    </w:rPr>
  </w:style>
  <w:style w:type="character" w:customStyle="1" w:styleId="9">
    <w:name w:val="font21"/>
    <w:basedOn w:val="5"/>
    <w:qFormat/>
    <w:uiPriority w:val="0"/>
    <w:rPr>
      <w:rFonts w:ascii="宋体" w:hAnsi="宋体" w:eastAsia="宋体" w:cs="宋体"/>
      <w:b/>
      <w:color w:val="000000"/>
      <w:sz w:val="18"/>
      <w:szCs w:val="18"/>
      <w:u w:val="none"/>
    </w:rPr>
  </w:style>
  <w:style w:type="character" w:customStyle="1" w:styleId="10">
    <w:name w:val="font11"/>
    <w:basedOn w:val="5"/>
    <w:qFormat/>
    <w:uiPriority w:val="0"/>
    <w:rPr>
      <w:rFonts w:ascii="黑体" w:hAnsi="宋体" w:eastAsia="黑体" w:cs="黑体"/>
      <w:color w:val="000000"/>
      <w:sz w:val="12"/>
      <w:szCs w:val="12"/>
      <w:u w:val="none"/>
    </w:rPr>
  </w:style>
  <w:style w:type="character" w:customStyle="1" w:styleId="11">
    <w:name w:val="font01"/>
    <w:basedOn w:val="5"/>
    <w:qFormat/>
    <w:uiPriority w:val="0"/>
    <w:rPr>
      <w:rFonts w:ascii="宋体" w:hAnsi="宋体" w:eastAsia="宋体" w:cs="宋体"/>
      <w:color w:val="000000"/>
      <w:sz w:val="8"/>
      <w:szCs w:val="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3&#24180;&#37096;&#38376;&#20915;&#31639;&#25209;&#22797;\&#34920;&#2668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oleObject" Target="file:///C:\Users\Administrator\Desktop\2023&#24180;&#37096;&#38376;&#20915;&#31639;&#25209;&#22797;\&#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3&#24180;&#37096;&#38376;&#20915;&#31639;&#25209;&#22797;\&#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3&#24180;&#37096;&#38376;&#20915;&#31639;&#25209;&#22797;\&#34920;&#2668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3&#24180;&#37096;&#38376;&#20915;&#31639;&#25209;&#22797;\&#34920;&#2668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3&#24180;&#37096;&#38376;&#20915;&#31639;&#25209;&#22797;\&#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'[表格.xlsx]收、支决算总计变动情况 '!$A$4:$A$5</c:f>
              <c:strCache>
                <c:ptCount val="2"/>
                <c:pt idx="0">
                  <c:v>2022年</c:v>
                </c:pt>
                <c:pt idx="1">
                  <c:v>2023年</c:v>
                </c:pt>
              </c:strCache>
            </c:strRef>
          </c:cat>
          <c:val>
            <c:numRef>
              <c:f>'[表格.xlsx]收、支决算总计变动情况 '!$B$4:$B$5</c:f>
              <c:numCache>
                <c:formatCode>General</c:formatCode>
                <c:ptCount val="2"/>
                <c:pt idx="0">
                  <c:v>854.85</c:v>
                </c:pt>
                <c:pt idx="1">
                  <c:v>1091.73</c:v>
                </c:pt>
              </c:numCache>
            </c:numRef>
          </c:val>
        </c:ser>
        <c:dLbls>
          <c:showLegendKey val="0"/>
          <c:showVal val="0"/>
          <c:showCatName val="0"/>
          <c:showSerName val="0"/>
          <c:showPercent val="0"/>
          <c:showBubbleSize val="0"/>
        </c:dLbls>
        <c:gapWidth val="219"/>
        <c:overlap val="-27"/>
        <c:axId val="808553263"/>
        <c:axId val="579651379"/>
      </c:barChart>
      <c:catAx>
        <c:axId val="808553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9651379"/>
        <c:crosses val="autoZero"/>
        <c:auto val="1"/>
        <c:lblAlgn val="ctr"/>
        <c:lblOffset val="100"/>
        <c:noMultiLvlLbl val="0"/>
      </c:catAx>
      <c:valAx>
        <c:axId val="5796513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8553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16521366511623"/>
                  <c:y val="0.21325669563763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7916666666667"/>
                      <c:h val="0.177546296296296"/>
                    </c:manualLayout>
                  </c15:layout>
                </c:ext>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86666666666667"/>
                      <c:h val="0.172916666666667"/>
                    </c:manualLayout>
                  </c15:layout>
                </c:ext>
              </c:extLst>
            </c:dLbl>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[表格.xlsx]收入决算!$A$5:$A$6</c:f>
              <c:strCache>
                <c:ptCount val="2"/>
                <c:pt idx="0">
                  <c:v>财政拨款</c:v>
                </c:pt>
                <c:pt idx="1">
                  <c:v>其他收入</c:v>
                </c:pt>
              </c:strCache>
            </c:strRef>
          </c:cat>
          <c:val>
            <c:numRef>
              <c:f>[表格.xlsx]收入决算!$B$5:$B$6</c:f>
              <c:numCache>
                <c:formatCode>0.00%</c:formatCode>
                <c:ptCount val="2"/>
                <c:pt idx="0">
                  <c:v>0.0642</c:v>
                </c:pt>
                <c:pt idx="1">
                  <c:v>0.9358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ctr"/>
              <c:showLegendKey val="0"/>
              <c:showVal val="1"/>
              <c:showCatName val="0"/>
              <c:showSerName val="0"/>
              <c:showPercent val="0"/>
              <c:showBubbleSize val="0"/>
              <c:extLst>
                <c:ext xmlns:c15="http://schemas.microsoft.com/office/drawing/2012/chart" uri="{CE6537A1-D6FC-4f65-9D91-7224C49458BB}">
                  <c15:layout>
                    <c:manualLayout>
                      <c:w val="0.204305555555556"/>
                      <c:h val="0.125925925925926"/>
                    </c:manualLayout>
                  </c15:layout>
                </c:ext>
              </c:extLst>
            </c:dLbl>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[表格.xlsx]支出决算!$B$6:$B$7</c:f>
              <c:strCache>
                <c:ptCount val="2"/>
                <c:pt idx="0">
                  <c:v>基本支出</c:v>
                </c:pt>
                <c:pt idx="1">
                  <c:v>项目支出</c:v>
                </c:pt>
              </c:strCache>
            </c:strRef>
          </c:cat>
          <c:val>
            <c:numRef>
              <c:f>[表格.xlsx]支出决算!$C$6:$C$7</c:f>
              <c:numCache>
                <c:formatCode>0%</c:formatCode>
                <c:ptCount val="2"/>
                <c:pt idx="0">
                  <c:v>0.89</c:v>
                </c:pt>
                <c:pt idx="1">
                  <c:v>0.11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5555555555556"/>
          <c:y val="0.0509259259259259"/>
          <c:w val="0.907277777777778"/>
          <c:h val="0.807453703703704"/>
        </c:manualLayout>
      </c:layout>
      <c:barChart>
        <c:barDir val="col"/>
        <c:grouping val="clustered"/>
        <c:varyColors val="0"/>
        <c:ser>
          <c:idx val="0"/>
          <c:order val="0"/>
          <c:spPr>
            <a:solidFill>
              <a:schemeClr val="accent1"/>
            </a:solidFill>
            <a:ln>
              <a:noFill/>
            </a:ln>
            <a:effectLst/>
          </c:spPr>
          <c:invertIfNegative val="0"/>
          <c:dLbls>
            <c:delete val="1"/>
          </c:dLbls>
          <c:cat>
            <c:strRef>
              <c:f>[表格.xlsx]财政拨款收、支决算总计变动情况!$A$7:$A$8</c:f>
              <c:strCache>
                <c:ptCount val="2"/>
                <c:pt idx="0">
                  <c:v>2022年</c:v>
                </c:pt>
                <c:pt idx="1">
                  <c:v>2023年</c:v>
                </c:pt>
              </c:strCache>
            </c:strRef>
          </c:cat>
          <c:val>
            <c:numRef>
              <c:f>[表格.xlsx]财政拨款收、支决算总计变动情况!$B$7:$B$8</c:f>
              <c:numCache>
                <c:formatCode>General</c:formatCode>
                <c:ptCount val="2"/>
                <c:pt idx="0">
                  <c:v>53.47</c:v>
                </c:pt>
                <c:pt idx="1">
                  <c:v>67.98</c:v>
                </c:pt>
              </c:numCache>
            </c:numRef>
          </c:val>
        </c:ser>
        <c:dLbls>
          <c:showLegendKey val="0"/>
          <c:showVal val="0"/>
          <c:showCatName val="0"/>
          <c:showSerName val="0"/>
          <c:showPercent val="0"/>
          <c:showBubbleSize val="0"/>
        </c:dLbls>
        <c:gapWidth val="219"/>
        <c:overlap val="-27"/>
        <c:axId val="421753909"/>
        <c:axId val="720928761"/>
      </c:barChart>
      <c:catAx>
        <c:axId val="4217539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20928761"/>
        <c:crosses val="autoZero"/>
        <c:auto val="1"/>
        <c:lblAlgn val="ctr"/>
        <c:lblOffset val="100"/>
        <c:noMultiLvlLbl val="0"/>
      </c:catAx>
      <c:valAx>
        <c:axId val="7209287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7539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[表格.xlsx]财政拨款支出决算变动情况!$B$4:$B$5</c:f>
              <c:strCache>
                <c:ptCount val="2"/>
                <c:pt idx="0">
                  <c:v>2022年</c:v>
                </c:pt>
                <c:pt idx="1">
                  <c:v>2023年</c:v>
                </c:pt>
              </c:strCache>
            </c:strRef>
          </c:cat>
          <c:val>
            <c:numRef>
              <c:f>[表格.xlsx]财政拨款支出决算变动情况!$C$4:$C$5</c:f>
              <c:numCache>
                <c:formatCode>General</c:formatCode>
                <c:ptCount val="2"/>
                <c:pt idx="0">
                  <c:v>49.2</c:v>
                </c:pt>
                <c:pt idx="1">
                  <c:v>64.65</c:v>
                </c:pt>
              </c:numCache>
            </c:numRef>
          </c:val>
        </c:ser>
        <c:dLbls>
          <c:showLegendKey val="0"/>
          <c:showVal val="0"/>
          <c:showCatName val="0"/>
          <c:showSerName val="0"/>
          <c:showPercent val="0"/>
          <c:showBubbleSize val="0"/>
        </c:dLbls>
        <c:gapWidth val="219"/>
        <c:overlap val="-27"/>
        <c:axId val="452692927"/>
        <c:axId val="540225178"/>
      </c:barChart>
      <c:catAx>
        <c:axId val="452692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40225178"/>
        <c:crosses val="autoZero"/>
        <c:auto val="1"/>
        <c:lblAlgn val="ctr"/>
        <c:lblOffset val="100"/>
        <c:noMultiLvlLbl val="0"/>
      </c:catAx>
      <c:valAx>
        <c:axId val="5402251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692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[表格.xlsx]财政拨款支出决算结构!$B$7:$B$8</c:f>
              <c:strCache>
                <c:ptCount val="2"/>
                <c:pt idx="0">
                  <c:v>卫生健康类支出</c:v>
                </c:pt>
                <c:pt idx="1">
                  <c:v>灾害防治及应急管理类支出</c:v>
                </c:pt>
              </c:strCache>
            </c:strRef>
          </c:cat>
          <c:val>
            <c:numRef>
              <c:f>[表格.xlsx]财政拨款支出决算结构!$C$7:$C$8</c:f>
              <c:numCache>
                <c:formatCode>0.00%</c:formatCode>
                <c:ptCount val="2"/>
                <c:pt idx="0">
                  <c:v>0.0166</c:v>
                </c:pt>
                <c:pt idx="1">
                  <c:v>0.9834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0.493055555555556</cdr:x>
      <cdr:y>0.155092592592593</cdr:y>
    </cdr:from>
    <cdr:to>
      <cdr:x>0.615972222222222</cdr:x>
      <cdr:y>0.248842592592593</cdr:y>
    </cdr:to>
    <cdr:sp>
      <cdr:nvSpPr>
        <cdr:cNvPr id="2" name="矩形 1"/>
        <cdr:cNvSpPr/>
      </cdr:nvSpPr>
      <cdr:spPr xmlns:a="http://schemas.openxmlformats.org/drawingml/2006/main">
        <a:xfrm xmlns:a="http://schemas.openxmlformats.org/drawingml/2006/main">
          <a:off x="2254250" y="425450"/>
          <a:ext cx="561975" cy="2571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26"/>
    <customShpInfo spid="_x0000_s1030"/>
    <customShpInfo spid="_x0000_s103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7273</Words>
  <Characters>9444</Characters>
  <TotalTime>4</TotalTime>
  <ScaleCrop>false</ScaleCrop>
  <LinksUpToDate>false</LinksUpToDate>
  <CharactersWithSpaces>9716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2023-07-30T01:30:00Z</dcterms:created>
  <dc:creator>Administrator</dc:creator>
  <cp:lastModifiedBy>Administrator</cp:lastModifiedBy>
  <cp:lastPrinted>2023-08-24T01:28:00Z</cp:lastPrinted>
  <dcterms:modified xsi:type="dcterms:W3CDTF">2024-08-28T00:21:00Z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2023-08-17T16:11:32Z</vt:filetime>
  </property>
  <property fmtid="{D5CDD505-2E9C-101B-9397-08002B2CF9AE}" pid="4" name="KSOProductBuildVer">
    <vt:lpwstr>2052-11.1.0.13703</vt:lpwstr>
  </property>
  <property fmtid="{D5CDD505-2E9C-101B-9397-08002B2CF9AE}" pid="5" name="ICV">
    <vt:lpwstr>069798F87540423A90AEEBCCE26D712A</vt:lpwstr>
  </property>
</Properties>
</file>