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09FD3">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2024年株洲市市直国家机关“谁执法谁普法”年度任务清单</w:t>
      </w:r>
    </w:p>
    <w:p w14:paraId="4A8DC0C6">
      <w:pPr>
        <w:pStyle w:val="2"/>
        <w:rPr>
          <w:lang w:eastAsia="zh-CN"/>
        </w:rPr>
      </w:pPr>
      <w:bookmarkStart w:id="0" w:name="_GoBack"/>
    </w:p>
    <w:tbl>
      <w:tblPr>
        <w:tblStyle w:val="7"/>
        <w:tblW w:w="13882"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859"/>
        <w:gridCol w:w="9682"/>
        <w:gridCol w:w="1759"/>
      </w:tblGrid>
      <w:tr w14:paraId="7632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82" w:type="dxa"/>
            <w:vAlign w:val="center"/>
          </w:tcPr>
          <w:p w14:paraId="70964156">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项目指标</w:t>
            </w:r>
          </w:p>
        </w:tc>
        <w:tc>
          <w:tcPr>
            <w:tcW w:w="859" w:type="dxa"/>
            <w:vAlign w:val="center"/>
          </w:tcPr>
          <w:p w14:paraId="63DE2DAA">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序号</w:t>
            </w:r>
          </w:p>
        </w:tc>
        <w:tc>
          <w:tcPr>
            <w:tcW w:w="9682" w:type="dxa"/>
            <w:vAlign w:val="center"/>
          </w:tcPr>
          <w:p w14:paraId="2A2F9E2B">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重点普法任务</w:t>
            </w:r>
          </w:p>
        </w:tc>
        <w:tc>
          <w:tcPr>
            <w:tcW w:w="1759" w:type="dxa"/>
            <w:vAlign w:val="center"/>
          </w:tcPr>
          <w:p w14:paraId="665A1BB6">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责任科室</w:t>
            </w:r>
          </w:p>
        </w:tc>
      </w:tr>
      <w:tr w14:paraId="424C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vAlign w:val="center"/>
          </w:tcPr>
          <w:p w14:paraId="2E32EF44">
            <w:pPr>
              <w:spacing w:line="520" w:lineRule="exact"/>
              <w:jc w:val="center"/>
              <w:rPr>
                <w:rFonts w:ascii="仿宋_GB2312" w:hAnsi="仿宋_GB2312" w:eastAsia="仿宋_GB2312" w:cs="仿宋_GB2312"/>
                <w:sz w:val="32"/>
                <w:szCs w:val="32"/>
                <w:lang w:eastAsia="zh-CN"/>
              </w:rPr>
            </w:pPr>
          </w:p>
          <w:p w14:paraId="2FE7B261">
            <w:pPr>
              <w:spacing w:line="520" w:lineRule="exact"/>
              <w:jc w:val="center"/>
              <w:rPr>
                <w:rFonts w:ascii="仿宋_GB2312" w:hAnsi="仿宋_GB2312" w:eastAsia="仿宋_GB2312" w:cs="仿宋_GB2312"/>
                <w:sz w:val="32"/>
                <w:szCs w:val="32"/>
                <w:lang w:eastAsia="zh-CN"/>
              </w:rPr>
            </w:pPr>
          </w:p>
          <w:p w14:paraId="5761C6D0">
            <w:pPr>
              <w:spacing w:line="520" w:lineRule="exact"/>
              <w:jc w:val="center"/>
              <w:rPr>
                <w:rFonts w:ascii="仿宋_GB2312" w:hAnsi="仿宋_GB2312" w:eastAsia="仿宋_GB2312" w:cs="仿宋_GB2312"/>
                <w:sz w:val="32"/>
                <w:szCs w:val="32"/>
                <w:lang w:eastAsia="zh-CN"/>
              </w:rPr>
            </w:pPr>
          </w:p>
          <w:p w14:paraId="068D8F8F">
            <w:pPr>
              <w:spacing w:line="520" w:lineRule="exact"/>
              <w:rPr>
                <w:rFonts w:ascii="仿宋_GB2312" w:hAnsi="仿宋_GB2312" w:eastAsia="仿宋_GB2312" w:cs="仿宋_GB2312"/>
                <w:sz w:val="32"/>
                <w:szCs w:val="32"/>
                <w:lang w:eastAsia="zh-CN"/>
              </w:rPr>
            </w:pPr>
          </w:p>
          <w:p w14:paraId="3122C1C1">
            <w:pPr>
              <w:spacing w:line="520" w:lineRule="exact"/>
              <w:jc w:val="center"/>
              <w:rPr>
                <w:rFonts w:ascii="仿宋_GB2312" w:hAnsi="仿宋_GB2312" w:eastAsia="仿宋_GB2312" w:cs="仿宋_GB2312"/>
                <w:sz w:val="32"/>
                <w:szCs w:val="32"/>
                <w:lang w:eastAsia="zh-CN"/>
              </w:rPr>
            </w:pPr>
          </w:p>
          <w:p w14:paraId="3F928F34">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公共指标</w:t>
            </w:r>
          </w:p>
          <w:p w14:paraId="2ADA4476">
            <w:pPr>
              <w:spacing w:line="520" w:lineRule="exact"/>
              <w:jc w:val="center"/>
              <w:rPr>
                <w:rFonts w:ascii="仿宋_GB2312" w:hAnsi="仿宋_GB2312" w:eastAsia="仿宋_GB2312" w:cs="仿宋_GB2312"/>
                <w:sz w:val="32"/>
                <w:szCs w:val="32"/>
                <w:lang w:eastAsia="zh-CN"/>
              </w:rPr>
            </w:pPr>
          </w:p>
          <w:p w14:paraId="5634AF31">
            <w:pPr>
              <w:spacing w:line="520" w:lineRule="exact"/>
              <w:jc w:val="center"/>
              <w:rPr>
                <w:rFonts w:ascii="仿宋_GB2312" w:hAnsi="仿宋_GB2312" w:eastAsia="仿宋_GB2312" w:cs="仿宋_GB2312"/>
                <w:sz w:val="32"/>
                <w:szCs w:val="32"/>
                <w:lang w:eastAsia="zh-CN"/>
              </w:rPr>
            </w:pPr>
          </w:p>
          <w:p w14:paraId="6B43C7C9">
            <w:pPr>
              <w:spacing w:line="520" w:lineRule="exact"/>
              <w:jc w:val="center"/>
              <w:rPr>
                <w:rFonts w:ascii="仿宋_GB2312" w:hAnsi="仿宋_GB2312" w:eastAsia="仿宋_GB2312" w:cs="仿宋_GB2312"/>
                <w:sz w:val="32"/>
                <w:szCs w:val="32"/>
                <w:lang w:eastAsia="zh-CN"/>
              </w:rPr>
            </w:pPr>
          </w:p>
          <w:p w14:paraId="4AE19536">
            <w:pPr>
              <w:spacing w:line="520" w:lineRule="exact"/>
              <w:jc w:val="center"/>
              <w:rPr>
                <w:rFonts w:ascii="仿宋_GB2312" w:hAnsi="仿宋_GB2312" w:eastAsia="仿宋_GB2312" w:cs="仿宋_GB2312"/>
                <w:sz w:val="32"/>
                <w:szCs w:val="32"/>
                <w:lang w:eastAsia="zh-CN"/>
              </w:rPr>
            </w:pPr>
          </w:p>
          <w:p w14:paraId="74D539C5">
            <w:pPr>
              <w:pStyle w:val="2"/>
              <w:ind w:firstLine="332"/>
              <w:rPr>
                <w:lang w:bidi="en-US"/>
              </w:rPr>
            </w:pPr>
          </w:p>
          <w:p w14:paraId="51B79360">
            <w:pPr>
              <w:pStyle w:val="2"/>
              <w:ind w:firstLine="332"/>
              <w:rPr>
                <w:lang w:bidi="en-US"/>
              </w:rPr>
            </w:pPr>
          </w:p>
          <w:p w14:paraId="1B09179A">
            <w:pPr>
              <w:pStyle w:val="2"/>
              <w:ind w:firstLine="332"/>
              <w:rPr>
                <w:lang w:bidi="en-US"/>
              </w:rPr>
            </w:pPr>
          </w:p>
          <w:p w14:paraId="04482358">
            <w:pPr>
              <w:pStyle w:val="2"/>
              <w:ind w:firstLine="332"/>
              <w:rPr>
                <w:lang w:bidi="en-US"/>
              </w:rPr>
            </w:pPr>
          </w:p>
          <w:p w14:paraId="1962F6B0">
            <w:pPr>
              <w:pStyle w:val="2"/>
              <w:ind w:firstLine="332"/>
              <w:rPr>
                <w:lang w:bidi="en-US"/>
              </w:rPr>
            </w:pPr>
          </w:p>
          <w:p w14:paraId="4D857734">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公共指标</w:t>
            </w:r>
          </w:p>
        </w:tc>
        <w:tc>
          <w:tcPr>
            <w:tcW w:w="859" w:type="dxa"/>
            <w:vAlign w:val="center"/>
          </w:tcPr>
          <w:p w14:paraId="2E6A5757">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p>
        </w:tc>
        <w:tc>
          <w:tcPr>
            <w:tcW w:w="9682" w:type="dxa"/>
            <w:vAlign w:val="center"/>
          </w:tcPr>
          <w:p w14:paraId="1E3A32BE">
            <w:pPr>
              <w:spacing w:line="52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落实《株洲市领导干部应知应会党内法规和法律法规规章清单》文件精神，把学习宣传贯彻习近平法治思想和党的二十大精神作为党委（党组）理论学习中心组学习重点内容和本单位、本系统法治培训内容，每年党委（党组）理论学习中心组学法不少于2次，本单位、本系统法治宣讲不少于1次。</w:t>
            </w:r>
          </w:p>
        </w:tc>
        <w:tc>
          <w:tcPr>
            <w:tcW w:w="1759" w:type="dxa"/>
            <w:vAlign w:val="center"/>
          </w:tcPr>
          <w:p w14:paraId="0FD0597E">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人事科、法制审理科</w:t>
            </w:r>
          </w:p>
        </w:tc>
      </w:tr>
      <w:tr w14:paraId="3761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tcPr>
          <w:p w14:paraId="5D59A2A9">
            <w:pPr>
              <w:spacing w:line="520" w:lineRule="exact"/>
              <w:jc w:val="center"/>
              <w:rPr>
                <w:rFonts w:ascii="仿宋_GB2312" w:hAnsi="仿宋_GB2312" w:eastAsia="仿宋_GB2312" w:cs="仿宋_GB2312"/>
                <w:sz w:val="32"/>
                <w:szCs w:val="32"/>
                <w:lang w:eastAsia="zh-CN"/>
              </w:rPr>
            </w:pPr>
          </w:p>
        </w:tc>
        <w:tc>
          <w:tcPr>
            <w:tcW w:w="859" w:type="dxa"/>
            <w:vAlign w:val="center"/>
          </w:tcPr>
          <w:p w14:paraId="502298AA">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p>
        </w:tc>
        <w:tc>
          <w:tcPr>
            <w:tcW w:w="9682" w:type="dxa"/>
            <w:vAlign w:val="center"/>
          </w:tcPr>
          <w:p w14:paraId="7BC1DC30">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color w:val="auto"/>
                <w:sz w:val="32"/>
                <w:szCs w:val="32"/>
                <w:lang w:eastAsia="zh-CN"/>
              </w:rPr>
              <w:t>认真贯彻实施国、省、市“八五”普法规划，制定并公布本部门（本系统）普法责任清单和年度普法重点任务清单，做到普法工作与业务工作同部署、同检查、同落实。</w:t>
            </w:r>
          </w:p>
        </w:tc>
        <w:tc>
          <w:tcPr>
            <w:tcW w:w="1759" w:type="dxa"/>
            <w:vAlign w:val="center"/>
          </w:tcPr>
          <w:p w14:paraId="4E356E37">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w:t>
            </w:r>
          </w:p>
        </w:tc>
      </w:tr>
      <w:tr w14:paraId="3AB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tcPr>
          <w:p w14:paraId="49557002">
            <w:pPr>
              <w:spacing w:line="520" w:lineRule="exact"/>
              <w:jc w:val="center"/>
              <w:rPr>
                <w:rFonts w:ascii="仿宋_GB2312" w:hAnsi="仿宋_GB2312" w:eastAsia="仿宋_GB2312" w:cs="仿宋_GB2312"/>
                <w:sz w:val="32"/>
                <w:szCs w:val="32"/>
                <w:lang w:eastAsia="zh-CN"/>
              </w:rPr>
            </w:pPr>
          </w:p>
        </w:tc>
        <w:tc>
          <w:tcPr>
            <w:tcW w:w="859" w:type="dxa"/>
            <w:vAlign w:val="center"/>
          </w:tcPr>
          <w:p w14:paraId="2E21AAF9">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9682" w:type="dxa"/>
            <w:vAlign w:val="center"/>
          </w:tcPr>
          <w:p w14:paraId="4786D08A">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color w:val="auto"/>
                <w:sz w:val="32"/>
                <w:szCs w:val="32"/>
                <w:lang w:eastAsia="zh-CN"/>
              </w:rPr>
              <w:t>大力开展宪法进机关活动，以全国人民代表大会成立70周年为契机，加强宪法宣传教育。集中组织好本系统“宪法宣传周”活动，推动宪法宣传教育常态化长效化。</w:t>
            </w:r>
          </w:p>
        </w:tc>
        <w:tc>
          <w:tcPr>
            <w:tcW w:w="1759" w:type="dxa"/>
            <w:vAlign w:val="center"/>
          </w:tcPr>
          <w:p w14:paraId="5756D30E">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w:t>
            </w:r>
          </w:p>
        </w:tc>
      </w:tr>
      <w:tr w14:paraId="30F3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82" w:type="dxa"/>
            <w:vMerge w:val="continue"/>
          </w:tcPr>
          <w:p w14:paraId="6D6FD5F4">
            <w:pPr>
              <w:spacing w:line="520" w:lineRule="exact"/>
              <w:jc w:val="center"/>
              <w:rPr>
                <w:rFonts w:ascii="仿宋_GB2312" w:hAnsi="仿宋_GB2312" w:eastAsia="仿宋_GB2312" w:cs="仿宋_GB2312"/>
                <w:sz w:val="32"/>
                <w:szCs w:val="32"/>
                <w:lang w:eastAsia="zh-CN"/>
              </w:rPr>
            </w:pPr>
          </w:p>
        </w:tc>
        <w:tc>
          <w:tcPr>
            <w:tcW w:w="859" w:type="dxa"/>
            <w:vAlign w:val="center"/>
          </w:tcPr>
          <w:p w14:paraId="6D99E3EE">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p>
        </w:tc>
        <w:tc>
          <w:tcPr>
            <w:tcW w:w="9682" w:type="dxa"/>
            <w:vAlign w:val="center"/>
          </w:tcPr>
          <w:p w14:paraId="1A53CFC3">
            <w:pPr>
              <w:spacing w:line="52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深入开展民法典、党内法规和营商环境相关法律法规学习宣传活动。</w:t>
            </w:r>
          </w:p>
        </w:tc>
        <w:tc>
          <w:tcPr>
            <w:tcW w:w="1759" w:type="dxa"/>
            <w:vAlign w:val="center"/>
          </w:tcPr>
          <w:p w14:paraId="5CE322B2">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法制审理科、机关党委、各业务科室</w:t>
            </w:r>
          </w:p>
        </w:tc>
      </w:tr>
      <w:tr w14:paraId="21E9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82" w:type="dxa"/>
            <w:vMerge w:val="continue"/>
          </w:tcPr>
          <w:p w14:paraId="2129D44A">
            <w:pPr>
              <w:spacing w:line="520" w:lineRule="exact"/>
              <w:jc w:val="center"/>
              <w:rPr>
                <w:rFonts w:ascii="仿宋_GB2312" w:hAnsi="仿宋_GB2312" w:eastAsia="仿宋_GB2312" w:cs="仿宋_GB2312"/>
                <w:sz w:val="32"/>
                <w:szCs w:val="32"/>
                <w:lang w:eastAsia="zh-CN"/>
              </w:rPr>
            </w:pPr>
          </w:p>
        </w:tc>
        <w:tc>
          <w:tcPr>
            <w:tcW w:w="859" w:type="dxa"/>
            <w:vAlign w:val="center"/>
          </w:tcPr>
          <w:p w14:paraId="596D33AE">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p>
        </w:tc>
        <w:tc>
          <w:tcPr>
            <w:tcW w:w="9682" w:type="dxa"/>
            <w:vAlign w:val="center"/>
          </w:tcPr>
          <w:p w14:paraId="27B45B84">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sz w:val="32"/>
                <w:szCs w:val="32"/>
                <w:lang w:eastAsia="zh-CN"/>
              </w:rPr>
              <w:t>落实领导干部年终述法制度，在年度述职中加入述法内容。</w:t>
            </w:r>
          </w:p>
        </w:tc>
        <w:tc>
          <w:tcPr>
            <w:tcW w:w="1759" w:type="dxa"/>
            <w:vAlign w:val="center"/>
          </w:tcPr>
          <w:p w14:paraId="57599B3F">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秘书科</w:t>
            </w:r>
          </w:p>
        </w:tc>
      </w:tr>
      <w:tr w14:paraId="2A5D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tcPr>
          <w:p w14:paraId="37CE74FA">
            <w:pPr>
              <w:spacing w:line="520" w:lineRule="exact"/>
              <w:jc w:val="center"/>
              <w:rPr>
                <w:rFonts w:ascii="仿宋_GB2312" w:hAnsi="仿宋_GB2312" w:eastAsia="仿宋_GB2312" w:cs="仿宋_GB2312"/>
                <w:sz w:val="32"/>
                <w:szCs w:val="32"/>
                <w:lang w:eastAsia="zh-CN"/>
              </w:rPr>
            </w:pPr>
          </w:p>
        </w:tc>
        <w:tc>
          <w:tcPr>
            <w:tcW w:w="859" w:type="dxa"/>
            <w:vAlign w:val="center"/>
          </w:tcPr>
          <w:p w14:paraId="6C91D52A">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p>
        </w:tc>
        <w:tc>
          <w:tcPr>
            <w:tcW w:w="9682" w:type="dxa"/>
            <w:vAlign w:val="center"/>
          </w:tcPr>
          <w:p w14:paraId="28D1B123">
            <w:pPr>
              <w:spacing w:line="52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落实国家工作人员学法考法制度，</w:t>
            </w:r>
            <w:r>
              <w:rPr>
                <w:rFonts w:hint="eastAsia" w:ascii="仿宋_GB2312" w:hAnsi="仿宋" w:eastAsia="仿宋_GB2312" w:cs="宋体"/>
                <w:color w:val="auto"/>
                <w:sz w:val="32"/>
                <w:szCs w:val="32"/>
                <w:lang w:eastAsia="zh-CN"/>
              </w:rPr>
              <w:t>组织做好</w:t>
            </w:r>
            <w:r>
              <w:rPr>
                <w:rFonts w:ascii="仿宋_GB2312" w:hAnsi="仿宋" w:eastAsia="仿宋_GB2312" w:cs="宋体"/>
                <w:color w:val="auto"/>
                <w:sz w:val="32"/>
                <w:szCs w:val="32"/>
                <w:lang w:eastAsia="zh-CN"/>
              </w:rPr>
              <w:t>本单位工作人员网上学法</w:t>
            </w:r>
            <w:r>
              <w:rPr>
                <w:rFonts w:hint="eastAsia" w:ascii="仿宋_GB2312" w:hAnsi="仿宋" w:eastAsia="仿宋_GB2312" w:cs="宋体"/>
                <w:color w:val="auto"/>
                <w:sz w:val="32"/>
                <w:szCs w:val="32"/>
                <w:lang w:eastAsia="zh-CN"/>
              </w:rPr>
              <w:t>，年内学法完成</w:t>
            </w:r>
            <w:r>
              <w:rPr>
                <w:rFonts w:ascii="仿宋_GB2312" w:hAnsi="仿宋" w:eastAsia="仿宋_GB2312" w:cs="宋体"/>
                <w:color w:val="auto"/>
                <w:sz w:val="32"/>
                <w:szCs w:val="32"/>
                <w:lang w:eastAsia="zh-CN"/>
              </w:rPr>
              <w:t>率100%，应考人员参考率100%，</w:t>
            </w:r>
            <w:r>
              <w:rPr>
                <w:rFonts w:hint="eastAsia" w:ascii="仿宋_GB2312" w:hAnsi="仿宋" w:eastAsia="仿宋_GB2312" w:cs="宋体"/>
                <w:color w:val="auto"/>
                <w:sz w:val="32"/>
                <w:szCs w:val="32"/>
                <w:lang w:eastAsia="zh-CN"/>
              </w:rPr>
              <w:t>通过</w:t>
            </w:r>
            <w:r>
              <w:rPr>
                <w:rFonts w:ascii="仿宋_GB2312" w:hAnsi="仿宋" w:eastAsia="仿宋_GB2312" w:cs="宋体"/>
                <w:color w:val="auto"/>
                <w:sz w:val="32"/>
                <w:szCs w:val="32"/>
                <w:lang w:eastAsia="zh-CN"/>
              </w:rPr>
              <w:t>率</w:t>
            </w:r>
            <w:r>
              <w:rPr>
                <w:rFonts w:hint="eastAsia" w:ascii="仿宋_GB2312" w:hAnsi="仿宋" w:eastAsia="仿宋_GB2312" w:cs="宋体"/>
                <w:color w:val="auto"/>
                <w:sz w:val="32"/>
                <w:szCs w:val="32"/>
                <w:lang w:eastAsia="zh-CN"/>
              </w:rPr>
              <w:t>100</w:t>
            </w:r>
            <w:r>
              <w:rPr>
                <w:rFonts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eastAsia="zh-CN"/>
              </w:rPr>
              <w:t>。</w:t>
            </w:r>
          </w:p>
        </w:tc>
        <w:tc>
          <w:tcPr>
            <w:tcW w:w="1759" w:type="dxa"/>
            <w:vAlign w:val="center"/>
          </w:tcPr>
          <w:p w14:paraId="01ED87C3">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w:t>
            </w:r>
          </w:p>
        </w:tc>
      </w:tr>
      <w:tr w14:paraId="31EE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82" w:type="dxa"/>
            <w:vMerge w:val="continue"/>
          </w:tcPr>
          <w:p w14:paraId="5F5FF4C0">
            <w:pPr>
              <w:spacing w:line="520" w:lineRule="exact"/>
              <w:jc w:val="center"/>
              <w:rPr>
                <w:rFonts w:ascii="仿宋_GB2312" w:hAnsi="仿宋_GB2312" w:eastAsia="仿宋_GB2312" w:cs="仿宋_GB2312"/>
                <w:sz w:val="32"/>
                <w:szCs w:val="32"/>
                <w:lang w:eastAsia="zh-CN"/>
              </w:rPr>
            </w:pPr>
          </w:p>
        </w:tc>
        <w:tc>
          <w:tcPr>
            <w:tcW w:w="859" w:type="dxa"/>
            <w:vAlign w:val="center"/>
          </w:tcPr>
          <w:p w14:paraId="3A0B74A6">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p>
        </w:tc>
        <w:tc>
          <w:tcPr>
            <w:tcW w:w="9682" w:type="dxa"/>
            <w:vAlign w:val="center"/>
          </w:tcPr>
          <w:p w14:paraId="1076EBC1">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color w:val="auto"/>
                <w:sz w:val="32"/>
                <w:szCs w:val="32"/>
                <w:lang w:val="en" w:eastAsia="zh-CN"/>
              </w:rPr>
              <w:t>加强未成年人法治宣传教育，深入开展未成年人保护法、预防未成年人犯罪法等学习宣传。</w:t>
            </w:r>
          </w:p>
        </w:tc>
        <w:tc>
          <w:tcPr>
            <w:tcW w:w="1759" w:type="dxa"/>
            <w:vAlign w:val="center"/>
          </w:tcPr>
          <w:p w14:paraId="7156EEED">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法制审理科、机关党委</w:t>
            </w:r>
          </w:p>
        </w:tc>
      </w:tr>
      <w:tr w14:paraId="48D6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82" w:type="dxa"/>
            <w:vMerge w:val="continue"/>
          </w:tcPr>
          <w:p w14:paraId="5609BA46">
            <w:pPr>
              <w:spacing w:line="520" w:lineRule="exact"/>
              <w:jc w:val="center"/>
              <w:rPr>
                <w:rFonts w:ascii="仿宋_GB2312" w:hAnsi="仿宋_GB2312" w:eastAsia="仿宋_GB2312" w:cs="仿宋_GB2312"/>
                <w:sz w:val="32"/>
                <w:szCs w:val="32"/>
                <w:lang w:eastAsia="zh-CN"/>
              </w:rPr>
            </w:pPr>
          </w:p>
        </w:tc>
        <w:tc>
          <w:tcPr>
            <w:tcW w:w="859" w:type="dxa"/>
            <w:vAlign w:val="center"/>
          </w:tcPr>
          <w:p w14:paraId="33560684">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w:t>
            </w:r>
          </w:p>
        </w:tc>
        <w:tc>
          <w:tcPr>
            <w:tcW w:w="9682" w:type="dxa"/>
            <w:vAlign w:val="center"/>
          </w:tcPr>
          <w:p w14:paraId="58055072">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color w:val="auto"/>
                <w:sz w:val="32"/>
                <w:szCs w:val="32"/>
                <w:lang w:eastAsia="zh-CN"/>
              </w:rPr>
              <w:t>落实国家工作人员旁听庭审制度，组织网上集中观看或是现场集中旁听庭审，年内不少于1次</w:t>
            </w:r>
            <w:r>
              <w:rPr>
                <w:rFonts w:hint="eastAsia" w:ascii="仿宋_GB2312" w:hAnsi="仿宋_GB2312" w:eastAsia="仿宋_GB2312" w:cs="仿宋_GB2312"/>
                <w:color w:val="auto"/>
                <w:sz w:val="32"/>
                <w:szCs w:val="32"/>
                <w:lang w:eastAsia="zh-CN"/>
              </w:rPr>
              <w:t>。</w:t>
            </w:r>
          </w:p>
        </w:tc>
        <w:tc>
          <w:tcPr>
            <w:tcW w:w="1759" w:type="dxa"/>
            <w:vAlign w:val="center"/>
          </w:tcPr>
          <w:p w14:paraId="51A6B8F5">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w:t>
            </w:r>
          </w:p>
        </w:tc>
      </w:tr>
      <w:tr w14:paraId="51B4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tcPr>
          <w:p w14:paraId="56617C45">
            <w:pPr>
              <w:spacing w:line="520" w:lineRule="exact"/>
              <w:jc w:val="center"/>
              <w:rPr>
                <w:rFonts w:ascii="仿宋_GB2312" w:hAnsi="仿宋_GB2312" w:eastAsia="仿宋_GB2312" w:cs="仿宋_GB2312"/>
                <w:sz w:val="32"/>
                <w:szCs w:val="32"/>
                <w:lang w:eastAsia="zh-CN"/>
              </w:rPr>
            </w:pPr>
          </w:p>
        </w:tc>
        <w:tc>
          <w:tcPr>
            <w:tcW w:w="859" w:type="dxa"/>
            <w:vAlign w:val="center"/>
          </w:tcPr>
          <w:p w14:paraId="50BAFFBC">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w:t>
            </w:r>
          </w:p>
        </w:tc>
        <w:tc>
          <w:tcPr>
            <w:tcW w:w="9682" w:type="dxa"/>
            <w:vAlign w:val="center"/>
          </w:tcPr>
          <w:p w14:paraId="5340A7E1">
            <w:pPr>
              <w:spacing w:line="520" w:lineRule="exact"/>
              <w:jc w:val="both"/>
              <w:rPr>
                <w:rFonts w:ascii="仿宋_GB2312" w:hAnsi="仿宋_GB2312" w:eastAsia="仿宋_GB2312" w:cs="仿宋_GB2312"/>
                <w:sz w:val="32"/>
                <w:szCs w:val="32"/>
                <w:lang w:eastAsia="zh-CN"/>
              </w:rPr>
            </w:pPr>
            <w:r>
              <w:rPr>
                <w:rFonts w:hint="eastAsia" w:ascii="仿宋_GB2312" w:hAnsi="仿宋" w:eastAsia="仿宋_GB2312" w:cs="宋体"/>
                <w:color w:val="auto"/>
                <w:sz w:val="32"/>
                <w:szCs w:val="32"/>
                <w:lang w:eastAsia="zh-CN"/>
              </w:rPr>
              <w:t>在部门单位门户网站、自办刊物、官方微博、微信公众号开辟法治宣传专栏（专题）。设置“以案释法”栏目，定期发布普法宣传内容和“以案释法”案例，年内向市普法办报送不少于3个典型案例，邮箱：zzpfyfzl@163.com。</w:t>
            </w:r>
          </w:p>
        </w:tc>
        <w:tc>
          <w:tcPr>
            <w:tcW w:w="1759" w:type="dxa"/>
            <w:vAlign w:val="center"/>
          </w:tcPr>
          <w:p w14:paraId="20660257">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w:t>
            </w:r>
          </w:p>
        </w:tc>
      </w:tr>
      <w:tr w14:paraId="7113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582" w:type="dxa"/>
            <w:vMerge w:val="continue"/>
          </w:tcPr>
          <w:p w14:paraId="3A4CB50B">
            <w:pPr>
              <w:spacing w:line="520" w:lineRule="exact"/>
              <w:jc w:val="center"/>
              <w:rPr>
                <w:rFonts w:ascii="仿宋_GB2312" w:hAnsi="仿宋_GB2312" w:eastAsia="仿宋_GB2312" w:cs="仿宋_GB2312"/>
                <w:sz w:val="32"/>
                <w:szCs w:val="32"/>
                <w:lang w:eastAsia="zh-CN"/>
              </w:rPr>
            </w:pPr>
          </w:p>
        </w:tc>
        <w:tc>
          <w:tcPr>
            <w:tcW w:w="859" w:type="dxa"/>
            <w:vAlign w:val="center"/>
          </w:tcPr>
          <w:p w14:paraId="12E32383">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w:t>
            </w:r>
          </w:p>
        </w:tc>
        <w:tc>
          <w:tcPr>
            <w:tcW w:w="9682" w:type="dxa"/>
            <w:vAlign w:val="center"/>
          </w:tcPr>
          <w:p w14:paraId="6E436DDE">
            <w:pPr>
              <w:spacing w:line="52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根据《2024年株洲市推进精准普法与依法治理工作要点》（株普法办〔2024〕2号），深入宣传与社会治理现代化密切相关的法律法规。</w:t>
            </w:r>
          </w:p>
        </w:tc>
        <w:tc>
          <w:tcPr>
            <w:tcW w:w="1759" w:type="dxa"/>
            <w:vAlign w:val="center"/>
          </w:tcPr>
          <w:p w14:paraId="1C967B3B">
            <w:pPr>
              <w:spacing w:line="52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法制审理科、各业务科室</w:t>
            </w:r>
          </w:p>
        </w:tc>
      </w:tr>
    </w:tbl>
    <w:p w14:paraId="395BB827">
      <w:pPr>
        <w:pStyle w:val="2"/>
        <w:spacing w:line="520" w:lineRule="exact"/>
        <w:ind w:firstLine="332"/>
      </w:pPr>
    </w:p>
    <w:tbl>
      <w:tblPr>
        <w:tblStyle w:val="7"/>
        <w:tblW w:w="1379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874"/>
        <w:gridCol w:w="9667"/>
        <w:gridCol w:w="1718"/>
      </w:tblGrid>
      <w:tr w14:paraId="487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trPr>
        <w:tc>
          <w:tcPr>
            <w:tcW w:w="1537" w:type="dxa"/>
            <w:vMerge w:val="restart"/>
            <w:vAlign w:val="center"/>
          </w:tcPr>
          <w:p w14:paraId="62015D05">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个性指标</w:t>
            </w:r>
          </w:p>
        </w:tc>
        <w:tc>
          <w:tcPr>
            <w:tcW w:w="874" w:type="dxa"/>
            <w:vAlign w:val="center"/>
          </w:tcPr>
          <w:p w14:paraId="1D191DD0">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1</w:t>
            </w:r>
          </w:p>
        </w:tc>
        <w:tc>
          <w:tcPr>
            <w:tcW w:w="9667" w:type="dxa"/>
            <w:vAlign w:val="center"/>
          </w:tcPr>
          <w:p w14:paraId="2983C46D">
            <w:pPr>
              <w:spacing w:line="520" w:lineRule="exact"/>
              <w:jc w:val="both"/>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结合“</w:t>
            </w:r>
            <w:r>
              <w:rPr>
                <w:rFonts w:ascii="仿宋_GB2312" w:hAnsi="仿宋" w:eastAsia="仿宋_GB2312" w:cs="宋体"/>
                <w:sz w:val="32"/>
                <w:szCs w:val="32"/>
                <w:lang w:eastAsia="zh-CN"/>
              </w:rPr>
              <w:t>4.15”</w:t>
            </w:r>
            <w:r>
              <w:rPr>
                <w:rFonts w:hint="eastAsia" w:ascii="仿宋_GB2312" w:hAnsi="仿宋" w:eastAsia="仿宋_GB2312" w:cs="宋体"/>
                <w:sz w:val="32"/>
                <w:szCs w:val="32"/>
                <w:lang w:eastAsia="zh-CN"/>
              </w:rPr>
              <w:t>全民国家安全教育日、民法典宣传周、</w:t>
            </w:r>
            <w:r>
              <w:rPr>
                <w:rFonts w:ascii="仿宋_GB2312" w:hAnsi="仿宋" w:eastAsia="仿宋_GB2312" w:cs="宋体"/>
                <w:sz w:val="32"/>
                <w:szCs w:val="32"/>
                <w:lang w:eastAsia="zh-CN"/>
              </w:rPr>
              <w:t>6</w:t>
            </w:r>
            <w:r>
              <w:rPr>
                <w:rFonts w:hint="eastAsia" w:ascii="仿宋_GB2312" w:hAnsi="仿宋" w:eastAsia="仿宋_GB2312" w:cs="宋体"/>
                <w:sz w:val="32"/>
                <w:szCs w:val="32"/>
                <w:lang w:eastAsia="zh-CN"/>
              </w:rPr>
              <w:t>月安全生产月、“</w:t>
            </w:r>
            <w:r>
              <w:rPr>
                <w:rFonts w:ascii="仿宋_GB2312" w:hAnsi="仿宋" w:eastAsia="仿宋_GB2312" w:cs="宋体"/>
                <w:sz w:val="32"/>
                <w:szCs w:val="32"/>
                <w:lang w:eastAsia="zh-CN"/>
              </w:rPr>
              <w:t>12.4</w:t>
            </w:r>
            <w:r>
              <w:rPr>
                <w:rFonts w:hint="eastAsia" w:ascii="仿宋_GB2312" w:hAnsi="仿宋" w:eastAsia="仿宋_GB2312" w:cs="宋体"/>
                <w:sz w:val="32"/>
                <w:szCs w:val="32"/>
                <w:lang w:eastAsia="zh-CN"/>
              </w:rPr>
              <w:t>宪法宣传周”等重要时间节点，加强对重点法律的学习和宣传。</w:t>
            </w:r>
          </w:p>
        </w:tc>
        <w:tc>
          <w:tcPr>
            <w:tcW w:w="1718" w:type="dxa"/>
            <w:vAlign w:val="center"/>
          </w:tcPr>
          <w:p w14:paraId="6D6B638D">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法制审理科</w:t>
            </w:r>
          </w:p>
        </w:tc>
      </w:tr>
      <w:tr w14:paraId="1427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exact"/>
        </w:trPr>
        <w:tc>
          <w:tcPr>
            <w:tcW w:w="1537" w:type="dxa"/>
            <w:vMerge w:val="continue"/>
            <w:vAlign w:val="center"/>
          </w:tcPr>
          <w:p w14:paraId="00C1CED1">
            <w:pPr>
              <w:spacing w:line="520" w:lineRule="exact"/>
              <w:jc w:val="both"/>
              <w:rPr>
                <w:rFonts w:ascii="仿宋_GB2312" w:hAnsi="仿宋" w:eastAsia="仿宋_GB2312" w:cs="宋体"/>
                <w:sz w:val="32"/>
                <w:szCs w:val="32"/>
                <w:lang w:eastAsia="zh-CN"/>
              </w:rPr>
            </w:pPr>
          </w:p>
        </w:tc>
        <w:tc>
          <w:tcPr>
            <w:tcW w:w="874" w:type="dxa"/>
            <w:vAlign w:val="center"/>
          </w:tcPr>
          <w:p w14:paraId="351B7E79">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2</w:t>
            </w:r>
          </w:p>
        </w:tc>
        <w:tc>
          <w:tcPr>
            <w:tcW w:w="9667" w:type="dxa"/>
            <w:vAlign w:val="center"/>
          </w:tcPr>
          <w:p w14:paraId="5E2624F9">
            <w:pPr>
              <w:spacing w:line="520" w:lineRule="exact"/>
              <w:jc w:val="both"/>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根据被审计单位情况开展有针对性的法治宣传教育活动。突出宣传审计法及实施条例、预算法及实施条例、财政违法行为处罚处分条例、党政主要领导干部和国有企事业单位主要领导人员经济责任审计规定、湖南省内部审计办法等法律法规，年内开展送法下乡宣传活动</w:t>
            </w:r>
            <w:r>
              <w:rPr>
                <w:rFonts w:ascii="仿宋_GB2312" w:hAnsi="仿宋" w:eastAsia="仿宋_GB2312" w:cs="宋体"/>
                <w:sz w:val="32"/>
                <w:szCs w:val="32"/>
                <w:lang w:eastAsia="zh-CN"/>
              </w:rPr>
              <w:t>1</w:t>
            </w:r>
            <w:r>
              <w:rPr>
                <w:rFonts w:hint="eastAsia" w:ascii="仿宋_GB2312" w:hAnsi="仿宋" w:eastAsia="仿宋_GB2312" w:cs="宋体"/>
                <w:sz w:val="32"/>
                <w:szCs w:val="32"/>
                <w:lang w:eastAsia="zh-CN"/>
              </w:rPr>
              <w:t>次。</w:t>
            </w:r>
          </w:p>
        </w:tc>
        <w:tc>
          <w:tcPr>
            <w:tcW w:w="1718" w:type="dxa"/>
            <w:vAlign w:val="center"/>
          </w:tcPr>
          <w:p w14:paraId="70FA3696">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法制审理科、各业务科室</w:t>
            </w:r>
          </w:p>
        </w:tc>
      </w:tr>
      <w:tr w14:paraId="5184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exact"/>
        </w:trPr>
        <w:tc>
          <w:tcPr>
            <w:tcW w:w="1537" w:type="dxa"/>
            <w:vMerge w:val="continue"/>
            <w:vAlign w:val="center"/>
          </w:tcPr>
          <w:p w14:paraId="79E821CC">
            <w:pPr>
              <w:spacing w:line="520" w:lineRule="exact"/>
              <w:jc w:val="both"/>
              <w:rPr>
                <w:rFonts w:ascii="仿宋_GB2312" w:hAnsi="仿宋" w:eastAsia="仿宋_GB2312" w:cs="宋体"/>
                <w:sz w:val="32"/>
                <w:szCs w:val="32"/>
                <w:lang w:eastAsia="zh-CN"/>
              </w:rPr>
            </w:pPr>
          </w:p>
        </w:tc>
        <w:tc>
          <w:tcPr>
            <w:tcW w:w="874" w:type="dxa"/>
            <w:vAlign w:val="center"/>
          </w:tcPr>
          <w:p w14:paraId="1A1E72B1">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3</w:t>
            </w:r>
          </w:p>
        </w:tc>
        <w:tc>
          <w:tcPr>
            <w:tcW w:w="9667" w:type="dxa"/>
            <w:vAlign w:val="center"/>
          </w:tcPr>
          <w:p w14:paraId="4230225C">
            <w:pPr>
              <w:spacing w:line="520" w:lineRule="exact"/>
              <w:jc w:val="both"/>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开展集中整训，组织学习新修订的审计文书（文本）参考格式，提升审计人员的法律意识，确保全局工作人员以打铁还须自身硬的勇气带头学法、尊法和守法。</w:t>
            </w:r>
          </w:p>
        </w:tc>
        <w:tc>
          <w:tcPr>
            <w:tcW w:w="1718" w:type="dxa"/>
            <w:vAlign w:val="center"/>
          </w:tcPr>
          <w:p w14:paraId="51D34EF3">
            <w:pPr>
              <w:spacing w:line="520" w:lineRule="exact"/>
              <w:jc w:val="center"/>
              <w:rPr>
                <w:rFonts w:ascii="仿宋_GB2312" w:hAnsi="仿宋" w:eastAsia="仿宋_GB2312" w:cs="宋体"/>
                <w:sz w:val="32"/>
                <w:szCs w:val="32"/>
                <w:lang w:eastAsia="zh-CN"/>
              </w:rPr>
            </w:pPr>
            <w:r>
              <w:rPr>
                <w:rFonts w:hint="eastAsia" w:ascii="仿宋_GB2312" w:hAnsi="仿宋" w:eastAsia="仿宋_GB2312" w:cs="宋体"/>
                <w:sz w:val="32"/>
                <w:szCs w:val="32"/>
                <w:lang w:eastAsia="zh-CN"/>
              </w:rPr>
              <w:t>法制审理科</w:t>
            </w:r>
          </w:p>
        </w:tc>
      </w:tr>
    </w:tbl>
    <w:p w14:paraId="0AA23626">
      <w:pPr>
        <w:pStyle w:val="5"/>
        <w:rPr>
          <w:rFonts w:ascii="方正小标宋简体" w:hAnsi="方正小标宋简体" w:eastAsia="方正小标宋简体" w:cs="方正小标宋简体"/>
          <w:color w:val="auto"/>
          <w:sz w:val="44"/>
          <w:szCs w:val="44"/>
          <w:lang w:eastAsia="zh-CN"/>
        </w:rPr>
        <w:sectPr>
          <w:pgSz w:w="16840" w:h="11900" w:orient="landscape"/>
          <w:pgMar w:top="1531" w:right="2154" w:bottom="1587" w:left="1984" w:header="4762" w:footer="4394" w:gutter="0"/>
          <w:cols w:space="0" w:num="1"/>
          <w:docGrid w:linePitch="360" w:charSpace="0"/>
        </w:sectPr>
      </w:pPr>
    </w:p>
    <w:p w14:paraId="20F5E33A">
      <w:pPr>
        <w:rPr>
          <w:rFonts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TAxMjYwZDNkYzRkM2RhMWZkZmU0ZmQwNjkxNjAifQ=="/>
  </w:docVars>
  <w:rsids>
    <w:rsidRoot w:val="00666255"/>
    <w:rsid w:val="00057368"/>
    <w:rsid w:val="001473BA"/>
    <w:rsid w:val="00174EB4"/>
    <w:rsid w:val="001A7855"/>
    <w:rsid w:val="00237539"/>
    <w:rsid w:val="0033708F"/>
    <w:rsid w:val="003A2B73"/>
    <w:rsid w:val="003D03F7"/>
    <w:rsid w:val="00492CAB"/>
    <w:rsid w:val="004C5186"/>
    <w:rsid w:val="005F703B"/>
    <w:rsid w:val="0063733B"/>
    <w:rsid w:val="00666255"/>
    <w:rsid w:val="00675B66"/>
    <w:rsid w:val="006C602A"/>
    <w:rsid w:val="00725045"/>
    <w:rsid w:val="007B51F2"/>
    <w:rsid w:val="0084338F"/>
    <w:rsid w:val="008D5BF0"/>
    <w:rsid w:val="00914773"/>
    <w:rsid w:val="00923938"/>
    <w:rsid w:val="009974F7"/>
    <w:rsid w:val="009A3C0E"/>
    <w:rsid w:val="00A05A77"/>
    <w:rsid w:val="00AB7727"/>
    <w:rsid w:val="00AF2AF6"/>
    <w:rsid w:val="00B47F23"/>
    <w:rsid w:val="00C0483B"/>
    <w:rsid w:val="00CE53EE"/>
    <w:rsid w:val="00D62572"/>
    <w:rsid w:val="00DD7958"/>
    <w:rsid w:val="00E37D53"/>
    <w:rsid w:val="00E4549B"/>
    <w:rsid w:val="00EE7763"/>
    <w:rsid w:val="00EF7D07"/>
    <w:rsid w:val="00F1003E"/>
    <w:rsid w:val="00F72BBB"/>
    <w:rsid w:val="00F75F51"/>
    <w:rsid w:val="00F761AB"/>
    <w:rsid w:val="00FA48D2"/>
    <w:rsid w:val="1F750D89"/>
    <w:rsid w:val="3BCA5257"/>
    <w:rsid w:val="4B5E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bidi="ar-SA"/>
    </w:r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pPr>
    <w:rPr>
      <w:rFonts w:ascii="Calibri" w:hAnsi="Calibr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imes New Roman" w:hAnsi="Times New Roman" w:eastAsia="Times New Roman" w:cs="Times New Roman"/>
      <w:color w:val="000000"/>
      <w:sz w:val="18"/>
      <w:szCs w:val="18"/>
      <w:lang w:eastAsia="en-US" w:bidi="en-US"/>
    </w:rPr>
  </w:style>
  <w:style w:type="character" w:customStyle="1" w:styleId="10">
    <w:name w:val="页脚 字符"/>
    <w:basedOn w:val="8"/>
    <w:link w:val="3"/>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1073</Characters>
  <Lines>8</Lines>
  <Paragraphs>2</Paragraphs>
  <TotalTime>55</TotalTime>
  <ScaleCrop>false</ScaleCrop>
  <LinksUpToDate>false</LinksUpToDate>
  <CharactersWithSpaces>1073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怪瘦w</cp:lastModifiedBy>
  <cp:lastPrinted>2024-05-11T17:34:00Z</cp:lastPrinted>
  <dcterms:modified xsi:type="dcterms:W3CDTF">2024-08-23T08:55:56Z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A62C297D9C2E4D0381B089848A0EF5D8_13</vt:lpwstr>
  </property>
</Properties>
</file>