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59A4B">
      <w:pPr>
        <w:rPr>
          <w:rFonts w:eastAsia="宋体" w:cs="仿宋_GB2312"/>
          <w:color w:val="000000"/>
          <w:sz w:val="36"/>
          <w:szCs w:val="36"/>
        </w:rPr>
      </w:pPr>
    </w:p>
    <w:p w14:paraId="6FD6C00A">
      <w:pPr>
        <w:rPr>
          <w:rFonts w:eastAsia="宋体" w:cs="仿宋_GB2312"/>
          <w:color w:val="000000"/>
          <w:sz w:val="36"/>
          <w:szCs w:val="36"/>
        </w:rPr>
      </w:pPr>
    </w:p>
    <w:p w14:paraId="54561497">
      <w:pPr>
        <w:jc w:val="center"/>
        <w:outlineLvl w:val="0"/>
        <w:rPr>
          <w:rFonts w:eastAsia="方正小标宋_GBK"/>
          <w:bCs/>
          <w:color w:val="000000"/>
          <w:sz w:val="72"/>
          <w:szCs w:val="72"/>
        </w:rPr>
      </w:pPr>
      <w:bookmarkStart w:id="0" w:name="_Toc9439"/>
      <w:bookmarkStart w:id="1" w:name="_Toc22152"/>
      <w:bookmarkStart w:id="2" w:name="_Toc10039"/>
      <w:r>
        <w:rPr>
          <w:rFonts w:eastAsia="方正小标宋_GBK"/>
          <w:bCs/>
          <w:color w:val="000000"/>
          <w:sz w:val="72"/>
          <w:szCs w:val="72"/>
        </w:rPr>
        <w:t>建设项目环境影响报告表</w:t>
      </w:r>
      <w:bookmarkEnd w:id="0"/>
      <w:bookmarkEnd w:id="1"/>
      <w:bookmarkEnd w:id="2"/>
    </w:p>
    <w:p w14:paraId="4F0731F0">
      <w:pPr>
        <w:jc w:val="center"/>
        <w:rPr>
          <w:rFonts w:eastAsia="楷体"/>
          <w:bCs/>
          <w:color w:val="000000"/>
          <w:sz w:val="48"/>
          <w:szCs w:val="48"/>
        </w:rPr>
      </w:pPr>
      <w:r>
        <w:rPr>
          <w:rFonts w:eastAsia="楷体"/>
          <w:bCs/>
          <w:color w:val="000000"/>
          <w:sz w:val="48"/>
          <w:szCs w:val="48"/>
        </w:rPr>
        <w:t>（污染影响类）</w:t>
      </w:r>
    </w:p>
    <w:p w14:paraId="58AC6353">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66A17E43">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58AC5C75">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0E6F11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000000"/>
          <w:sz w:val="48"/>
          <w:szCs w:val="48"/>
          <w:lang w:val="en-US" w:eastAsia="zh-CN"/>
        </w:rPr>
      </w:pPr>
    </w:p>
    <w:p w14:paraId="67360D3A">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669AE56C">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52068BF3">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5787"/>
      </w:tblGrid>
      <w:tr w14:paraId="1A5A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noWrap w:val="0"/>
            <w:vAlign w:val="center"/>
          </w:tcPr>
          <w:p w14:paraId="5F791AAF">
            <w:pPr>
              <w:spacing w:before="120" w:beforeLines="50"/>
              <w:jc w:val="left"/>
              <w:rPr>
                <w:rFonts w:eastAsia="仿宋"/>
                <w:color w:val="000000"/>
                <w:sz w:val="36"/>
                <w:szCs w:val="36"/>
              </w:rPr>
            </w:pPr>
            <w:r>
              <w:rPr>
                <w:rFonts w:eastAsia="仿宋"/>
                <w:color w:val="000000"/>
                <w:spacing w:val="135"/>
                <w:kern w:val="0"/>
                <w:sz w:val="36"/>
                <w:szCs w:val="36"/>
                <w:fitText w:val="2880" w:id="257703372"/>
              </w:rPr>
              <w:t>项目名称</w:t>
            </w:r>
            <w:r>
              <w:rPr>
                <w:rFonts w:eastAsia="仿宋"/>
                <w:color w:val="000000"/>
                <w:spacing w:val="0"/>
                <w:kern w:val="0"/>
                <w:sz w:val="36"/>
                <w:szCs w:val="36"/>
                <w:fitText w:val="2880" w:id="257703372"/>
              </w:rPr>
              <w:t>：</w:t>
            </w:r>
          </w:p>
        </w:tc>
        <w:tc>
          <w:tcPr>
            <w:tcW w:w="6009" w:type="dxa"/>
            <w:tcBorders>
              <w:top w:val="nil"/>
              <w:left w:val="nil"/>
              <w:right w:val="nil"/>
            </w:tcBorders>
            <w:noWrap w:val="0"/>
            <w:vAlign w:val="top"/>
          </w:tcPr>
          <w:p w14:paraId="1E2E2E79">
            <w:pPr>
              <w:spacing w:before="120" w:beforeLines="50"/>
              <w:jc w:val="center"/>
              <w:rPr>
                <w:rFonts w:hint="eastAsia" w:eastAsia="仿宋"/>
                <w:color w:val="000000"/>
                <w:sz w:val="36"/>
                <w:szCs w:val="36"/>
                <w:lang w:val="en-US" w:eastAsia="zh-CN"/>
              </w:rPr>
            </w:pPr>
            <w:r>
              <w:rPr>
                <w:rFonts w:hint="eastAsia" w:eastAsia="仿宋"/>
                <w:color w:val="000000"/>
                <w:sz w:val="30"/>
                <w:szCs w:val="30"/>
                <w:lang w:val="en-US" w:eastAsia="zh-CN"/>
              </w:rPr>
              <w:t>茶陵县浣溪卫生院建设项目</w:t>
            </w:r>
          </w:p>
        </w:tc>
      </w:tr>
      <w:tr w14:paraId="290B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14:paraId="1A4E4F29">
            <w:pPr>
              <w:spacing w:before="120" w:beforeLines="50"/>
              <w:jc w:val="left"/>
              <w:rPr>
                <w:rFonts w:eastAsia="仿宋"/>
                <w:color w:val="000000"/>
                <w:spacing w:val="22"/>
                <w:kern w:val="0"/>
                <w:sz w:val="36"/>
                <w:szCs w:val="36"/>
              </w:rPr>
            </w:pPr>
            <w:r>
              <w:rPr>
                <w:rFonts w:eastAsia="仿宋"/>
                <w:color w:val="000000"/>
                <w:spacing w:val="1"/>
                <w:w w:val="88"/>
                <w:kern w:val="0"/>
                <w:sz w:val="36"/>
                <w:szCs w:val="36"/>
                <w:fitText w:val="2879" w:id="1334653029"/>
              </w:rPr>
              <w:t>建设单位</w:t>
            </w:r>
            <w:r>
              <w:rPr>
                <w:rFonts w:hint="eastAsia" w:eastAsia="仿宋"/>
                <w:color w:val="000000"/>
                <w:spacing w:val="1"/>
                <w:w w:val="88"/>
                <w:kern w:val="0"/>
                <w:sz w:val="36"/>
                <w:szCs w:val="36"/>
                <w:fitText w:val="2879" w:id="1334653029"/>
              </w:rPr>
              <w:t>（盖章）</w:t>
            </w:r>
            <w:r>
              <w:rPr>
                <w:rFonts w:eastAsia="仿宋"/>
                <w:color w:val="000000"/>
                <w:spacing w:val="11"/>
                <w:w w:val="88"/>
                <w:kern w:val="0"/>
                <w:sz w:val="36"/>
                <w:szCs w:val="36"/>
                <w:fitText w:val="2879" w:id="1334653029"/>
              </w:rPr>
              <w:t>：</w:t>
            </w:r>
          </w:p>
        </w:tc>
        <w:tc>
          <w:tcPr>
            <w:tcW w:w="6009" w:type="dxa"/>
            <w:tcBorders>
              <w:left w:val="nil"/>
              <w:right w:val="nil"/>
            </w:tcBorders>
            <w:noWrap w:val="0"/>
            <w:vAlign w:val="top"/>
          </w:tcPr>
          <w:p w14:paraId="21814504">
            <w:pPr>
              <w:spacing w:before="120" w:beforeLines="50"/>
              <w:jc w:val="center"/>
              <w:rPr>
                <w:rFonts w:hint="eastAsia" w:eastAsia="仿宋"/>
                <w:color w:val="000000"/>
                <w:sz w:val="36"/>
                <w:szCs w:val="36"/>
                <w:lang w:val="en-US" w:eastAsia="zh-CN"/>
              </w:rPr>
            </w:pPr>
            <w:r>
              <w:rPr>
                <w:rFonts w:hint="eastAsia" w:eastAsia="仿宋"/>
                <w:color w:val="000000"/>
                <w:sz w:val="30"/>
                <w:szCs w:val="30"/>
                <w:lang w:val="en-US" w:eastAsia="zh-CN"/>
              </w:rPr>
              <w:t>茶陵县浣溪卫生院</w:t>
            </w:r>
          </w:p>
        </w:tc>
      </w:tr>
      <w:tr w14:paraId="465C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14:paraId="1A44FF74">
            <w:pPr>
              <w:spacing w:before="120" w:beforeLines="50"/>
              <w:jc w:val="left"/>
              <w:rPr>
                <w:rFonts w:eastAsia="仿宋"/>
                <w:color w:val="000000"/>
                <w:sz w:val="36"/>
                <w:szCs w:val="36"/>
              </w:rPr>
            </w:pPr>
            <w:r>
              <w:rPr>
                <w:rFonts w:eastAsia="仿宋"/>
                <w:color w:val="000000"/>
                <w:spacing w:val="135"/>
                <w:kern w:val="0"/>
                <w:sz w:val="36"/>
                <w:szCs w:val="36"/>
                <w:fitText w:val="2880" w:id="1054433535"/>
              </w:rPr>
              <w:t>编制日期</w:t>
            </w:r>
            <w:r>
              <w:rPr>
                <w:rFonts w:eastAsia="仿宋"/>
                <w:color w:val="000000"/>
                <w:spacing w:val="0"/>
                <w:kern w:val="0"/>
                <w:sz w:val="36"/>
                <w:szCs w:val="36"/>
                <w:fitText w:val="2880" w:id="1054433535"/>
              </w:rPr>
              <w:t>：</w:t>
            </w:r>
          </w:p>
        </w:tc>
        <w:tc>
          <w:tcPr>
            <w:tcW w:w="6009" w:type="dxa"/>
            <w:tcBorders>
              <w:left w:val="nil"/>
              <w:right w:val="nil"/>
            </w:tcBorders>
            <w:noWrap w:val="0"/>
            <w:vAlign w:val="top"/>
          </w:tcPr>
          <w:p w14:paraId="6A2FC078">
            <w:pPr>
              <w:spacing w:before="120" w:beforeLines="50"/>
              <w:jc w:val="center"/>
              <w:rPr>
                <w:rFonts w:eastAsia="仿宋"/>
                <w:color w:val="000000"/>
                <w:sz w:val="36"/>
                <w:szCs w:val="36"/>
              </w:rPr>
            </w:pPr>
            <w:r>
              <w:rPr>
                <w:rFonts w:hint="eastAsia" w:ascii="宋体" w:hAnsi="宋体" w:eastAsia="宋体" w:cs="宋体"/>
                <w:color w:val="000000"/>
                <w:sz w:val="30"/>
                <w:szCs w:val="30"/>
                <w:lang w:val="en-US" w:eastAsia="zh-CN"/>
              </w:rPr>
              <w:t>2024年6月</w:t>
            </w:r>
          </w:p>
        </w:tc>
      </w:tr>
    </w:tbl>
    <w:p w14:paraId="04828064">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550D3FC4">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14:paraId="50615908">
      <w:pPr>
        <w:adjustRightInd w:val="0"/>
        <w:snapToGrid w:val="0"/>
        <w:spacing w:line="288" w:lineRule="auto"/>
        <w:rPr>
          <w:rFonts w:eastAsia="宋体" w:cs="华文仿宋"/>
          <w:color w:val="000000"/>
          <w:kern w:val="44"/>
          <w:sz w:val="44"/>
          <w:szCs w:val="44"/>
        </w:rPr>
      </w:pPr>
      <w:bookmarkStart w:id="3" w:name="_Hlk57884087"/>
    </w:p>
    <w:p w14:paraId="296A8042">
      <w:pPr>
        <w:pStyle w:val="6"/>
      </w:pPr>
    </w:p>
    <w:bookmarkEnd w:id="3"/>
    <w:p w14:paraId="7DF068FD">
      <w:pPr>
        <w:jc w:val="center"/>
        <w:outlineLvl w:val="0"/>
        <w:rPr>
          <w:rFonts w:eastAsia="方正小标宋_GBK"/>
          <w:bCs/>
          <w:color w:val="000000"/>
          <w:sz w:val="36"/>
          <w:szCs w:val="36"/>
        </w:rPr>
      </w:pPr>
      <w:bookmarkStart w:id="4" w:name="_Toc19135"/>
      <w:bookmarkStart w:id="5" w:name="_Toc30296"/>
      <w:bookmarkStart w:id="6" w:name="_Toc3010"/>
      <w:r>
        <w:rPr>
          <w:rFonts w:eastAsia="方正小标宋_GBK"/>
          <w:bCs/>
          <w:color w:val="000000"/>
          <w:sz w:val="36"/>
          <w:szCs w:val="36"/>
        </w:rPr>
        <w:t>中华人民共和国生态环境部</w:t>
      </w:r>
      <w:bookmarkEnd w:id="4"/>
      <w:bookmarkEnd w:id="5"/>
      <w:bookmarkEnd w:id="6"/>
    </w:p>
    <w:p w14:paraId="10E3BB93">
      <w:pPr>
        <w:rPr>
          <w:rFonts w:hint="eastAsia" w:ascii="Times New Roman" w:hAnsi="Times New Roman" w:eastAsia="黑体"/>
          <w:snapToGrid w:val="0"/>
          <w:color w:val="000000"/>
          <w:sz w:val="30"/>
          <w:szCs w:val="30"/>
        </w:rPr>
      </w:pPr>
      <w:bookmarkStart w:id="7" w:name="_Toc10482"/>
      <w:r>
        <w:rPr>
          <w:rFonts w:hint="eastAsia" w:ascii="Times New Roman" w:hAnsi="Times New Roman" w:eastAsia="黑体"/>
          <w:snapToGrid w:val="0"/>
          <w:color w:val="000000"/>
          <w:sz w:val="30"/>
          <w:szCs w:val="30"/>
        </w:rPr>
        <w:br w:type="page"/>
      </w:r>
    </w:p>
    <w:sdt>
      <w:sdtPr>
        <w:rPr>
          <w:rFonts w:ascii="宋体" w:hAnsi="宋体" w:eastAsia="宋体" w:cs="Times New Roman"/>
          <w:kern w:val="2"/>
          <w:sz w:val="21"/>
          <w:szCs w:val="24"/>
          <w:lang w:val="en-US" w:eastAsia="zh-CN" w:bidi="ar-SA"/>
        </w:rPr>
        <w:id w:val="147471006"/>
        <w15:color w:val="DBDBDB"/>
        <w:docPartObj>
          <w:docPartGallery w:val="Table of Contents"/>
          <w:docPartUnique/>
        </w:docPartObj>
      </w:sdtPr>
      <w:sdtEndPr>
        <w:rPr>
          <w:rFonts w:hint="eastAsia" w:ascii="Times New Roman" w:hAnsi="Times New Roman" w:eastAsia="宋体" w:cs="Times New Roman"/>
          <w:b w:val="0"/>
          <w:bCs w:val="0"/>
          <w:kern w:val="2"/>
          <w:sz w:val="21"/>
          <w:szCs w:val="24"/>
          <w:lang w:val="en-US" w:eastAsia="zh-CN" w:bidi="ar-SA"/>
        </w:rPr>
      </w:sdtEndPr>
      <w:sdtContent>
        <w:p w14:paraId="440C32F7">
          <w:pPr>
            <w:pStyle w:val="3"/>
            <w:bidi w:val="0"/>
          </w:pPr>
          <w:r>
            <w:rPr>
              <w:rFonts w:ascii="宋体" w:hAnsi="宋体" w:eastAsia="宋体"/>
              <w:sz w:val="21"/>
            </w:rPr>
            <w:t>目录</w:t>
          </w:r>
        </w:p>
        <w:p w14:paraId="1228B25A">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fldChar w:fldCharType="begin"/>
          </w:r>
          <w:r>
            <w:instrText xml:space="preserve">TOC \o "1-1" \h \u </w:instrText>
          </w:r>
          <w:r>
            <w:fldChar w:fldCharType="separate"/>
          </w: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_Toc31629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一、建设项目基本情况</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_Toc31629 \h </w:instrText>
          </w:r>
          <w:r>
            <w:rPr>
              <w:rFonts w:ascii="Times New Roman" w:hAnsi="Times New Roman" w:eastAsia="宋体"/>
              <w:sz w:val="24"/>
              <w:szCs w:val="24"/>
            </w:rPr>
            <w:fldChar w:fldCharType="separate"/>
          </w:r>
          <w:r>
            <w:rPr>
              <w:rFonts w:ascii="Times New Roman" w:hAnsi="Times New Roman" w:eastAsia="宋体"/>
              <w:sz w:val="24"/>
              <w:szCs w:val="24"/>
            </w:rPr>
            <w:t>2</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57816C04">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_Toc29358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二、建设项目工程分析</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_Toc29358 \h </w:instrText>
          </w:r>
          <w:r>
            <w:rPr>
              <w:rFonts w:ascii="Times New Roman" w:hAnsi="Times New Roman" w:eastAsia="宋体"/>
              <w:sz w:val="24"/>
              <w:szCs w:val="24"/>
            </w:rPr>
            <w:fldChar w:fldCharType="separate"/>
          </w:r>
          <w:r>
            <w:rPr>
              <w:rFonts w:ascii="Times New Roman" w:hAnsi="Times New Roman" w:eastAsia="宋体"/>
              <w:sz w:val="24"/>
              <w:szCs w:val="24"/>
            </w:rPr>
            <w:t>14</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42614966">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_Toc6907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三、区域环境质量现状、环境保护目标及评价标准</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_Toc6907 \h </w:instrText>
          </w:r>
          <w:r>
            <w:rPr>
              <w:rFonts w:ascii="Times New Roman" w:hAnsi="Times New Roman" w:eastAsia="宋体"/>
              <w:sz w:val="24"/>
              <w:szCs w:val="24"/>
            </w:rPr>
            <w:fldChar w:fldCharType="separate"/>
          </w:r>
          <w:r>
            <w:rPr>
              <w:rFonts w:ascii="Times New Roman" w:hAnsi="Times New Roman" w:eastAsia="宋体"/>
              <w:sz w:val="24"/>
              <w:szCs w:val="24"/>
            </w:rPr>
            <w:t>25</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57608244">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_Toc21298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四、主要环境影响和保护措施</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_Toc21298 \h </w:instrText>
          </w:r>
          <w:r>
            <w:rPr>
              <w:rFonts w:ascii="Times New Roman" w:hAnsi="Times New Roman" w:eastAsia="宋体"/>
              <w:sz w:val="24"/>
              <w:szCs w:val="24"/>
            </w:rPr>
            <w:fldChar w:fldCharType="separate"/>
          </w:r>
          <w:r>
            <w:rPr>
              <w:rFonts w:ascii="Times New Roman" w:hAnsi="Times New Roman" w:eastAsia="宋体"/>
              <w:sz w:val="24"/>
              <w:szCs w:val="24"/>
            </w:rPr>
            <w:t>30</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2475C5CE">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_Toc18598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val="en-US" w:eastAsia="zh-CN"/>
            </w:rPr>
            <w:t>五</w:t>
          </w:r>
          <w:r>
            <w:rPr>
              <w:rFonts w:hint="eastAsia" w:ascii="Times New Roman" w:hAnsi="Times New Roman" w:eastAsia="宋体"/>
              <w:snapToGrid w:val="0"/>
              <w:sz w:val="24"/>
              <w:szCs w:val="24"/>
            </w:rPr>
            <w:t>、</w:t>
          </w:r>
          <w:r>
            <w:rPr>
              <w:rFonts w:hint="eastAsia" w:ascii="Times New Roman" w:hAnsi="Times New Roman" w:eastAsia="宋体"/>
              <w:snapToGrid w:val="0"/>
              <w:sz w:val="24"/>
              <w:szCs w:val="24"/>
              <w:lang w:val="en-US" w:eastAsia="zh-CN"/>
            </w:rPr>
            <w:t>入河排污口设置论证</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_Toc18598 \h </w:instrText>
          </w:r>
          <w:r>
            <w:rPr>
              <w:rFonts w:ascii="Times New Roman" w:hAnsi="Times New Roman" w:eastAsia="宋体"/>
              <w:sz w:val="24"/>
              <w:szCs w:val="24"/>
            </w:rPr>
            <w:fldChar w:fldCharType="separate"/>
          </w:r>
          <w:r>
            <w:rPr>
              <w:rFonts w:ascii="Times New Roman" w:hAnsi="Times New Roman" w:eastAsia="宋体"/>
              <w:sz w:val="24"/>
              <w:szCs w:val="24"/>
            </w:rPr>
            <w:t>56</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0780CEDB">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_Toc14772 </w:instrText>
          </w:r>
          <w:r>
            <w:rPr>
              <w:rFonts w:ascii="Times New Roman" w:hAnsi="Times New Roman" w:eastAsia="宋体"/>
              <w:sz w:val="24"/>
              <w:szCs w:val="24"/>
            </w:rPr>
            <w:fldChar w:fldCharType="separate"/>
          </w:r>
          <w:r>
            <w:rPr>
              <w:rFonts w:hint="eastAsia" w:ascii="Times New Roman" w:hAnsi="Times New Roman" w:eastAsia="宋体"/>
              <w:sz w:val="24"/>
              <w:szCs w:val="24"/>
              <w:lang w:eastAsia="zh-CN"/>
            </w:rPr>
            <w:t>六</w:t>
          </w:r>
          <w:r>
            <w:rPr>
              <w:rFonts w:hint="eastAsia" w:ascii="Times New Roman" w:hAnsi="Times New Roman" w:eastAsia="宋体"/>
              <w:snapToGrid w:val="0"/>
              <w:sz w:val="24"/>
              <w:szCs w:val="24"/>
            </w:rPr>
            <w:t>、环境保护措施监督检查清单</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_Toc14772 \h </w:instrText>
          </w:r>
          <w:r>
            <w:rPr>
              <w:rFonts w:ascii="Times New Roman" w:hAnsi="Times New Roman" w:eastAsia="宋体"/>
              <w:sz w:val="24"/>
              <w:szCs w:val="24"/>
            </w:rPr>
            <w:fldChar w:fldCharType="separate"/>
          </w:r>
          <w:r>
            <w:rPr>
              <w:rFonts w:ascii="Times New Roman" w:hAnsi="Times New Roman" w:eastAsia="宋体"/>
              <w:sz w:val="24"/>
              <w:szCs w:val="24"/>
            </w:rPr>
            <w:t>73</w:t>
          </w:r>
          <w:r>
            <w:rPr>
              <w:rFonts w:ascii="Times New Roman" w:hAnsi="Times New Roman" w:eastAsia="宋体"/>
              <w:sz w:val="24"/>
              <w:szCs w:val="24"/>
            </w:rPr>
            <w:fldChar w:fldCharType="end"/>
          </w:r>
          <w:r>
            <w:rPr>
              <w:rFonts w:ascii="Times New Roman" w:hAnsi="Times New Roman" w:eastAsia="宋体"/>
              <w:sz w:val="24"/>
              <w:szCs w:val="24"/>
            </w:rPr>
            <w:fldChar w:fldCharType="end"/>
          </w:r>
        </w:p>
        <w:p w14:paraId="2FEAC933">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imes New Roman" w:hAnsi="Times New Roman" w:eastAsia="宋体"/>
              <w:sz w:val="24"/>
              <w:szCs w:val="24"/>
              <w:lang w:val="en-US" w:eastAsia="zh-CN"/>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_Toc12089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eastAsia="zh-CN"/>
            </w:rPr>
            <w:t>七</w:t>
          </w:r>
          <w:r>
            <w:rPr>
              <w:rFonts w:hint="eastAsia" w:ascii="Times New Roman" w:hAnsi="Times New Roman" w:eastAsia="宋体"/>
              <w:snapToGrid w:val="0"/>
              <w:sz w:val="24"/>
              <w:szCs w:val="24"/>
            </w:rPr>
            <w:t>、结论</w:t>
          </w:r>
          <w:r>
            <w:rPr>
              <w:rFonts w:ascii="Times New Roman" w:hAnsi="Times New Roman" w:eastAsia="宋体"/>
              <w:sz w:val="24"/>
              <w:szCs w:val="24"/>
            </w:rPr>
            <w:tab/>
          </w:r>
          <w:r>
            <w:rPr>
              <w:rFonts w:hint="eastAsia"/>
              <w:sz w:val="24"/>
              <w:szCs w:val="24"/>
              <w:lang w:val="en-US" w:eastAsia="zh-CN"/>
            </w:rPr>
            <w:t>7</w:t>
          </w:r>
          <w:r>
            <w:rPr>
              <w:rFonts w:ascii="Times New Roman" w:hAnsi="Times New Roman" w:eastAsia="宋体"/>
              <w:sz w:val="24"/>
              <w:szCs w:val="24"/>
            </w:rPr>
            <w:fldChar w:fldCharType="end"/>
          </w:r>
          <w:r>
            <w:rPr>
              <w:rFonts w:hint="eastAsia"/>
              <w:sz w:val="24"/>
              <w:szCs w:val="24"/>
              <w:lang w:val="en-US" w:eastAsia="zh-CN"/>
            </w:rPr>
            <w:t>2</w:t>
          </w:r>
        </w:p>
        <w:p w14:paraId="78F18598">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Times New Roman" w:hAnsi="Times New Roman" w:eastAsia="宋体"/>
              <w:sz w:val="24"/>
              <w:szCs w:val="24"/>
              <w:lang w:val="en-US" w:eastAsia="zh-CN"/>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_Toc32200 </w:instrText>
          </w:r>
          <w:r>
            <w:rPr>
              <w:rFonts w:ascii="Times New Roman" w:hAnsi="Times New Roman" w:eastAsia="宋体"/>
              <w:sz w:val="24"/>
              <w:szCs w:val="24"/>
            </w:rPr>
            <w:fldChar w:fldCharType="separate"/>
          </w:r>
          <w:r>
            <w:rPr>
              <w:rFonts w:ascii="Times New Roman" w:hAnsi="Times New Roman" w:eastAsia="宋体"/>
              <w:snapToGrid w:val="0"/>
              <w:sz w:val="24"/>
              <w:szCs w:val="24"/>
            </w:rPr>
            <w:t>附表</w:t>
          </w:r>
          <w:r>
            <w:rPr>
              <w:rFonts w:hint="eastAsia"/>
              <w:snapToGrid w:val="0"/>
              <w:sz w:val="24"/>
              <w:szCs w:val="24"/>
              <w:lang w:eastAsia="zh-CN"/>
            </w:rPr>
            <w:t>（</w:t>
          </w:r>
          <w:r>
            <w:rPr>
              <w:rFonts w:ascii="Times New Roman" w:hAnsi="Times New Roman" w:eastAsia="宋体"/>
              <w:bCs/>
              <w:snapToGrid w:val="0"/>
              <w:sz w:val="24"/>
              <w:szCs w:val="24"/>
            </w:rPr>
            <w:t>建设项目污染物排放量汇总表  单位t/a</w:t>
          </w:r>
          <w:r>
            <w:rPr>
              <w:rFonts w:hint="eastAsia" w:eastAsia="宋体"/>
              <w:bCs/>
              <w:snapToGrid w:val="0"/>
              <w:sz w:val="24"/>
              <w:szCs w:val="24"/>
              <w:lang w:eastAsia="zh-CN"/>
            </w:rPr>
            <w:t>）</w:t>
          </w:r>
          <w:r>
            <w:rPr>
              <w:rFonts w:ascii="Times New Roman" w:hAnsi="Times New Roman" w:eastAsia="宋体"/>
              <w:sz w:val="24"/>
              <w:szCs w:val="24"/>
            </w:rPr>
            <w:tab/>
          </w:r>
          <w:r>
            <w:rPr>
              <w:rFonts w:hint="eastAsia"/>
              <w:sz w:val="24"/>
              <w:szCs w:val="24"/>
              <w:lang w:val="en-US" w:eastAsia="zh-CN"/>
            </w:rPr>
            <w:t>7</w:t>
          </w:r>
          <w:r>
            <w:rPr>
              <w:rFonts w:ascii="Times New Roman" w:hAnsi="Times New Roman" w:eastAsia="宋体"/>
              <w:sz w:val="24"/>
              <w:szCs w:val="24"/>
            </w:rPr>
            <w:fldChar w:fldCharType="end"/>
          </w:r>
          <w:r>
            <w:rPr>
              <w:rFonts w:hint="eastAsia"/>
              <w:sz w:val="24"/>
              <w:szCs w:val="24"/>
              <w:lang w:val="en-US" w:eastAsia="zh-CN"/>
            </w:rPr>
            <w:t>3</w:t>
          </w:r>
        </w:p>
        <w:p w14:paraId="1E6A4F96">
          <w:pPr>
            <w:pStyle w:val="3"/>
            <w:bidi w:val="0"/>
            <w:spacing w:line="360" w:lineRule="auto"/>
            <w:jc w:val="both"/>
            <w:outlineLvl w:val="9"/>
          </w:pPr>
        </w:p>
        <w:p w14:paraId="4051332F">
          <w:pPr>
            <w:pStyle w:val="3"/>
            <w:bidi w:val="0"/>
            <w:spacing w:line="360" w:lineRule="auto"/>
            <w:jc w:val="both"/>
            <w:outlineLvl w:val="9"/>
            <w:rPr>
              <w:rFonts w:hint="default" w:ascii="Times New Roman" w:hAnsi="Times New Roman" w:eastAsia="宋体" w:cs="Times New Roman"/>
              <w:b w:val="0"/>
              <w:bCs w:val="0"/>
              <w:spacing w:val="0"/>
              <w:sz w:val="21"/>
              <w:szCs w:val="21"/>
              <w:highlight w:val="yellow"/>
              <w:lang w:eastAsia="zh-CN"/>
            </w:rPr>
          </w:pPr>
          <w:r>
            <w:fldChar w:fldCharType="end"/>
          </w:r>
          <w:r>
            <w:rPr>
              <w:rFonts w:hint="default" w:ascii="Times New Roman" w:hAnsi="Times New Roman" w:eastAsia="宋体" w:cs="Times New Roman"/>
              <w:b w:val="0"/>
              <w:bCs w:val="0"/>
              <w:spacing w:val="0"/>
              <w:sz w:val="21"/>
              <w:szCs w:val="21"/>
              <w:highlight w:val="yellow"/>
              <w:lang w:eastAsia="zh-CN"/>
            </w:rPr>
            <w:t>附件：</w:t>
          </w:r>
        </w:p>
        <w:p w14:paraId="4B970BE0">
          <w:pPr>
            <w:bidi w:val="0"/>
            <w:spacing w:line="240" w:lineRule="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yellow"/>
              <w:lang w:eastAsia="zh-CN"/>
            </w:rPr>
            <w:t>附件</w:t>
          </w:r>
          <w:r>
            <w:rPr>
              <w:rFonts w:hint="default" w:ascii="Times New Roman" w:hAnsi="Times New Roman" w:eastAsia="宋体" w:cs="Times New Roman"/>
              <w:highlight w:val="yellow"/>
              <w:lang w:val="en-US" w:eastAsia="zh-CN"/>
            </w:rPr>
            <w:t>1项目委托书</w:t>
          </w:r>
        </w:p>
        <w:p w14:paraId="6B7630E4">
          <w:pPr>
            <w:bidi w:val="0"/>
            <w:spacing w:line="240" w:lineRule="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yellow"/>
              <w:lang w:eastAsia="zh-CN"/>
            </w:rPr>
            <w:t>附件</w:t>
          </w:r>
          <w:r>
            <w:rPr>
              <w:rFonts w:hint="default" w:ascii="Times New Roman" w:hAnsi="Times New Roman" w:eastAsia="宋体" w:cs="Times New Roman"/>
              <w:highlight w:val="yellow"/>
              <w:lang w:val="en-US" w:eastAsia="zh-CN"/>
            </w:rPr>
            <w:t>2 事业单位法人证书</w:t>
          </w:r>
        </w:p>
        <w:p w14:paraId="48CA1DFB">
          <w:pPr>
            <w:bidi w:val="0"/>
            <w:spacing w:line="240" w:lineRule="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yellow"/>
              <w:lang w:val="en-US" w:eastAsia="zh-CN"/>
            </w:rPr>
            <w:t>附件3 医疗机构许可证</w:t>
          </w:r>
        </w:p>
        <w:p w14:paraId="6B31E007">
          <w:pPr>
            <w:bidi w:val="0"/>
            <w:spacing w:line="240" w:lineRule="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yellow"/>
              <w:lang w:val="en-US" w:eastAsia="zh-CN"/>
            </w:rPr>
            <w:t>附件</w:t>
          </w:r>
          <w:r>
            <w:rPr>
              <w:rFonts w:hint="eastAsia" w:cs="Times New Roman"/>
              <w:highlight w:val="yellow"/>
              <w:lang w:val="en-US" w:eastAsia="zh-CN"/>
            </w:rPr>
            <w:t>4</w:t>
          </w:r>
          <w:r>
            <w:rPr>
              <w:rFonts w:hint="default" w:ascii="Times New Roman" w:hAnsi="Times New Roman" w:eastAsia="宋体" w:cs="Times New Roman"/>
              <w:highlight w:val="yellow"/>
              <w:lang w:val="en-US" w:eastAsia="zh-CN"/>
            </w:rPr>
            <w:t xml:space="preserve"> 医疗废物委托处置协议</w:t>
          </w:r>
        </w:p>
        <w:p w14:paraId="3B91B7AB">
          <w:pPr>
            <w:bidi w:val="0"/>
            <w:spacing w:line="240" w:lineRule="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yellow"/>
              <w:lang w:val="en-US" w:eastAsia="zh-CN"/>
            </w:rPr>
            <w:t>附件</w:t>
          </w:r>
          <w:r>
            <w:rPr>
              <w:rFonts w:hint="eastAsia" w:cs="Times New Roman"/>
              <w:highlight w:val="yellow"/>
              <w:lang w:val="en-US" w:eastAsia="zh-CN"/>
            </w:rPr>
            <w:t>5</w:t>
          </w:r>
          <w:r>
            <w:rPr>
              <w:rFonts w:hint="default" w:ascii="Times New Roman" w:hAnsi="Times New Roman" w:eastAsia="宋体" w:cs="Times New Roman"/>
              <w:highlight w:val="yellow"/>
              <w:lang w:val="en-US" w:eastAsia="zh-CN"/>
            </w:rPr>
            <w:t xml:space="preserve"> 医疗废水监测报告</w:t>
          </w:r>
        </w:p>
        <w:p w14:paraId="00563526">
          <w:pPr>
            <w:bidi w:val="0"/>
            <w:spacing w:line="240" w:lineRule="auto"/>
            <w:rPr>
              <w:rFonts w:hint="default" w:ascii="Times New Roman" w:hAnsi="Times New Roman" w:eastAsia="宋体" w:cs="Times New Roman"/>
              <w:highlight w:val="yellow"/>
            </w:rPr>
          </w:pPr>
          <w:r>
            <w:rPr>
              <w:rFonts w:hint="default" w:ascii="Times New Roman" w:hAnsi="Times New Roman" w:eastAsia="宋体" w:cs="Times New Roman"/>
              <w:highlight w:val="yellow"/>
              <w:lang w:val="en-US" w:eastAsia="zh-CN"/>
            </w:rPr>
            <w:t>附件</w:t>
          </w:r>
          <w:r>
            <w:rPr>
              <w:rFonts w:hint="eastAsia" w:cs="Times New Roman"/>
              <w:highlight w:val="yellow"/>
              <w:lang w:val="en-US" w:eastAsia="zh-CN"/>
            </w:rPr>
            <w:t>6</w:t>
          </w:r>
          <w:r>
            <w:rPr>
              <w:rFonts w:hint="default" w:ascii="Times New Roman" w:hAnsi="Times New Roman" w:eastAsia="宋体" w:cs="Times New Roman"/>
              <w:highlight w:val="yellow"/>
              <w:lang w:val="en-US" w:eastAsia="zh-CN"/>
            </w:rPr>
            <w:t xml:space="preserve"> 声环境质量现状监测报告</w:t>
          </w:r>
        </w:p>
        <w:p w14:paraId="3F2D835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highlight w:val="yellow"/>
              <w:lang w:val="en-US" w:eastAsia="zh-CN"/>
            </w:rPr>
          </w:pPr>
          <w:r>
            <w:rPr>
              <w:rFonts w:hint="default" w:ascii="Times New Roman" w:hAnsi="Times New Roman" w:eastAsia="宋体" w:cs="Times New Roman"/>
              <w:b w:val="0"/>
              <w:bCs w:val="0"/>
              <w:highlight w:val="yellow"/>
              <w:lang w:val="en-US" w:eastAsia="zh-CN"/>
            </w:rPr>
            <w:t>附件</w:t>
          </w:r>
          <w:r>
            <w:rPr>
              <w:rFonts w:hint="eastAsia" w:cs="Times New Roman"/>
              <w:b w:val="0"/>
              <w:bCs w:val="0"/>
              <w:highlight w:val="yellow"/>
              <w:lang w:val="en-US" w:eastAsia="zh-CN"/>
            </w:rPr>
            <w:t>7</w:t>
          </w:r>
          <w:r>
            <w:rPr>
              <w:rFonts w:hint="default" w:ascii="Times New Roman" w:hAnsi="Times New Roman" w:eastAsia="宋体" w:cs="Times New Roman"/>
              <w:b w:val="0"/>
              <w:bCs w:val="0"/>
              <w:highlight w:val="yellow"/>
              <w:lang w:val="en-US" w:eastAsia="zh-CN"/>
            </w:rPr>
            <w:t xml:space="preserve"> 放射安全许可证</w:t>
          </w:r>
        </w:p>
        <w:p w14:paraId="453CC80B">
          <w:pPr>
            <w:bidi w:val="0"/>
            <w:spacing w:line="240" w:lineRule="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yellow"/>
              <w:lang w:val="en-US" w:eastAsia="zh-CN"/>
            </w:rPr>
            <w:t>附件</w:t>
          </w:r>
          <w:r>
            <w:rPr>
              <w:rFonts w:hint="eastAsia" w:cs="Times New Roman"/>
              <w:highlight w:val="yellow"/>
              <w:lang w:val="en-US" w:eastAsia="zh-CN"/>
            </w:rPr>
            <w:t>8</w:t>
          </w:r>
          <w:r>
            <w:rPr>
              <w:rFonts w:hint="default" w:ascii="Times New Roman" w:hAnsi="Times New Roman" w:eastAsia="宋体" w:cs="Times New Roman"/>
              <w:highlight w:val="yellow"/>
              <w:lang w:val="en-US" w:eastAsia="zh-CN"/>
            </w:rPr>
            <w:t>专家签到表</w:t>
          </w:r>
        </w:p>
        <w:p w14:paraId="552A8FE5">
          <w:pPr>
            <w:bidi w:val="0"/>
            <w:spacing w:line="240" w:lineRule="auto"/>
            <w:rPr>
              <w:rFonts w:hint="default" w:ascii="Times New Roman" w:hAnsi="Times New Roman" w:eastAsia="宋体" w:cs="Times New Roman"/>
              <w:highlight w:val="yellow"/>
              <w:lang w:val="en-US" w:eastAsia="zh-CN"/>
            </w:rPr>
          </w:pPr>
          <w:r>
            <w:rPr>
              <w:rFonts w:hint="default" w:ascii="Times New Roman" w:hAnsi="Times New Roman" w:eastAsia="宋体" w:cs="Times New Roman"/>
              <w:highlight w:val="yellow"/>
              <w:lang w:val="en-US" w:eastAsia="zh-CN"/>
            </w:rPr>
            <w:t>附件</w:t>
          </w:r>
          <w:r>
            <w:rPr>
              <w:rFonts w:hint="eastAsia" w:cs="Times New Roman"/>
              <w:highlight w:val="yellow"/>
              <w:lang w:val="en-US" w:eastAsia="zh-CN"/>
            </w:rPr>
            <w:t>9</w:t>
          </w:r>
          <w:r>
            <w:rPr>
              <w:rFonts w:hint="default" w:ascii="Times New Roman" w:hAnsi="Times New Roman" w:eastAsia="宋体" w:cs="Times New Roman"/>
              <w:highlight w:val="yellow"/>
              <w:lang w:val="en-US" w:eastAsia="zh-CN"/>
            </w:rPr>
            <w:t>专家技术评审意见</w:t>
          </w:r>
        </w:p>
        <w:p w14:paraId="14519CD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lang w:val="en-US" w:eastAsia="zh-CN"/>
            </w:rPr>
          </w:pPr>
        </w:p>
        <w:p w14:paraId="1B818D1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lang w:val="en-US" w:eastAsia="zh-CN"/>
            </w:rPr>
          </w:pPr>
        </w:p>
        <w:p w14:paraId="326EE74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pacing w:val="0"/>
              <w:sz w:val="21"/>
              <w:szCs w:val="21"/>
              <w:highlight w:val="yellow"/>
              <w:lang w:eastAsia="zh-CN"/>
            </w:rPr>
          </w:pPr>
          <w:bookmarkStart w:id="8" w:name="_Toc31629"/>
          <w:r>
            <w:rPr>
              <w:rFonts w:hint="default" w:ascii="Times New Roman" w:hAnsi="Times New Roman" w:eastAsia="宋体" w:cs="Times New Roman"/>
              <w:b w:val="0"/>
              <w:bCs w:val="0"/>
              <w:spacing w:val="0"/>
              <w:sz w:val="21"/>
              <w:szCs w:val="21"/>
              <w:highlight w:val="yellow"/>
              <w:lang w:eastAsia="zh-CN"/>
            </w:rPr>
            <w:t>附图：</w:t>
          </w:r>
        </w:p>
        <w:p w14:paraId="16AEA988">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highlight w:val="yellow"/>
              <w:lang w:val="en-US" w:eastAsia="zh-CN"/>
            </w:rPr>
          </w:pPr>
          <w:r>
            <w:rPr>
              <w:rFonts w:hint="default" w:ascii="Times New Roman" w:hAnsi="Times New Roman" w:eastAsia="宋体" w:cs="Times New Roman"/>
              <w:b w:val="0"/>
              <w:bCs w:val="0"/>
              <w:highlight w:val="yellow"/>
              <w:lang w:eastAsia="zh-CN"/>
            </w:rPr>
            <w:t>附图</w:t>
          </w:r>
          <w:r>
            <w:rPr>
              <w:rFonts w:hint="default" w:ascii="Times New Roman" w:hAnsi="Times New Roman" w:eastAsia="宋体" w:cs="Times New Roman"/>
              <w:b w:val="0"/>
              <w:bCs w:val="0"/>
              <w:highlight w:val="yellow"/>
              <w:lang w:val="en-US" w:eastAsia="zh-CN"/>
            </w:rPr>
            <w:t xml:space="preserve">1 </w:t>
          </w:r>
          <w:r>
            <w:rPr>
              <w:rFonts w:hint="eastAsia" w:ascii="Times New Roman" w:hAnsi="Times New Roman" w:eastAsia="宋体" w:cs="Times New Roman"/>
              <w:b w:val="0"/>
              <w:bCs w:val="0"/>
              <w:highlight w:val="yellow"/>
              <w:lang w:val="en-US" w:eastAsia="zh-CN"/>
            </w:rPr>
            <w:t>建设</w:t>
          </w:r>
          <w:r>
            <w:rPr>
              <w:rFonts w:hint="default" w:ascii="Times New Roman" w:hAnsi="Times New Roman" w:eastAsia="宋体" w:cs="Times New Roman"/>
              <w:b w:val="0"/>
              <w:bCs w:val="0"/>
              <w:highlight w:val="yellow"/>
              <w:lang w:val="en-US" w:eastAsia="zh-CN"/>
            </w:rPr>
            <w:t>项目地理位置图</w:t>
          </w:r>
        </w:p>
        <w:p w14:paraId="76625357">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highlight w:val="yellow"/>
              <w:lang w:eastAsia="zh-CN"/>
            </w:rPr>
          </w:pPr>
          <w:r>
            <w:rPr>
              <w:rFonts w:hint="default" w:ascii="Times New Roman" w:hAnsi="Times New Roman" w:eastAsia="宋体" w:cs="Times New Roman"/>
              <w:b w:val="0"/>
              <w:bCs w:val="0"/>
              <w:highlight w:val="yellow"/>
              <w:lang w:val="en-US" w:eastAsia="zh-CN"/>
            </w:rPr>
            <w:t>附图2 平面布置及雨污</w:t>
          </w:r>
          <w:r>
            <w:rPr>
              <w:rFonts w:hint="eastAsia" w:ascii="Times New Roman" w:hAnsi="Times New Roman" w:eastAsia="宋体" w:cs="Times New Roman"/>
              <w:b w:val="0"/>
              <w:bCs w:val="0"/>
              <w:highlight w:val="yellow"/>
              <w:lang w:val="en-US" w:eastAsia="zh-CN"/>
            </w:rPr>
            <w:t>流向</w:t>
          </w:r>
          <w:r>
            <w:rPr>
              <w:rFonts w:hint="default" w:ascii="Times New Roman" w:hAnsi="Times New Roman" w:eastAsia="宋体" w:cs="Times New Roman"/>
              <w:b w:val="0"/>
              <w:bCs w:val="0"/>
              <w:highlight w:val="yellow"/>
              <w:lang w:val="en-US" w:eastAsia="zh-CN"/>
            </w:rPr>
            <w:t>图</w:t>
          </w:r>
        </w:p>
        <w:p w14:paraId="06313DC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highlight w:val="yellow"/>
              <w:lang w:val="en-US" w:eastAsia="zh-CN"/>
            </w:rPr>
          </w:pPr>
          <w:r>
            <w:rPr>
              <w:rFonts w:hint="default" w:ascii="Times New Roman" w:hAnsi="Times New Roman" w:eastAsia="宋体" w:cs="Times New Roman"/>
              <w:b w:val="0"/>
              <w:bCs w:val="0"/>
              <w:highlight w:val="yellow"/>
              <w:lang w:val="en-US" w:eastAsia="zh-CN"/>
            </w:rPr>
            <w:t xml:space="preserve">附图3 </w:t>
          </w:r>
          <w:r>
            <w:rPr>
              <w:rFonts w:hint="eastAsia" w:cs="Times New Roman"/>
              <w:b w:val="0"/>
              <w:bCs w:val="0"/>
              <w:highlight w:val="yellow"/>
              <w:lang w:val="en-US" w:eastAsia="zh-CN"/>
            </w:rPr>
            <w:t>噪声点位图</w:t>
          </w:r>
        </w:p>
        <w:p w14:paraId="36E2951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highlight w:val="yellow"/>
              <w:lang w:val="en-US" w:eastAsia="zh-CN"/>
            </w:rPr>
          </w:pPr>
          <w:r>
            <w:rPr>
              <w:rFonts w:hint="default" w:ascii="Times New Roman" w:hAnsi="Times New Roman" w:eastAsia="宋体" w:cs="Times New Roman"/>
              <w:b w:val="0"/>
              <w:bCs w:val="0"/>
              <w:highlight w:val="yellow"/>
              <w:lang w:val="en-US" w:eastAsia="zh-CN"/>
            </w:rPr>
            <w:t xml:space="preserve">附图4 </w:t>
          </w:r>
          <w:r>
            <w:rPr>
              <w:rFonts w:hint="eastAsia" w:ascii="Times New Roman" w:hAnsi="Times New Roman" w:eastAsia="宋体" w:cs="Times New Roman"/>
              <w:b w:val="0"/>
              <w:bCs w:val="0"/>
              <w:highlight w:val="yellow"/>
              <w:lang w:val="en-US" w:eastAsia="zh-CN"/>
            </w:rPr>
            <w:t>建设</w:t>
          </w:r>
          <w:r>
            <w:rPr>
              <w:rFonts w:hint="default" w:ascii="Times New Roman" w:hAnsi="Times New Roman" w:eastAsia="宋体" w:cs="Times New Roman"/>
              <w:b w:val="0"/>
              <w:bCs w:val="0"/>
              <w:highlight w:val="yellow"/>
              <w:lang w:val="en-US" w:eastAsia="zh-CN"/>
            </w:rPr>
            <w:t>项目周边敏感点图</w:t>
          </w:r>
        </w:p>
        <w:p w14:paraId="01BF0D1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highlight w:val="yellow"/>
              <w:lang w:val="en-US" w:eastAsia="zh-CN"/>
            </w:rPr>
          </w:pPr>
          <w:r>
            <w:rPr>
              <w:rFonts w:hint="default" w:ascii="Times New Roman" w:hAnsi="Times New Roman" w:eastAsia="宋体" w:cs="Times New Roman"/>
              <w:b w:val="0"/>
              <w:bCs w:val="0"/>
              <w:highlight w:val="yellow"/>
              <w:lang w:val="en-US" w:eastAsia="zh-CN"/>
            </w:rPr>
            <w:t xml:space="preserve">附图5 </w:t>
          </w:r>
          <w:r>
            <w:rPr>
              <w:rFonts w:hint="eastAsia" w:ascii="Times New Roman" w:hAnsi="Times New Roman" w:eastAsia="宋体" w:cs="Times New Roman"/>
              <w:b w:val="0"/>
              <w:bCs w:val="0"/>
              <w:highlight w:val="yellow"/>
              <w:lang w:val="en-US" w:eastAsia="zh-CN"/>
            </w:rPr>
            <w:t>建设</w:t>
          </w:r>
          <w:r>
            <w:rPr>
              <w:rFonts w:hint="default" w:ascii="Times New Roman" w:hAnsi="Times New Roman" w:eastAsia="宋体" w:cs="Times New Roman"/>
              <w:b w:val="0"/>
              <w:bCs w:val="0"/>
              <w:highlight w:val="yellow"/>
              <w:lang w:val="en-US" w:eastAsia="zh-CN"/>
            </w:rPr>
            <w:t>项目院外雨污排</w:t>
          </w:r>
          <w:r>
            <w:rPr>
              <w:rFonts w:hint="eastAsia" w:cs="Times New Roman"/>
              <w:b w:val="0"/>
              <w:bCs w:val="0"/>
              <w:highlight w:val="yellow"/>
              <w:lang w:val="en-US" w:eastAsia="zh-CN"/>
            </w:rPr>
            <w:t>水</w:t>
          </w:r>
          <w:r>
            <w:rPr>
              <w:rFonts w:hint="default" w:ascii="Times New Roman" w:hAnsi="Times New Roman" w:eastAsia="宋体" w:cs="Times New Roman"/>
              <w:b w:val="0"/>
              <w:bCs w:val="0"/>
              <w:highlight w:val="yellow"/>
              <w:lang w:val="en-US" w:eastAsia="zh-CN"/>
            </w:rPr>
            <w:t>路径图</w:t>
          </w:r>
        </w:p>
        <w:p w14:paraId="0E6A419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kern w:val="2"/>
              <w:sz w:val="21"/>
              <w:szCs w:val="24"/>
              <w:lang w:val="en-US" w:eastAsia="zh-CN" w:bidi="ar-SA"/>
            </w:rPr>
          </w:pPr>
        </w:p>
      </w:sdtContent>
    </w:sdt>
    <w:p w14:paraId="2E09B93C">
      <w:pPr>
        <w:pStyle w:val="2"/>
        <w:bidi w:val="0"/>
        <w:jc w:val="center"/>
        <w:rPr>
          <w:rFonts w:hint="eastAsia" w:ascii="黑体" w:hAnsi="黑体" w:eastAsia="黑体" w:cs="黑体"/>
          <w:sz w:val="30"/>
          <w:szCs w:val="30"/>
        </w:rPr>
      </w:pPr>
      <w:r>
        <w:rPr>
          <w:rFonts w:hint="eastAsia" w:ascii="黑体" w:hAnsi="黑体" w:eastAsia="黑体" w:cs="黑体"/>
          <w:b w:val="0"/>
          <w:bCs/>
          <w:sz w:val="30"/>
          <w:szCs w:val="30"/>
        </w:rPr>
        <w:t>一、建设项目基本情况</w:t>
      </w:r>
      <w:bookmarkEnd w:id="7"/>
      <w:bookmarkEnd w:id="8"/>
    </w:p>
    <w:tbl>
      <w:tblPr>
        <w:tblStyle w:val="16"/>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05"/>
        <w:gridCol w:w="2445"/>
        <w:gridCol w:w="2235"/>
        <w:gridCol w:w="2994"/>
      </w:tblGrid>
      <w:tr w14:paraId="756FC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444BD686">
            <w:pPr>
              <w:adjustRightInd w:val="0"/>
              <w:snapToGrid w:val="0"/>
              <w:jc w:val="center"/>
              <w:rPr>
                <w:rFonts w:cs="宋体"/>
                <w:color w:val="000000"/>
                <w:szCs w:val="21"/>
              </w:rPr>
            </w:pPr>
            <w:r>
              <w:rPr>
                <w:rFonts w:hint="eastAsia" w:cs="宋体"/>
                <w:color w:val="000000"/>
                <w:szCs w:val="21"/>
              </w:rPr>
              <w:t>建设项目名称</w:t>
            </w:r>
          </w:p>
        </w:tc>
        <w:tc>
          <w:tcPr>
            <w:tcW w:w="7674" w:type="dxa"/>
            <w:gridSpan w:val="3"/>
            <w:noWrap w:val="0"/>
            <w:vAlign w:val="center"/>
          </w:tcPr>
          <w:p w14:paraId="265C74B1">
            <w:pPr>
              <w:adjustRightInd w:val="0"/>
              <w:snapToGrid w:val="0"/>
              <w:spacing w:line="288" w:lineRule="auto"/>
              <w:jc w:val="center"/>
              <w:rPr>
                <w:rFonts w:hint="eastAsia" w:ascii="宋体" w:hAnsi="宋体" w:eastAsia="宋体" w:cs="宋体"/>
                <w:color w:val="000000"/>
                <w:szCs w:val="21"/>
                <w:lang w:val="en-US" w:eastAsia="zh-CN"/>
              </w:rPr>
            </w:pPr>
            <w:r>
              <w:rPr>
                <w:rFonts w:hint="eastAsia" w:eastAsia="仿宋"/>
                <w:color w:val="000000"/>
                <w:sz w:val="24"/>
                <w:szCs w:val="24"/>
                <w:lang w:val="en-US" w:eastAsia="zh-CN"/>
              </w:rPr>
              <w:t>茶陵县浣溪卫生院建设项目</w:t>
            </w:r>
          </w:p>
        </w:tc>
      </w:tr>
      <w:tr w14:paraId="0EE8C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4882AA35">
            <w:pPr>
              <w:adjustRightInd w:val="0"/>
              <w:snapToGrid w:val="0"/>
              <w:jc w:val="center"/>
              <w:rPr>
                <w:rFonts w:cs="宋体"/>
                <w:color w:val="000000"/>
                <w:szCs w:val="21"/>
              </w:rPr>
            </w:pPr>
            <w:r>
              <w:rPr>
                <w:rFonts w:hint="eastAsia" w:cs="宋体"/>
                <w:color w:val="000000"/>
                <w:szCs w:val="21"/>
              </w:rPr>
              <w:t>项目代码</w:t>
            </w:r>
          </w:p>
        </w:tc>
        <w:tc>
          <w:tcPr>
            <w:tcW w:w="7674" w:type="dxa"/>
            <w:gridSpan w:val="3"/>
            <w:noWrap w:val="0"/>
            <w:vAlign w:val="center"/>
          </w:tcPr>
          <w:p w14:paraId="1B62772F">
            <w:pPr>
              <w:adjustRightInd w:val="0"/>
              <w:snapToGrid w:val="0"/>
              <w:jc w:val="center"/>
              <w:rPr>
                <w:rFonts w:hint="eastAsia" w:eastAsia="宋体" w:cs="宋体"/>
                <w:color w:val="000000"/>
                <w:szCs w:val="21"/>
                <w:lang w:eastAsia="zh-CN"/>
              </w:rPr>
            </w:pPr>
            <w:r>
              <w:rPr>
                <w:rFonts w:hint="eastAsia" w:cs="宋体"/>
                <w:color w:val="000000"/>
                <w:szCs w:val="21"/>
                <w:lang w:val="en-US" w:eastAsia="zh-CN"/>
              </w:rPr>
              <w:t>/</w:t>
            </w:r>
          </w:p>
        </w:tc>
      </w:tr>
      <w:tr w14:paraId="084B7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4FB884C9">
            <w:pPr>
              <w:adjustRightInd w:val="0"/>
              <w:snapToGrid w:val="0"/>
              <w:jc w:val="center"/>
              <w:rPr>
                <w:rFonts w:cs="宋体"/>
                <w:color w:val="000000"/>
                <w:szCs w:val="21"/>
              </w:rPr>
            </w:pPr>
            <w:r>
              <w:rPr>
                <w:rFonts w:hint="eastAsia" w:cs="宋体"/>
                <w:color w:val="000000"/>
                <w:szCs w:val="21"/>
              </w:rPr>
              <w:t>建设单位联系人</w:t>
            </w:r>
          </w:p>
        </w:tc>
        <w:tc>
          <w:tcPr>
            <w:tcW w:w="2445" w:type="dxa"/>
            <w:noWrap w:val="0"/>
            <w:vAlign w:val="center"/>
          </w:tcPr>
          <w:p w14:paraId="4A2B7455">
            <w:pPr>
              <w:adjustRightInd w:val="0"/>
              <w:snapToGrid w:val="0"/>
              <w:spacing w:line="288" w:lineRule="auto"/>
              <w:jc w:val="center"/>
              <w:rPr>
                <w:rFonts w:hint="default" w:eastAsia="宋体" w:cs="宋体"/>
                <w:color w:val="000000"/>
                <w:szCs w:val="21"/>
                <w:lang w:val="en-US" w:eastAsia="zh-CN"/>
              </w:rPr>
            </w:pPr>
            <w:r>
              <w:rPr>
                <w:rFonts w:hint="eastAsia" w:eastAsia="仿宋"/>
                <w:color w:val="000000"/>
                <w:sz w:val="24"/>
                <w:szCs w:val="24"/>
                <w:lang w:val="en-US" w:eastAsia="zh-CN"/>
              </w:rPr>
              <w:t>黄建武</w:t>
            </w:r>
          </w:p>
        </w:tc>
        <w:tc>
          <w:tcPr>
            <w:tcW w:w="2235" w:type="dxa"/>
            <w:noWrap w:val="0"/>
            <w:vAlign w:val="center"/>
          </w:tcPr>
          <w:p w14:paraId="7A344837">
            <w:pPr>
              <w:adjustRightInd w:val="0"/>
              <w:snapToGrid w:val="0"/>
              <w:jc w:val="center"/>
              <w:rPr>
                <w:rFonts w:cs="宋体"/>
                <w:color w:val="000000"/>
                <w:szCs w:val="21"/>
              </w:rPr>
            </w:pPr>
            <w:r>
              <w:rPr>
                <w:rFonts w:hint="eastAsia" w:cs="宋体"/>
                <w:color w:val="000000"/>
                <w:szCs w:val="21"/>
              </w:rPr>
              <w:t>联系方式</w:t>
            </w:r>
          </w:p>
        </w:tc>
        <w:tc>
          <w:tcPr>
            <w:tcW w:w="2994" w:type="dxa"/>
            <w:noWrap w:val="0"/>
            <w:vAlign w:val="center"/>
          </w:tcPr>
          <w:p w14:paraId="73D11AF6">
            <w:pPr>
              <w:numPr>
                <w:ilvl w:val="0"/>
                <w:numId w:val="0"/>
              </w:numPr>
              <w:jc w:val="left"/>
              <w:rPr>
                <w:color w:val="000000"/>
                <w:szCs w:val="21"/>
              </w:rPr>
            </w:pPr>
            <w:r>
              <w:rPr>
                <w:rFonts w:hint="eastAsia" w:eastAsia="仿宋"/>
                <w:color w:val="000000"/>
                <w:sz w:val="24"/>
                <w:szCs w:val="24"/>
                <w:lang w:val="en-US" w:eastAsia="zh-CN"/>
              </w:rPr>
              <w:t>15116003981</w:t>
            </w:r>
          </w:p>
        </w:tc>
      </w:tr>
      <w:tr w14:paraId="4283E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2D7D44A3">
            <w:pPr>
              <w:adjustRightInd w:val="0"/>
              <w:snapToGrid w:val="0"/>
              <w:jc w:val="center"/>
              <w:rPr>
                <w:rFonts w:cs="宋体"/>
                <w:color w:val="000000"/>
                <w:szCs w:val="21"/>
              </w:rPr>
            </w:pPr>
            <w:r>
              <w:rPr>
                <w:rFonts w:hint="eastAsia" w:cs="宋体"/>
                <w:color w:val="000000"/>
                <w:szCs w:val="21"/>
              </w:rPr>
              <w:t>建设地点</w:t>
            </w:r>
          </w:p>
        </w:tc>
        <w:tc>
          <w:tcPr>
            <w:tcW w:w="7674" w:type="dxa"/>
            <w:gridSpan w:val="3"/>
            <w:noWrap w:val="0"/>
            <w:vAlign w:val="center"/>
          </w:tcPr>
          <w:p w14:paraId="145CA70B">
            <w:pPr>
              <w:pStyle w:val="14"/>
              <w:keepNext w:val="0"/>
              <w:keepLines w:val="0"/>
              <w:widowControl/>
              <w:suppressLineNumbers w:val="0"/>
              <w:spacing w:before="0" w:beforeAutospacing="0" w:after="0" w:afterAutospacing="0"/>
              <w:ind w:left="0" w:right="0"/>
              <w:jc w:val="center"/>
              <w:rPr>
                <w:rFonts w:hint="eastAsia" w:eastAsia="宋体" w:cs="宋体"/>
                <w:color w:val="000000"/>
                <w:szCs w:val="21"/>
                <w:lang w:val="en-US" w:eastAsia="zh-CN"/>
              </w:rPr>
            </w:pPr>
            <w:r>
              <w:rPr>
                <w:rFonts w:hint="eastAsia" w:ascii="Times New Roman" w:hAnsi="Times New Roman" w:eastAsia="仿宋" w:cs="Times New Roman"/>
                <w:color w:val="000000"/>
                <w:kern w:val="2"/>
                <w:sz w:val="24"/>
                <w:szCs w:val="24"/>
                <w:lang w:val="en-US" w:eastAsia="zh-CN" w:bidi="ar-SA"/>
              </w:rPr>
              <w:t>茶陵县浣溪镇（原湖口镇）由义村</w:t>
            </w:r>
          </w:p>
        </w:tc>
      </w:tr>
      <w:tr w14:paraId="69BE4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0D79F4F9">
            <w:pPr>
              <w:adjustRightInd w:val="0"/>
              <w:snapToGrid w:val="0"/>
              <w:jc w:val="center"/>
              <w:rPr>
                <w:rFonts w:cs="宋体"/>
                <w:color w:val="000000"/>
                <w:szCs w:val="21"/>
              </w:rPr>
            </w:pPr>
            <w:r>
              <w:rPr>
                <w:rFonts w:hint="eastAsia" w:cs="宋体"/>
                <w:color w:val="000000"/>
                <w:szCs w:val="21"/>
              </w:rPr>
              <w:t>地理坐标</w:t>
            </w:r>
          </w:p>
        </w:tc>
        <w:tc>
          <w:tcPr>
            <w:tcW w:w="7674" w:type="dxa"/>
            <w:gridSpan w:val="3"/>
            <w:noWrap w:val="0"/>
            <w:vAlign w:val="center"/>
          </w:tcPr>
          <w:p w14:paraId="5E415CBB">
            <w:pPr>
              <w:jc w:val="center"/>
              <w:rPr>
                <w:rFonts w:cs="宋体"/>
                <w:color w:val="000000"/>
                <w:szCs w:val="21"/>
              </w:rPr>
            </w:pPr>
            <w:r>
              <w:rPr>
                <w:rFonts w:hint="eastAsia" w:cs="宋体"/>
                <w:color w:val="000000"/>
                <w:szCs w:val="21"/>
              </w:rPr>
              <w:t>（</w:t>
            </w:r>
            <w:r>
              <w:rPr>
                <w:rFonts w:hint="eastAsia" w:cs="宋体"/>
                <w:color w:val="000000"/>
                <w:szCs w:val="21"/>
                <w:u w:val="none"/>
              </w:rPr>
              <w:t>东经</w:t>
            </w:r>
            <w:r>
              <w:rPr>
                <w:color w:val="000000"/>
                <w:szCs w:val="21"/>
                <w:u w:val="none"/>
              </w:rPr>
              <w:t>11</w:t>
            </w:r>
            <w:r>
              <w:rPr>
                <w:rFonts w:hint="eastAsia"/>
                <w:color w:val="000000"/>
                <w:szCs w:val="21"/>
                <w:u w:val="none"/>
                <w:lang w:val="en-US" w:eastAsia="zh-CN"/>
              </w:rPr>
              <w:t>3</w:t>
            </w:r>
            <w:r>
              <w:rPr>
                <w:rFonts w:hint="eastAsia" w:cs="宋体"/>
                <w:color w:val="000000"/>
                <w:szCs w:val="21"/>
                <w:u w:val="none"/>
              </w:rPr>
              <w:t>度</w:t>
            </w:r>
            <w:r>
              <w:rPr>
                <w:rFonts w:hint="eastAsia"/>
                <w:color w:val="000000"/>
                <w:szCs w:val="21"/>
                <w:u w:val="none"/>
                <w:lang w:val="en-US" w:eastAsia="zh-CN"/>
              </w:rPr>
              <w:t>36</w:t>
            </w:r>
            <w:r>
              <w:rPr>
                <w:rFonts w:hint="eastAsia" w:cs="宋体"/>
                <w:color w:val="000000"/>
                <w:szCs w:val="21"/>
                <w:u w:val="none"/>
              </w:rPr>
              <w:t>分</w:t>
            </w:r>
            <w:r>
              <w:rPr>
                <w:rFonts w:hint="eastAsia"/>
                <w:color w:val="000000"/>
                <w:szCs w:val="21"/>
                <w:u w:val="none"/>
                <w:lang w:val="en-US" w:eastAsia="zh-CN"/>
              </w:rPr>
              <w:t>2.526</w:t>
            </w:r>
            <w:r>
              <w:rPr>
                <w:rFonts w:hint="eastAsia" w:cs="宋体"/>
                <w:color w:val="000000"/>
                <w:szCs w:val="21"/>
                <w:u w:val="none"/>
              </w:rPr>
              <w:t>秒，北纬</w:t>
            </w:r>
            <w:r>
              <w:rPr>
                <w:rFonts w:hint="eastAsia"/>
                <w:color w:val="000000"/>
                <w:szCs w:val="21"/>
                <w:u w:val="none"/>
                <w:lang w:val="en-US" w:eastAsia="zh-CN"/>
              </w:rPr>
              <w:t>26</w:t>
            </w:r>
            <w:r>
              <w:rPr>
                <w:rFonts w:hint="eastAsia" w:cs="宋体"/>
                <w:color w:val="000000"/>
                <w:szCs w:val="21"/>
                <w:u w:val="none"/>
              </w:rPr>
              <w:t>度</w:t>
            </w:r>
            <w:r>
              <w:rPr>
                <w:rFonts w:hint="eastAsia"/>
                <w:color w:val="000000"/>
                <w:szCs w:val="21"/>
                <w:u w:val="none"/>
                <w:lang w:val="en-US" w:eastAsia="zh-CN"/>
              </w:rPr>
              <w:t>33</w:t>
            </w:r>
            <w:r>
              <w:rPr>
                <w:rFonts w:hint="eastAsia" w:cs="宋体"/>
                <w:color w:val="000000"/>
                <w:szCs w:val="21"/>
                <w:u w:val="none"/>
              </w:rPr>
              <w:t>分</w:t>
            </w:r>
            <w:r>
              <w:rPr>
                <w:rFonts w:hint="eastAsia"/>
                <w:color w:val="000000"/>
                <w:szCs w:val="21"/>
                <w:u w:val="none"/>
                <w:lang w:val="en-US" w:eastAsia="zh-CN"/>
              </w:rPr>
              <w:t>51.957</w:t>
            </w:r>
            <w:r>
              <w:rPr>
                <w:rFonts w:hint="eastAsia" w:cs="宋体"/>
                <w:color w:val="000000"/>
                <w:szCs w:val="21"/>
                <w:u w:val="none"/>
              </w:rPr>
              <w:t>秒</w:t>
            </w:r>
            <w:r>
              <w:rPr>
                <w:rFonts w:hint="eastAsia" w:cs="宋体"/>
                <w:color w:val="000000"/>
                <w:szCs w:val="21"/>
              </w:rPr>
              <w:t>）</w:t>
            </w:r>
          </w:p>
        </w:tc>
      </w:tr>
      <w:tr w14:paraId="6D589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205" w:type="dxa"/>
            <w:noWrap w:val="0"/>
            <w:tcMar>
              <w:top w:w="16" w:type="dxa"/>
              <w:left w:w="16" w:type="dxa"/>
              <w:right w:w="16" w:type="dxa"/>
            </w:tcMar>
            <w:vAlign w:val="center"/>
          </w:tcPr>
          <w:p w14:paraId="4D86055C">
            <w:pPr>
              <w:adjustRightInd w:val="0"/>
              <w:snapToGrid w:val="0"/>
              <w:jc w:val="center"/>
              <w:rPr>
                <w:rFonts w:cs="宋体"/>
                <w:color w:val="000000"/>
                <w:szCs w:val="21"/>
              </w:rPr>
            </w:pPr>
            <w:r>
              <w:rPr>
                <w:rFonts w:hint="eastAsia" w:cs="宋体"/>
                <w:color w:val="000000"/>
                <w:szCs w:val="21"/>
              </w:rPr>
              <w:t>国民经济</w:t>
            </w:r>
          </w:p>
          <w:p w14:paraId="5B27A4DD">
            <w:pPr>
              <w:adjustRightInd w:val="0"/>
              <w:snapToGrid w:val="0"/>
              <w:jc w:val="center"/>
              <w:rPr>
                <w:rFonts w:cs="宋体"/>
                <w:color w:val="000000"/>
                <w:szCs w:val="21"/>
              </w:rPr>
            </w:pPr>
            <w:r>
              <w:rPr>
                <w:rFonts w:hint="eastAsia" w:cs="宋体"/>
                <w:color w:val="000000"/>
                <w:szCs w:val="21"/>
              </w:rPr>
              <w:t>行业类别</w:t>
            </w:r>
          </w:p>
        </w:tc>
        <w:tc>
          <w:tcPr>
            <w:tcW w:w="2445" w:type="dxa"/>
            <w:noWrap w:val="0"/>
            <w:vAlign w:val="center"/>
          </w:tcPr>
          <w:p w14:paraId="56D83729">
            <w:pPr>
              <w:adjustRightInd w:val="0"/>
              <w:snapToGrid w:val="0"/>
              <w:jc w:val="center"/>
              <w:rPr>
                <w:rFonts w:cs="宋体"/>
                <w:color w:val="000000"/>
                <w:spacing w:val="6"/>
                <w:szCs w:val="21"/>
              </w:rPr>
            </w:pPr>
            <w:r>
              <w:rPr>
                <w:rFonts w:hint="eastAsia" w:cs="Times New Roman"/>
                <w:szCs w:val="21"/>
                <w:highlight w:val="none"/>
                <w:lang w:val="en-US" w:eastAsia="zh-CN"/>
              </w:rPr>
              <w:t>Q8423 乡镇卫生院</w:t>
            </w:r>
          </w:p>
        </w:tc>
        <w:tc>
          <w:tcPr>
            <w:tcW w:w="2235" w:type="dxa"/>
            <w:noWrap w:val="0"/>
            <w:vAlign w:val="center"/>
          </w:tcPr>
          <w:p w14:paraId="31920B3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14:paraId="75AB23DA">
            <w:pPr>
              <w:adjustRightInd w:val="0"/>
              <w:snapToGrid w:val="0"/>
              <w:jc w:val="center"/>
              <w:rPr>
                <w:rFonts w:cs="宋体"/>
                <w:color w:val="000000"/>
                <w:szCs w:val="21"/>
              </w:rPr>
            </w:pPr>
            <w:r>
              <w:rPr>
                <w:rFonts w:hint="default" w:ascii="Times New Roman" w:hAnsi="Times New Roman" w:cs="Times New Roman"/>
                <w:color w:val="auto"/>
                <w:szCs w:val="21"/>
              </w:rPr>
              <w:t>行业类别</w:t>
            </w:r>
          </w:p>
        </w:tc>
        <w:tc>
          <w:tcPr>
            <w:tcW w:w="2994" w:type="dxa"/>
            <w:noWrap w:val="0"/>
            <w:vAlign w:val="center"/>
          </w:tcPr>
          <w:p w14:paraId="5A027454">
            <w:pPr>
              <w:adjustRightInd w:val="0"/>
              <w:snapToGrid w:val="0"/>
              <w:jc w:val="center"/>
              <w:rPr>
                <w:rFonts w:hint="eastAsia" w:eastAsia="宋体" w:cs="Times New Roman"/>
                <w:color w:val="auto"/>
                <w:szCs w:val="21"/>
                <w:lang w:val="en-US" w:eastAsia="zh-CN"/>
              </w:rPr>
            </w:pPr>
            <w:r>
              <w:rPr>
                <w:rFonts w:hint="eastAsia" w:eastAsia="宋体" w:cs="Times New Roman"/>
                <w:color w:val="auto"/>
                <w:szCs w:val="21"/>
                <w:lang w:val="en-US" w:eastAsia="zh-CN"/>
              </w:rPr>
              <w:t>四十九</w:t>
            </w:r>
            <w:r>
              <w:rPr>
                <w:rFonts w:hint="default" w:eastAsia="宋体" w:cs="Times New Roman"/>
                <w:color w:val="auto"/>
                <w:szCs w:val="21"/>
                <w:lang w:val="en-US" w:eastAsia="zh-CN"/>
              </w:rPr>
              <w:t>、</w:t>
            </w:r>
            <w:r>
              <w:rPr>
                <w:rFonts w:hint="eastAsia" w:eastAsia="宋体" w:cs="Times New Roman"/>
                <w:color w:val="auto"/>
                <w:szCs w:val="21"/>
                <w:lang w:val="en-US" w:eastAsia="zh-CN"/>
              </w:rPr>
              <w:t>卫生84</w:t>
            </w:r>
          </w:p>
          <w:p w14:paraId="3978C800">
            <w:pPr>
              <w:adjustRightInd w:val="0"/>
              <w:snapToGrid w:val="0"/>
              <w:rPr>
                <w:rFonts w:cs="宋体"/>
                <w:color w:val="000000"/>
                <w:szCs w:val="21"/>
              </w:rPr>
            </w:pPr>
            <w:r>
              <w:rPr>
                <w:rFonts w:hint="eastAsia" w:cs="Times New Roman"/>
                <w:color w:val="auto"/>
                <w:szCs w:val="21"/>
                <w:lang w:val="en-US" w:eastAsia="zh-CN"/>
              </w:rPr>
              <w:t>108</w:t>
            </w:r>
            <w:r>
              <w:rPr>
                <w:rFonts w:hint="eastAsia" w:eastAsia="宋体" w:cs="Times New Roman"/>
                <w:color w:val="auto"/>
                <w:szCs w:val="21"/>
                <w:lang w:val="en-US" w:eastAsia="zh-CN"/>
              </w:rPr>
              <w:t>基层医疗卫生服务842其他（住院床位20张以下的除外）</w:t>
            </w:r>
          </w:p>
        </w:tc>
      </w:tr>
      <w:tr w14:paraId="0CE4D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05" w:type="dxa"/>
            <w:noWrap w:val="0"/>
            <w:tcMar>
              <w:top w:w="16" w:type="dxa"/>
              <w:left w:w="16" w:type="dxa"/>
              <w:right w:w="16" w:type="dxa"/>
            </w:tcMar>
            <w:vAlign w:val="center"/>
          </w:tcPr>
          <w:p w14:paraId="203F626D">
            <w:pPr>
              <w:adjustRightInd w:val="0"/>
              <w:snapToGrid w:val="0"/>
              <w:jc w:val="center"/>
              <w:rPr>
                <w:rFonts w:cs="宋体"/>
                <w:color w:val="000000"/>
                <w:szCs w:val="21"/>
              </w:rPr>
            </w:pPr>
            <w:r>
              <w:rPr>
                <w:rFonts w:hint="eastAsia" w:cs="宋体"/>
                <w:color w:val="000000"/>
                <w:szCs w:val="21"/>
              </w:rPr>
              <w:t>建设性质</w:t>
            </w:r>
          </w:p>
        </w:tc>
        <w:tc>
          <w:tcPr>
            <w:tcW w:w="2445" w:type="dxa"/>
            <w:noWrap w:val="0"/>
            <w:vAlign w:val="center"/>
          </w:tcPr>
          <w:p w14:paraId="34E3EEF7">
            <w:pPr>
              <w:jc w:val="left"/>
              <w:rPr>
                <w:rFonts w:hint="eastAsia" w:eastAsia="宋体" w:cs="宋体"/>
                <w:color w:val="000000"/>
                <w:szCs w:val="21"/>
                <w:lang w:eastAsia="zh-CN"/>
              </w:rPr>
            </w:pPr>
            <w:r>
              <w:rPr>
                <w:rFonts w:hint="eastAsia" w:cs="宋体"/>
                <w:color w:val="000000"/>
                <w:szCs w:val="21"/>
                <w:lang w:eastAsia="zh-CN"/>
              </w:rPr>
              <w:t>☑</w:t>
            </w:r>
            <w:r>
              <w:rPr>
                <w:rFonts w:hint="eastAsia" w:cs="宋体"/>
                <w:color w:val="000000"/>
                <w:szCs w:val="21"/>
              </w:rPr>
              <w:t>新建</w:t>
            </w:r>
            <w:r>
              <w:rPr>
                <w:rFonts w:hint="eastAsia" w:cs="宋体"/>
                <w:color w:val="000000"/>
                <w:szCs w:val="21"/>
                <w:lang w:eastAsia="zh-CN"/>
              </w:rPr>
              <w:t>（补办环评）</w:t>
            </w:r>
          </w:p>
          <w:p w14:paraId="73409988">
            <w:pPr>
              <w:jc w:val="left"/>
              <w:rPr>
                <w:rFonts w:cs="宋体"/>
                <w:color w:val="000000"/>
                <w:szCs w:val="21"/>
              </w:rPr>
            </w:pPr>
            <w:r>
              <w:rPr>
                <w:rFonts w:hint="eastAsia" w:cs="宋体"/>
                <w:color w:val="000000"/>
                <w:szCs w:val="21"/>
                <w:lang w:eastAsia="zh-CN"/>
              </w:rPr>
              <w:t>□</w:t>
            </w:r>
            <w:r>
              <w:rPr>
                <w:rFonts w:hint="eastAsia" w:cs="宋体"/>
                <w:color w:val="000000"/>
                <w:szCs w:val="21"/>
              </w:rPr>
              <w:t>改建</w:t>
            </w:r>
          </w:p>
          <w:p w14:paraId="34D071D1">
            <w:pPr>
              <w:jc w:val="left"/>
              <w:rPr>
                <w:rFonts w:cs="宋体"/>
                <w:color w:val="000000"/>
                <w:szCs w:val="21"/>
              </w:rPr>
            </w:pPr>
            <w:r>
              <w:rPr>
                <w:rFonts w:hint="eastAsia" w:cs="宋体"/>
                <w:color w:val="000000"/>
                <w:szCs w:val="21"/>
              </w:rPr>
              <w:t>□扩建</w:t>
            </w:r>
          </w:p>
          <w:p w14:paraId="3901AF28">
            <w:pPr>
              <w:jc w:val="left"/>
              <w:rPr>
                <w:rFonts w:cs="宋体"/>
                <w:color w:val="000000"/>
                <w:szCs w:val="21"/>
              </w:rPr>
            </w:pPr>
            <w:r>
              <w:rPr>
                <w:rFonts w:hint="eastAsia" w:cs="宋体"/>
                <w:color w:val="000000"/>
                <w:szCs w:val="21"/>
                <w:lang w:eastAsia="zh-CN"/>
              </w:rPr>
              <w:t>□</w:t>
            </w:r>
            <w:r>
              <w:rPr>
                <w:rFonts w:hint="eastAsia" w:cs="宋体"/>
                <w:color w:val="000000"/>
                <w:szCs w:val="21"/>
              </w:rPr>
              <w:t>技术改造</w:t>
            </w:r>
          </w:p>
        </w:tc>
        <w:tc>
          <w:tcPr>
            <w:tcW w:w="2235" w:type="dxa"/>
            <w:noWrap w:val="0"/>
            <w:vAlign w:val="center"/>
          </w:tcPr>
          <w:p w14:paraId="494BA057">
            <w:pPr>
              <w:adjustRightInd w:val="0"/>
              <w:snapToGrid w:val="0"/>
              <w:jc w:val="center"/>
              <w:rPr>
                <w:rFonts w:cs="宋体"/>
                <w:color w:val="000000"/>
                <w:szCs w:val="21"/>
              </w:rPr>
            </w:pPr>
            <w:r>
              <w:rPr>
                <w:rFonts w:hint="eastAsia" w:cs="宋体"/>
                <w:color w:val="000000"/>
                <w:szCs w:val="21"/>
              </w:rPr>
              <w:t>建设项目</w:t>
            </w:r>
          </w:p>
          <w:p w14:paraId="55366ABA">
            <w:pPr>
              <w:adjustRightInd w:val="0"/>
              <w:snapToGrid w:val="0"/>
              <w:jc w:val="center"/>
              <w:rPr>
                <w:rFonts w:cs="宋体"/>
                <w:color w:val="000000"/>
                <w:szCs w:val="21"/>
              </w:rPr>
            </w:pPr>
            <w:r>
              <w:rPr>
                <w:rFonts w:hint="eastAsia" w:cs="宋体"/>
                <w:color w:val="000000"/>
                <w:szCs w:val="21"/>
              </w:rPr>
              <w:t>申报情形</w:t>
            </w:r>
          </w:p>
        </w:tc>
        <w:tc>
          <w:tcPr>
            <w:tcW w:w="2994" w:type="dxa"/>
            <w:noWrap w:val="0"/>
            <w:vAlign w:val="center"/>
          </w:tcPr>
          <w:p w14:paraId="0692E44C">
            <w:pPr>
              <w:jc w:val="left"/>
              <w:rPr>
                <w:rFonts w:cs="宋体"/>
                <w:color w:val="000000"/>
                <w:szCs w:val="21"/>
              </w:rPr>
            </w:pPr>
            <w:r>
              <w:rPr>
                <w:rFonts w:hint="eastAsia" w:cs="宋体"/>
                <w:color w:val="000000"/>
                <w:szCs w:val="21"/>
                <w:lang w:eastAsia="zh-CN"/>
              </w:rPr>
              <w:t>☑</w:t>
            </w:r>
            <w:r>
              <w:rPr>
                <w:rFonts w:hint="eastAsia" w:cs="宋体"/>
                <w:color w:val="000000"/>
                <w:szCs w:val="21"/>
              </w:rPr>
              <w:t>首次申报项目</w:t>
            </w:r>
          </w:p>
          <w:p w14:paraId="49495FC4">
            <w:pPr>
              <w:jc w:val="left"/>
              <w:rPr>
                <w:rFonts w:cs="宋体"/>
                <w:color w:val="000000"/>
                <w:szCs w:val="21"/>
              </w:rPr>
            </w:pPr>
            <w:r>
              <w:rPr>
                <w:rFonts w:hint="eastAsia" w:cs="宋体"/>
                <w:color w:val="000000"/>
                <w:szCs w:val="21"/>
                <w:lang w:eastAsia="zh-CN"/>
              </w:rPr>
              <w:t>□</w:t>
            </w:r>
            <w:r>
              <w:rPr>
                <w:rFonts w:hint="eastAsia" w:cs="宋体"/>
                <w:color w:val="000000"/>
                <w:szCs w:val="21"/>
              </w:rPr>
              <w:t>不予批准后再次申报项目</w:t>
            </w:r>
          </w:p>
          <w:p w14:paraId="0759D278">
            <w:pPr>
              <w:jc w:val="left"/>
              <w:rPr>
                <w:rFonts w:cs="宋体"/>
                <w:color w:val="000000"/>
                <w:szCs w:val="21"/>
              </w:rPr>
            </w:pPr>
            <w:r>
              <w:rPr>
                <w:rFonts w:hint="eastAsia" w:cs="宋体"/>
                <w:color w:val="000000"/>
                <w:szCs w:val="21"/>
                <w:lang w:eastAsia="zh-CN"/>
              </w:rPr>
              <w:t>□</w:t>
            </w:r>
            <w:r>
              <w:rPr>
                <w:rFonts w:hint="eastAsia" w:cs="宋体"/>
                <w:color w:val="000000"/>
                <w:szCs w:val="21"/>
              </w:rPr>
              <w:t>超五年重新审核项目</w:t>
            </w:r>
          </w:p>
          <w:p w14:paraId="26181497">
            <w:pPr>
              <w:jc w:val="left"/>
              <w:rPr>
                <w:rFonts w:cs="宋体"/>
                <w:color w:val="000000"/>
                <w:szCs w:val="21"/>
              </w:rPr>
            </w:pPr>
            <w:r>
              <w:rPr>
                <w:rFonts w:hint="eastAsia" w:cs="宋体"/>
                <w:color w:val="000000"/>
                <w:szCs w:val="21"/>
                <w:lang w:eastAsia="zh-CN"/>
              </w:rPr>
              <w:t>□</w:t>
            </w:r>
            <w:r>
              <w:rPr>
                <w:rFonts w:hint="eastAsia" w:cs="宋体"/>
                <w:color w:val="000000"/>
                <w:szCs w:val="21"/>
              </w:rPr>
              <w:t>重大变动重新报批项目</w:t>
            </w:r>
          </w:p>
        </w:tc>
      </w:tr>
      <w:tr w14:paraId="34DD1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05" w:type="dxa"/>
            <w:noWrap w:val="0"/>
            <w:tcMar>
              <w:top w:w="16" w:type="dxa"/>
              <w:left w:w="16" w:type="dxa"/>
              <w:right w:w="16" w:type="dxa"/>
            </w:tcMar>
            <w:vAlign w:val="center"/>
          </w:tcPr>
          <w:p w14:paraId="556FB1EC">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14:paraId="47A573CB">
            <w:pPr>
              <w:adjustRightInd w:val="0"/>
              <w:snapToGrid w:val="0"/>
              <w:jc w:val="center"/>
              <w:rPr>
                <w:rFonts w:cs="宋体"/>
                <w:color w:val="000000"/>
                <w:szCs w:val="21"/>
              </w:rPr>
            </w:pPr>
            <w:r>
              <w:rPr>
                <w:rFonts w:hint="eastAsia" w:cs="宋体"/>
                <w:color w:val="000000"/>
                <w:szCs w:val="21"/>
              </w:rPr>
              <w:t>备案）部门（选填）</w:t>
            </w:r>
          </w:p>
        </w:tc>
        <w:tc>
          <w:tcPr>
            <w:tcW w:w="2445" w:type="dxa"/>
            <w:noWrap w:val="0"/>
            <w:vAlign w:val="center"/>
          </w:tcPr>
          <w:p w14:paraId="24066B4E">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c>
          <w:tcPr>
            <w:tcW w:w="2235" w:type="dxa"/>
            <w:noWrap w:val="0"/>
            <w:vAlign w:val="center"/>
          </w:tcPr>
          <w:p w14:paraId="5A808378">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14:paraId="25B6A431">
            <w:pPr>
              <w:adjustRightInd w:val="0"/>
              <w:snapToGrid w:val="0"/>
              <w:jc w:val="center"/>
              <w:rPr>
                <w:rFonts w:cs="宋体"/>
                <w:color w:val="000000"/>
                <w:szCs w:val="21"/>
              </w:rPr>
            </w:pPr>
            <w:r>
              <w:rPr>
                <w:rFonts w:hint="eastAsia" w:cs="宋体"/>
                <w:color w:val="000000"/>
                <w:szCs w:val="21"/>
              </w:rPr>
              <w:t>备案）文号（选填）</w:t>
            </w:r>
          </w:p>
        </w:tc>
        <w:tc>
          <w:tcPr>
            <w:tcW w:w="2994" w:type="dxa"/>
            <w:noWrap w:val="0"/>
            <w:vAlign w:val="center"/>
          </w:tcPr>
          <w:p w14:paraId="427FC6B4">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14:paraId="0DD0F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5F20C5D4">
            <w:pPr>
              <w:adjustRightInd w:val="0"/>
              <w:snapToGrid w:val="0"/>
              <w:jc w:val="center"/>
              <w:rPr>
                <w:rFonts w:cs="宋体"/>
                <w:color w:val="000000"/>
                <w:szCs w:val="21"/>
              </w:rPr>
            </w:pPr>
            <w:r>
              <w:rPr>
                <w:rFonts w:hint="eastAsia" w:cs="宋体"/>
                <w:color w:val="000000"/>
                <w:szCs w:val="21"/>
              </w:rPr>
              <w:t>总投资（万元）</w:t>
            </w:r>
          </w:p>
        </w:tc>
        <w:tc>
          <w:tcPr>
            <w:tcW w:w="2445" w:type="dxa"/>
            <w:noWrap w:val="0"/>
            <w:vAlign w:val="center"/>
          </w:tcPr>
          <w:p w14:paraId="4CE5DA98">
            <w:pPr>
              <w:adjustRightInd w:val="0"/>
              <w:snapToGrid w:val="0"/>
              <w:jc w:val="center"/>
              <w:rPr>
                <w:rFonts w:hint="default" w:eastAsia="宋体"/>
                <w:color w:val="000000"/>
                <w:szCs w:val="21"/>
                <w:lang w:val="en-US" w:eastAsia="zh-CN"/>
              </w:rPr>
            </w:pPr>
            <w:r>
              <w:rPr>
                <w:rFonts w:hint="eastAsia"/>
                <w:color w:val="000000"/>
                <w:szCs w:val="21"/>
                <w:lang w:val="en-US" w:eastAsia="zh-CN"/>
              </w:rPr>
              <w:t>374</w:t>
            </w:r>
          </w:p>
        </w:tc>
        <w:tc>
          <w:tcPr>
            <w:tcW w:w="2235" w:type="dxa"/>
            <w:noWrap w:val="0"/>
            <w:tcMar>
              <w:top w:w="16" w:type="dxa"/>
              <w:left w:w="16" w:type="dxa"/>
              <w:right w:w="16" w:type="dxa"/>
            </w:tcMar>
            <w:vAlign w:val="center"/>
          </w:tcPr>
          <w:p w14:paraId="4320FA14">
            <w:pPr>
              <w:adjustRightInd w:val="0"/>
              <w:snapToGrid w:val="0"/>
              <w:jc w:val="center"/>
              <w:rPr>
                <w:rFonts w:cs="宋体"/>
                <w:color w:val="000000"/>
                <w:szCs w:val="21"/>
              </w:rPr>
            </w:pPr>
            <w:r>
              <w:rPr>
                <w:rFonts w:hint="eastAsia" w:cs="宋体"/>
                <w:color w:val="000000"/>
                <w:szCs w:val="21"/>
              </w:rPr>
              <w:t>环保投资（万元）</w:t>
            </w:r>
          </w:p>
        </w:tc>
        <w:tc>
          <w:tcPr>
            <w:tcW w:w="2994" w:type="dxa"/>
            <w:noWrap w:val="0"/>
            <w:vAlign w:val="center"/>
          </w:tcPr>
          <w:p w14:paraId="640A8C41">
            <w:pPr>
              <w:adjustRightInd w:val="0"/>
              <w:snapToGrid w:val="0"/>
              <w:jc w:val="center"/>
              <w:rPr>
                <w:rFonts w:hint="default" w:eastAsia="宋体"/>
                <w:color w:val="000000"/>
                <w:szCs w:val="21"/>
                <w:lang w:val="en-US" w:eastAsia="zh-CN"/>
              </w:rPr>
            </w:pPr>
            <w:r>
              <w:rPr>
                <w:rFonts w:hint="eastAsia"/>
                <w:color w:val="000000"/>
                <w:szCs w:val="21"/>
                <w:lang w:val="en-US" w:eastAsia="zh-CN"/>
              </w:rPr>
              <w:t>30</w:t>
            </w:r>
          </w:p>
        </w:tc>
      </w:tr>
      <w:tr w14:paraId="0CE31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0E58CE67">
            <w:pPr>
              <w:adjustRightInd w:val="0"/>
              <w:snapToGrid w:val="0"/>
              <w:jc w:val="center"/>
              <w:rPr>
                <w:rFonts w:cs="宋体"/>
                <w:color w:val="000000"/>
                <w:szCs w:val="21"/>
              </w:rPr>
            </w:pPr>
            <w:r>
              <w:rPr>
                <w:rFonts w:hint="eastAsia" w:cs="宋体"/>
                <w:color w:val="000000"/>
                <w:szCs w:val="21"/>
              </w:rPr>
              <w:t>环保投资占比（</w:t>
            </w:r>
            <w:r>
              <w:rPr>
                <w:rFonts w:cs="宋体"/>
                <w:color w:val="000000"/>
                <w:szCs w:val="21"/>
              </w:rPr>
              <w:t>%</w:t>
            </w:r>
            <w:r>
              <w:rPr>
                <w:rFonts w:hint="eastAsia" w:cs="宋体"/>
                <w:color w:val="000000"/>
                <w:szCs w:val="21"/>
              </w:rPr>
              <w:t>）</w:t>
            </w:r>
          </w:p>
        </w:tc>
        <w:tc>
          <w:tcPr>
            <w:tcW w:w="2445" w:type="dxa"/>
            <w:noWrap w:val="0"/>
            <w:vAlign w:val="center"/>
          </w:tcPr>
          <w:p w14:paraId="76943416">
            <w:pPr>
              <w:adjustRightInd w:val="0"/>
              <w:snapToGrid w:val="0"/>
              <w:jc w:val="center"/>
              <w:rPr>
                <w:rFonts w:hint="default" w:eastAsia="宋体"/>
                <w:color w:val="000000"/>
                <w:szCs w:val="21"/>
                <w:lang w:val="en-US" w:eastAsia="zh-CN"/>
              </w:rPr>
            </w:pPr>
            <w:r>
              <w:rPr>
                <w:rFonts w:hint="eastAsia"/>
                <w:color w:val="000000"/>
                <w:szCs w:val="21"/>
                <w:lang w:val="en-US" w:eastAsia="zh-CN"/>
              </w:rPr>
              <w:t>8.02</w:t>
            </w:r>
          </w:p>
        </w:tc>
        <w:tc>
          <w:tcPr>
            <w:tcW w:w="2235" w:type="dxa"/>
            <w:noWrap w:val="0"/>
            <w:tcMar>
              <w:top w:w="16" w:type="dxa"/>
              <w:left w:w="16" w:type="dxa"/>
              <w:right w:w="16" w:type="dxa"/>
            </w:tcMar>
            <w:vAlign w:val="center"/>
          </w:tcPr>
          <w:p w14:paraId="0CB4FDA3">
            <w:pPr>
              <w:adjustRightInd w:val="0"/>
              <w:snapToGrid w:val="0"/>
              <w:jc w:val="center"/>
              <w:rPr>
                <w:rFonts w:cs="宋体"/>
                <w:color w:val="000000"/>
                <w:szCs w:val="21"/>
              </w:rPr>
            </w:pPr>
            <w:r>
              <w:rPr>
                <w:rFonts w:hint="eastAsia" w:cs="宋体"/>
                <w:color w:val="000000"/>
                <w:szCs w:val="21"/>
              </w:rPr>
              <w:t>施工工期</w:t>
            </w:r>
          </w:p>
        </w:tc>
        <w:tc>
          <w:tcPr>
            <w:tcW w:w="2994" w:type="dxa"/>
            <w:noWrap w:val="0"/>
            <w:vAlign w:val="center"/>
          </w:tcPr>
          <w:p w14:paraId="0C346EB3">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14:paraId="630AA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05" w:type="dxa"/>
            <w:noWrap w:val="0"/>
            <w:tcMar>
              <w:top w:w="16" w:type="dxa"/>
              <w:left w:w="16" w:type="dxa"/>
              <w:right w:w="16" w:type="dxa"/>
            </w:tcMar>
            <w:vAlign w:val="center"/>
          </w:tcPr>
          <w:p w14:paraId="0F5FF3C7">
            <w:pPr>
              <w:adjustRightInd w:val="0"/>
              <w:snapToGrid w:val="0"/>
              <w:jc w:val="center"/>
              <w:rPr>
                <w:rFonts w:cs="宋体"/>
                <w:color w:val="000000"/>
                <w:szCs w:val="21"/>
              </w:rPr>
            </w:pPr>
            <w:r>
              <w:rPr>
                <w:rFonts w:hint="eastAsia" w:cs="宋体"/>
                <w:color w:val="000000"/>
                <w:szCs w:val="21"/>
              </w:rPr>
              <w:t>是否开工建设</w:t>
            </w:r>
          </w:p>
        </w:tc>
        <w:tc>
          <w:tcPr>
            <w:tcW w:w="2445" w:type="dxa"/>
            <w:noWrap w:val="0"/>
            <w:vAlign w:val="center"/>
          </w:tcPr>
          <w:p w14:paraId="10710492">
            <w:pPr>
              <w:adjustRightInd w:val="0"/>
              <w:snapToGrid w:val="0"/>
              <w:rPr>
                <w:rFonts w:cs="宋体"/>
                <w:color w:val="000000"/>
                <w:szCs w:val="21"/>
              </w:rPr>
            </w:pPr>
            <w:r>
              <w:rPr>
                <w:rFonts w:hint="eastAsia" w:cs="宋体"/>
                <w:color w:val="000000"/>
                <w:szCs w:val="21"/>
              </w:rPr>
              <w:t>□否</w:t>
            </w:r>
          </w:p>
          <w:p w14:paraId="1D927619">
            <w:pPr>
              <w:adjustRightInd w:val="0"/>
              <w:snapToGrid w:val="0"/>
              <w:jc w:val="both"/>
              <w:rPr>
                <w:rFonts w:ascii="Times New Roman" w:hAnsi="Times New Roman" w:eastAsia="宋体" w:cs="Times New Roman"/>
                <w:color w:val="auto"/>
                <w:sz w:val="21"/>
                <w:szCs w:val="21"/>
                <w:highlight w:val="none"/>
              </w:rPr>
            </w:pPr>
            <w:r>
              <w:rPr>
                <w:rFonts w:hint="eastAsia" w:cs="宋体"/>
                <w:color w:val="000000"/>
                <w:szCs w:val="21"/>
                <w:lang w:eastAsia="zh-CN"/>
              </w:rPr>
              <w:t>☑</w:t>
            </w:r>
            <w:r>
              <w:rPr>
                <w:rFonts w:hint="eastAsia" w:cs="宋体"/>
                <w:color w:val="000000"/>
                <w:szCs w:val="21"/>
              </w:rPr>
              <w:t>是：</w:t>
            </w:r>
            <w:r>
              <w:rPr>
                <w:rFonts w:hint="eastAsia" w:ascii="Times New Roman" w:hAnsi="Times New Roman" w:eastAsia="宋体" w:cs="Times New Roman"/>
                <w:color w:val="auto"/>
                <w:sz w:val="21"/>
                <w:szCs w:val="21"/>
                <w:highlight w:val="none"/>
                <w:lang w:eastAsia="zh-CN"/>
              </w:rPr>
              <w:t>补办环评手续；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auto"/>
                <w:sz w:val="21"/>
                <w:szCs w:val="21"/>
                <w:highlight w:val="none"/>
                <w:lang w:val="en-US" w:eastAsia="zh-CN"/>
              </w:rPr>
              <w:t xml:space="preserve">自建设行为终了之日起二年内未被发现的，依法不 </w:t>
            </w:r>
          </w:p>
          <w:p w14:paraId="6493415C">
            <w:pPr>
              <w:adjustRightInd w:val="0"/>
              <w:snapToGrid w:val="0"/>
              <w:rPr>
                <w:rFonts w:hint="default" w:eastAsia="宋体" w:cs="宋体"/>
                <w:color w:val="000000"/>
                <w:szCs w:val="21"/>
                <w:lang w:val="en-US" w:eastAsia="zh-CN"/>
              </w:rPr>
            </w:pPr>
            <w:r>
              <w:rPr>
                <w:rFonts w:hint="eastAsia" w:ascii="Times New Roman" w:hAnsi="Times New Roman" w:eastAsia="宋体" w:cs="Times New Roman"/>
                <w:color w:val="auto"/>
                <w:sz w:val="21"/>
                <w:szCs w:val="21"/>
                <w:highlight w:val="none"/>
                <w:lang w:val="en-US" w:eastAsia="zh-CN"/>
              </w:rPr>
              <w:t>予行政处罚。结合《建设项目“未批先建”违法行为法律适用问题的意见》（环政法函〔</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31 </w:t>
            </w:r>
            <w:r>
              <w:rPr>
                <w:rFonts w:hint="eastAsia" w:ascii="Times New Roman" w:hAnsi="Times New Roman" w:eastAsia="宋体" w:cs="Times New Roman"/>
                <w:color w:val="auto"/>
                <w:sz w:val="21"/>
                <w:szCs w:val="21"/>
                <w:highlight w:val="none"/>
                <w:lang w:val="en-US" w:eastAsia="zh-CN"/>
              </w:rPr>
              <w:t>号）文件精神，不予处罚，补办环评手续；同时根据株洲市卫生健康委员会和株洲市生态环境局联合发文、茶陵县卫生健康局和株洲市生态环境局茶陵分局文件，本项目属于整治清单内一级医疗机构，需依法办理环评手续。</w:t>
            </w:r>
          </w:p>
        </w:tc>
        <w:tc>
          <w:tcPr>
            <w:tcW w:w="2235" w:type="dxa"/>
            <w:noWrap w:val="0"/>
            <w:tcMar>
              <w:top w:w="16" w:type="dxa"/>
              <w:left w:w="16" w:type="dxa"/>
              <w:right w:w="16" w:type="dxa"/>
            </w:tcMar>
            <w:vAlign w:val="center"/>
          </w:tcPr>
          <w:p w14:paraId="3D025FBE">
            <w:pPr>
              <w:adjustRightInd w:val="0"/>
              <w:snapToGrid w:val="0"/>
              <w:jc w:val="center"/>
              <w:rPr>
                <w:rFonts w:cs="宋体"/>
                <w:color w:val="000000"/>
                <w:spacing w:val="-6"/>
                <w:szCs w:val="21"/>
              </w:rPr>
            </w:pPr>
            <w:r>
              <w:rPr>
                <w:rFonts w:hint="eastAsia" w:cs="宋体"/>
                <w:color w:val="000000"/>
                <w:spacing w:val="-6"/>
                <w:szCs w:val="21"/>
              </w:rPr>
              <w:t>用地（用海）</w:t>
            </w:r>
          </w:p>
          <w:p w14:paraId="612A5FAB">
            <w:pPr>
              <w:adjustRightInd w:val="0"/>
              <w:snapToGrid w:val="0"/>
              <w:jc w:val="center"/>
              <w:rPr>
                <w:rFonts w:cs="宋体"/>
                <w:color w:val="000000"/>
                <w:szCs w:val="21"/>
              </w:rPr>
            </w:pPr>
            <w:r>
              <w:rPr>
                <w:rFonts w:hint="eastAsia" w:cs="宋体"/>
                <w:color w:val="000000"/>
                <w:spacing w:val="-6"/>
                <w:szCs w:val="21"/>
              </w:rPr>
              <w:t>面积（</w:t>
            </w:r>
            <w:r>
              <w:rPr>
                <w:rFonts w:cs="宋体"/>
                <w:color w:val="000000"/>
                <w:spacing w:val="-6"/>
                <w:szCs w:val="21"/>
              </w:rPr>
              <w:t>m</w:t>
            </w:r>
            <w:r>
              <w:rPr>
                <w:rFonts w:cs="宋体"/>
                <w:color w:val="000000"/>
                <w:spacing w:val="-6"/>
                <w:szCs w:val="21"/>
                <w:vertAlign w:val="superscript"/>
              </w:rPr>
              <w:t>2</w:t>
            </w:r>
            <w:r>
              <w:rPr>
                <w:rFonts w:hint="eastAsia" w:cs="宋体"/>
                <w:color w:val="000000"/>
                <w:spacing w:val="-6"/>
                <w:szCs w:val="21"/>
              </w:rPr>
              <w:t>）</w:t>
            </w:r>
          </w:p>
        </w:tc>
        <w:tc>
          <w:tcPr>
            <w:tcW w:w="2994" w:type="dxa"/>
            <w:noWrap w:val="0"/>
            <w:vAlign w:val="center"/>
          </w:tcPr>
          <w:p w14:paraId="11A288DD">
            <w:pPr>
              <w:keepNext w:val="0"/>
              <w:keepLines w:val="0"/>
              <w:widowControl/>
              <w:suppressLineNumbers w:val="0"/>
              <w:jc w:val="center"/>
              <w:rPr>
                <w:rFonts w:hint="default" w:eastAsia="宋体"/>
                <w:color w:val="000000"/>
                <w:szCs w:val="21"/>
                <w:lang w:val="en-US" w:eastAsia="zh-CN"/>
              </w:rPr>
            </w:pPr>
            <w:r>
              <w:rPr>
                <w:rFonts w:hint="eastAsia"/>
                <w:color w:val="000000"/>
                <w:szCs w:val="21"/>
                <w:lang w:val="en-US" w:eastAsia="zh-CN"/>
              </w:rPr>
              <w:t>2888</w:t>
            </w:r>
          </w:p>
        </w:tc>
      </w:tr>
      <w:tr w14:paraId="657B2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205" w:type="dxa"/>
            <w:noWrap w:val="0"/>
            <w:vAlign w:val="center"/>
          </w:tcPr>
          <w:p w14:paraId="62B7388C">
            <w:pPr>
              <w:autoSpaceDE w:val="0"/>
              <w:autoSpaceDN w:val="0"/>
              <w:adjustRightInd w:val="0"/>
              <w:snapToGrid w:val="0"/>
              <w:jc w:val="center"/>
              <w:rPr>
                <w:rFonts w:cs="宋体"/>
                <w:color w:val="000000"/>
                <w:kern w:val="0"/>
                <w:szCs w:val="21"/>
              </w:rPr>
            </w:pPr>
            <w:r>
              <w:rPr>
                <w:rFonts w:hint="eastAsia" w:cs="宋体"/>
                <w:color w:val="000000"/>
                <w:kern w:val="0"/>
                <w:szCs w:val="21"/>
              </w:rPr>
              <w:t>专项评价设置情况</w:t>
            </w:r>
          </w:p>
        </w:tc>
        <w:tc>
          <w:tcPr>
            <w:tcW w:w="7674" w:type="dxa"/>
            <w:gridSpan w:val="3"/>
            <w:noWrap w:val="0"/>
            <w:vAlign w:val="center"/>
          </w:tcPr>
          <w:p w14:paraId="5DD0569F">
            <w:pPr>
              <w:autoSpaceDE w:val="0"/>
              <w:autoSpaceDN w:val="0"/>
              <w:adjustRightInd w:val="0"/>
              <w:snapToGrid w:val="0"/>
              <w:ind w:firstLine="420" w:firstLineChars="200"/>
              <w:jc w:val="both"/>
              <w:rPr>
                <w:rFonts w:hint="default" w:cs="Times New Roman"/>
                <w:kern w:val="0"/>
                <w:szCs w:val="21"/>
                <w:lang w:val="en-US" w:eastAsia="zh-CN"/>
              </w:rPr>
            </w:pPr>
            <w:r>
              <w:rPr>
                <w:rFonts w:hint="eastAsia" w:cs="Times New Roman"/>
                <w:kern w:val="0"/>
                <w:szCs w:val="21"/>
                <w:lang w:val="en-US" w:eastAsia="zh-CN"/>
              </w:rPr>
              <w:t>专项情况说明如下表所示：</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937"/>
              <w:gridCol w:w="3208"/>
              <w:gridCol w:w="2459"/>
              <w:gridCol w:w="841"/>
            </w:tblGrid>
            <w:tr w14:paraId="152F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67A0AC3F">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专项设置类别</w:t>
                  </w:r>
                </w:p>
              </w:tc>
              <w:tc>
                <w:tcPr>
                  <w:tcW w:w="2154" w:type="pct"/>
                  <w:noWrap w:val="0"/>
                  <w:vAlign w:val="center"/>
                </w:tcPr>
                <w:p w14:paraId="4A0FCE80">
                  <w:pPr>
                    <w:pStyle w:val="20"/>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设置原则</w:t>
                  </w:r>
                </w:p>
              </w:tc>
              <w:tc>
                <w:tcPr>
                  <w:tcW w:w="1651" w:type="pct"/>
                  <w:noWrap w:val="0"/>
                  <w:vAlign w:val="center"/>
                </w:tcPr>
                <w:p w14:paraId="4F44B1D6">
                  <w:pPr>
                    <w:pStyle w:val="20"/>
                    <w:spacing w:line="240" w:lineRule="auto"/>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本项目情况</w:t>
                  </w:r>
                </w:p>
              </w:tc>
              <w:tc>
                <w:tcPr>
                  <w:tcW w:w="565" w:type="pct"/>
                  <w:noWrap w:val="0"/>
                  <w:vAlign w:val="center"/>
                </w:tcPr>
                <w:p w14:paraId="06B58C06">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是否专项评价</w:t>
                  </w:r>
                </w:p>
              </w:tc>
            </w:tr>
            <w:tr w14:paraId="789A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6378C7BC">
                  <w:pPr>
                    <w:pStyle w:val="20"/>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大气</w:t>
                  </w:r>
                </w:p>
              </w:tc>
              <w:tc>
                <w:tcPr>
                  <w:tcW w:w="2154" w:type="pct"/>
                  <w:noWrap w:val="0"/>
                  <w:vAlign w:val="center"/>
                </w:tcPr>
                <w:p w14:paraId="4BCDFA0C">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排放废气含有毒有害污染物、二嗯英、苯并［</w:t>
                  </w:r>
                  <w:r>
                    <w:rPr>
                      <w:rFonts w:hint="default" w:ascii="Times New Roman" w:hAnsi="Times New Roman" w:eastAsia="宋体" w:cs="Times New Roman"/>
                      <w:color w:val="000000"/>
                      <w:kern w:val="2"/>
                      <w:sz w:val="21"/>
                      <w:szCs w:val="21"/>
                      <w:vertAlign w:val="baseline"/>
                      <w:lang w:val="en-US" w:eastAsia="zh-CN" w:bidi="ar-SA"/>
                    </w:rPr>
                    <w:t>a</w:t>
                  </w:r>
                  <w:r>
                    <w:rPr>
                      <w:rFonts w:hint="eastAsia" w:ascii="Times New Roman" w:hAnsi="Times New Roman" w:eastAsia="宋体" w:cs="Times New Roman"/>
                      <w:color w:val="000000"/>
                      <w:kern w:val="2"/>
                      <w:sz w:val="21"/>
                      <w:szCs w:val="21"/>
                      <w:vertAlign w:val="baseline"/>
                      <w:lang w:val="en-US" w:eastAsia="zh-CN" w:bidi="ar-SA"/>
                    </w:rPr>
                    <w:t>］芘、氰化物、氯气且厂界外</w:t>
                  </w:r>
                  <w:r>
                    <w:rPr>
                      <w:rFonts w:hint="default" w:ascii="Times New Roman" w:hAnsi="Times New Roman" w:eastAsia="宋体" w:cs="Times New Roman"/>
                      <w:color w:val="000000"/>
                      <w:kern w:val="2"/>
                      <w:sz w:val="21"/>
                      <w:szCs w:val="21"/>
                      <w:vertAlign w:val="baseline"/>
                      <w:lang w:val="en-US" w:eastAsia="zh-CN" w:bidi="ar-SA"/>
                    </w:rPr>
                    <w:t xml:space="preserve">500 </w:t>
                  </w:r>
                  <w:r>
                    <w:rPr>
                      <w:rFonts w:hint="eastAsia" w:ascii="Times New Roman" w:hAnsi="Times New Roman" w:eastAsia="宋体" w:cs="Times New Roman"/>
                      <w:color w:val="000000"/>
                      <w:kern w:val="2"/>
                      <w:sz w:val="21"/>
                      <w:szCs w:val="21"/>
                      <w:vertAlign w:val="baseline"/>
                      <w:lang w:val="en-US" w:eastAsia="zh-CN" w:bidi="ar-SA"/>
                    </w:rPr>
                    <w:t>米范围内有环境空气保护目标的建设项目</w:t>
                  </w:r>
                </w:p>
              </w:tc>
              <w:tc>
                <w:tcPr>
                  <w:tcW w:w="1651" w:type="pct"/>
                  <w:noWrap w:val="0"/>
                  <w:vAlign w:val="center"/>
                </w:tcPr>
                <w:p w14:paraId="27673019">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本项目排放废气主要为硫化氢、氨气等，不属于《有毒有害大气污染物名录》的污染物</w:t>
                  </w:r>
                </w:p>
              </w:tc>
              <w:tc>
                <w:tcPr>
                  <w:tcW w:w="565" w:type="pct"/>
                  <w:noWrap w:val="0"/>
                  <w:vAlign w:val="center"/>
                </w:tcPr>
                <w:p w14:paraId="0B672494">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否</w:t>
                  </w:r>
                </w:p>
              </w:tc>
            </w:tr>
            <w:tr w14:paraId="5A02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644B0B72">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地表水</w:t>
                  </w:r>
                </w:p>
              </w:tc>
              <w:tc>
                <w:tcPr>
                  <w:tcW w:w="2154" w:type="pct"/>
                  <w:noWrap w:val="0"/>
                  <w:vAlign w:val="center"/>
                </w:tcPr>
                <w:p w14:paraId="5195C48C">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u w:val="single"/>
                      <w:vertAlign w:val="baseline"/>
                      <w:lang w:val="en-US" w:eastAsia="zh-CN" w:bidi="ar-SA"/>
                    </w:rPr>
                  </w:pPr>
                  <w:r>
                    <w:rPr>
                      <w:rFonts w:hint="eastAsia" w:ascii="Times New Roman" w:hAnsi="宋体" w:eastAsia="宋体" w:cs="Times New Roman"/>
                      <w:color w:val="000000"/>
                      <w:kern w:val="2"/>
                      <w:sz w:val="21"/>
                      <w:szCs w:val="21"/>
                      <w:vertAlign w:val="baseline"/>
                      <w:lang w:val="en-US" w:eastAsia="zh-CN" w:bidi="ar-SA"/>
                    </w:rPr>
                    <w:t>新增工业废水直排建设项目(槽罐车外送污水处理厂的除外)；新增废水直排的污水集中处理厂</w:t>
                  </w:r>
                </w:p>
              </w:tc>
              <w:tc>
                <w:tcPr>
                  <w:tcW w:w="1651" w:type="pct"/>
                  <w:noWrap w:val="0"/>
                  <w:vAlign w:val="center"/>
                </w:tcPr>
                <w:p w14:paraId="11B31AB2">
                  <w:pPr>
                    <w:pStyle w:val="20"/>
                    <w:spacing w:line="240" w:lineRule="auto"/>
                    <w:ind w:left="0" w:leftChars="0" w:firstLine="0" w:firstLineChars="0"/>
                    <w:jc w:val="center"/>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宋体" w:eastAsia="宋体" w:cs="Times New Roman"/>
                      <w:sz w:val="21"/>
                      <w:szCs w:val="21"/>
                      <w:vertAlign w:val="baseline"/>
                      <w:lang w:val="en-US" w:eastAsia="zh-CN"/>
                    </w:rPr>
                    <w:t>本项目废水经</w:t>
                  </w:r>
                  <w:r>
                    <w:rPr>
                      <w:rFonts w:hint="eastAsia" w:ascii="Times New Roman" w:cs="Times New Roman"/>
                      <w:sz w:val="21"/>
                      <w:szCs w:val="21"/>
                      <w:u w:val="none"/>
                      <w:vertAlign w:val="baseline"/>
                      <w:lang w:val="en-US" w:eastAsia="zh-CN"/>
                    </w:rPr>
                    <w:t>自建污水处理站处理后达标排入东侧的洣水，最终汇入洣水。</w:t>
                  </w:r>
                  <w:r>
                    <w:rPr>
                      <w:rFonts w:hint="eastAsia" w:ascii="Times New Roman" w:hAnsi="宋体" w:eastAsia="宋体" w:cs="Times New Roman"/>
                      <w:sz w:val="21"/>
                      <w:szCs w:val="21"/>
                      <w:vertAlign w:val="baseline"/>
                      <w:lang w:val="en-US" w:eastAsia="zh-CN"/>
                    </w:rPr>
                    <w:t>本项目排放的废水不属于工业废水</w:t>
                  </w:r>
                </w:p>
              </w:tc>
              <w:tc>
                <w:tcPr>
                  <w:tcW w:w="565" w:type="pct"/>
                  <w:noWrap w:val="0"/>
                  <w:vAlign w:val="center"/>
                </w:tcPr>
                <w:p w14:paraId="11B1E6EE">
                  <w:pPr>
                    <w:pStyle w:val="20"/>
                    <w:spacing w:line="240" w:lineRule="auto"/>
                    <w:ind w:left="0" w:leftChars="0" w:firstLine="0" w:firstLineChars="0"/>
                    <w:jc w:val="center"/>
                    <w:rPr>
                      <w:rFonts w:hint="eastAsia" w:ascii="Times New Roman" w:hAnsi="Times New Roman" w:eastAsia="宋体" w:cs="Times New Roman"/>
                      <w:sz w:val="21"/>
                      <w:szCs w:val="21"/>
                      <w:u w:val="single"/>
                      <w:vertAlign w:val="baseline"/>
                      <w:lang w:eastAsia="zh-CN"/>
                    </w:rPr>
                  </w:pPr>
                  <w:r>
                    <w:rPr>
                      <w:rFonts w:hint="eastAsia" w:ascii="Times New Roman" w:hAnsi="宋体" w:eastAsia="宋体" w:cs="Times New Roman"/>
                      <w:sz w:val="21"/>
                      <w:szCs w:val="21"/>
                      <w:vertAlign w:val="baseline"/>
                      <w:lang w:val="en-US" w:eastAsia="zh-CN"/>
                    </w:rPr>
                    <w:t>否</w:t>
                  </w:r>
                </w:p>
              </w:tc>
            </w:tr>
            <w:tr w14:paraId="2B54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7AC358F1">
                  <w:pPr>
                    <w:pStyle w:val="20"/>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环境</w:t>
                  </w:r>
                </w:p>
                <w:p w14:paraId="1CBF6BA7">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风险</w:t>
                  </w:r>
                </w:p>
              </w:tc>
              <w:tc>
                <w:tcPr>
                  <w:tcW w:w="2154" w:type="pct"/>
                  <w:noWrap w:val="0"/>
                  <w:vAlign w:val="center"/>
                </w:tcPr>
                <w:p w14:paraId="69CEBF17">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有毒有害和易燃易爆危险物质储量超过临界量的建设项目</w:t>
                  </w:r>
                </w:p>
              </w:tc>
              <w:tc>
                <w:tcPr>
                  <w:tcW w:w="1651" w:type="pct"/>
                  <w:noWrap w:val="0"/>
                  <w:vAlign w:val="center"/>
                </w:tcPr>
                <w:p w14:paraId="209037EF">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p>
              </w:tc>
              <w:tc>
                <w:tcPr>
                  <w:tcW w:w="565" w:type="pct"/>
                  <w:noWrap w:val="0"/>
                  <w:vAlign w:val="center"/>
                </w:tcPr>
                <w:p w14:paraId="1D14D7B9">
                  <w:pPr>
                    <w:pStyle w:val="20"/>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14:paraId="20D9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6BB0B303">
                  <w:pPr>
                    <w:pStyle w:val="20"/>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生态</w:t>
                  </w:r>
                </w:p>
              </w:tc>
              <w:tc>
                <w:tcPr>
                  <w:tcW w:w="2154" w:type="pct"/>
                  <w:noWrap w:val="0"/>
                  <w:vAlign w:val="center"/>
                </w:tcPr>
                <w:p w14:paraId="691F7165">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取水口下游</w:t>
                  </w:r>
                  <w:r>
                    <w:rPr>
                      <w:rFonts w:hint="default" w:ascii="Times New Roman" w:hAnsi="Times New Roman" w:eastAsia="宋体" w:cs="Times New Roman"/>
                      <w:color w:val="000000"/>
                      <w:kern w:val="2"/>
                      <w:sz w:val="21"/>
                      <w:szCs w:val="21"/>
                      <w:vertAlign w:val="baseline"/>
                      <w:lang w:val="en-US" w:eastAsia="zh-CN" w:bidi="ar-SA"/>
                    </w:rPr>
                    <w:t xml:space="preserve">500m </w:t>
                  </w:r>
                  <w:r>
                    <w:rPr>
                      <w:rFonts w:hint="eastAsia" w:ascii="Times New Roman" w:hAnsi="Times New Roman" w:eastAsia="宋体" w:cs="Times New Roman"/>
                      <w:color w:val="000000"/>
                      <w:kern w:val="2"/>
                      <w:sz w:val="21"/>
                      <w:szCs w:val="21"/>
                      <w:vertAlign w:val="baseline"/>
                      <w:lang w:val="en-US" w:eastAsia="zh-CN" w:bidi="ar-SA"/>
                    </w:rPr>
                    <w:t>范围内有重要水生生物的自然产卵场、索饵场、越冬场和洄游通道的新增河道取水的污染类建设项目</w:t>
                  </w:r>
                </w:p>
              </w:tc>
              <w:tc>
                <w:tcPr>
                  <w:tcW w:w="1651" w:type="pct"/>
                  <w:noWrap w:val="0"/>
                  <w:vAlign w:val="center"/>
                </w:tcPr>
                <w:p w14:paraId="11175C0B">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项目用水为</w:t>
                  </w:r>
                  <w:r>
                    <w:rPr>
                      <w:rFonts w:hint="eastAsia" w:ascii="Times New Roman" w:cs="Times New Roman"/>
                      <w:color w:val="auto"/>
                      <w:sz w:val="21"/>
                      <w:szCs w:val="21"/>
                      <w:vertAlign w:val="baseline"/>
                      <w:lang w:val="en-US" w:eastAsia="zh-CN"/>
                    </w:rPr>
                    <w:t>自来水，无需设置河</w:t>
                  </w:r>
                  <w:r>
                    <w:rPr>
                      <w:rFonts w:hint="eastAsia" w:ascii="Times New Roman" w:cs="Times New Roman"/>
                      <w:sz w:val="21"/>
                      <w:szCs w:val="21"/>
                      <w:vertAlign w:val="baseline"/>
                      <w:lang w:val="en-US" w:eastAsia="zh-CN"/>
                    </w:rPr>
                    <w:t>道取水口</w:t>
                  </w:r>
                </w:p>
              </w:tc>
              <w:tc>
                <w:tcPr>
                  <w:tcW w:w="565" w:type="pct"/>
                  <w:noWrap w:val="0"/>
                  <w:vAlign w:val="center"/>
                </w:tcPr>
                <w:p w14:paraId="04E0D682">
                  <w:pPr>
                    <w:pStyle w:val="20"/>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14:paraId="4239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14:paraId="2170EC98">
                  <w:pPr>
                    <w:pStyle w:val="20"/>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海洋</w:t>
                  </w:r>
                </w:p>
              </w:tc>
              <w:tc>
                <w:tcPr>
                  <w:tcW w:w="2154" w:type="pct"/>
                  <w:noWrap w:val="0"/>
                  <w:vAlign w:val="center"/>
                </w:tcPr>
                <w:p w14:paraId="01071B1A">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直接向海排放污染物的海洋工程建设项目</w:t>
                  </w:r>
                </w:p>
              </w:tc>
              <w:tc>
                <w:tcPr>
                  <w:tcW w:w="1651" w:type="pct"/>
                  <w:noWrap w:val="0"/>
                  <w:vAlign w:val="center"/>
                </w:tcPr>
                <w:p w14:paraId="1CC383F0">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项目不属于海洋工程</w:t>
                  </w:r>
                </w:p>
              </w:tc>
              <w:tc>
                <w:tcPr>
                  <w:tcW w:w="565" w:type="pct"/>
                  <w:noWrap w:val="0"/>
                  <w:vAlign w:val="center"/>
                </w:tcPr>
                <w:p w14:paraId="29274719">
                  <w:pPr>
                    <w:pStyle w:val="20"/>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bl>
          <w:p w14:paraId="7F255DF5">
            <w:pPr>
              <w:autoSpaceDE w:val="0"/>
              <w:autoSpaceDN w:val="0"/>
              <w:adjustRightInd w:val="0"/>
              <w:snapToGrid w:val="0"/>
              <w:jc w:val="center"/>
              <w:rPr>
                <w:rFonts w:cs="宋体"/>
                <w:color w:val="000000"/>
                <w:kern w:val="0"/>
                <w:szCs w:val="21"/>
              </w:rPr>
            </w:pPr>
            <w:r>
              <w:rPr>
                <w:rFonts w:hint="eastAsia"/>
                <w:lang w:val="en-US" w:eastAsia="zh-CN"/>
              </w:rPr>
              <w:t>综上所述，本项目无需设立专项评价。</w:t>
            </w:r>
          </w:p>
        </w:tc>
      </w:tr>
      <w:tr w14:paraId="2A980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205" w:type="dxa"/>
            <w:noWrap w:val="0"/>
            <w:vAlign w:val="center"/>
          </w:tcPr>
          <w:p w14:paraId="72F93CE6">
            <w:pPr>
              <w:autoSpaceDE w:val="0"/>
              <w:autoSpaceDN w:val="0"/>
              <w:adjustRightInd w:val="0"/>
              <w:snapToGrid w:val="0"/>
              <w:jc w:val="center"/>
              <w:rPr>
                <w:rFonts w:cs="宋体"/>
                <w:color w:val="000000"/>
                <w:kern w:val="0"/>
                <w:szCs w:val="21"/>
              </w:rPr>
            </w:pPr>
            <w:r>
              <w:rPr>
                <w:rFonts w:hint="eastAsia" w:cs="宋体"/>
                <w:color w:val="000000"/>
                <w:szCs w:val="21"/>
              </w:rPr>
              <w:t>规划情况</w:t>
            </w:r>
          </w:p>
        </w:tc>
        <w:tc>
          <w:tcPr>
            <w:tcW w:w="7674" w:type="dxa"/>
            <w:gridSpan w:val="3"/>
            <w:noWrap w:val="0"/>
            <w:vAlign w:val="center"/>
          </w:tcPr>
          <w:p w14:paraId="3764B771">
            <w:pPr>
              <w:keepNext w:val="0"/>
              <w:keepLines w:val="0"/>
              <w:pageBreakBefore w:val="0"/>
              <w:widowControl/>
              <w:suppressLineNumbers w:val="0"/>
              <w:kinsoku/>
              <w:wordWrap/>
              <w:overflowPunct/>
              <w:topLinePunct w:val="0"/>
              <w:autoSpaceDE/>
              <w:autoSpaceDN/>
              <w:bidi w:val="0"/>
              <w:adjustRightInd/>
              <w:snapToGrid/>
              <w:jc w:val="center"/>
              <w:textAlignment w:val="auto"/>
              <w:rPr>
                <w:rFonts w:cs="宋体"/>
                <w:color w:val="000000"/>
                <w:kern w:val="0"/>
                <w:szCs w:val="21"/>
              </w:rPr>
            </w:pPr>
            <w:r>
              <w:rPr>
                <w:rFonts w:hint="eastAsia" w:ascii="Times New Roman" w:hAnsi="Times New Roman" w:eastAsia="宋体" w:cs="宋体"/>
                <w:color w:val="000000"/>
                <w:kern w:val="0"/>
                <w:sz w:val="21"/>
                <w:szCs w:val="21"/>
                <w:lang w:val="en-US" w:eastAsia="zh-CN" w:bidi="ar"/>
              </w:rPr>
              <w:t>无</w:t>
            </w:r>
          </w:p>
        </w:tc>
      </w:tr>
      <w:tr w14:paraId="0F4BC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05" w:type="dxa"/>
            <w:noWrap w:val="0"/>
            <w:vAlign w:val="center"/>
          </w:tcPr>
          <w:p w14:paraId="0FC60ED1">
            <w:pPr>
              <w:adjustRightInd w:val="0"/>
              <w:snapToGrid w:val="0"/>
              <w:jc w:val="center"/>
              <w:rPr>
                <w:rFonts w:cs="宋体"/>
                <w:color w:val="000000"/>
                <w:szCs w:val="21"/>
              </w:rPr>
            </w:pPr>
            <w:r>
              <w:rPr>
                <w:rFonts w:hint="eastAsia" w:cs="宋体"/>
                <w:color w:val="000000"/>
                <w:szCs w:val="21"/>
              </w:rPr>
              <w:t>规划环境影响</w:t>
            </w:r>
          </w:p>
          <w:p w14:paraId="0B487CF1">
            <w:pPr>
              <w:adjustRightInd w:val="0"/>
              <w:snapToGrid w:val="0"/>
              <w:jc w:val="center"/>
              <w:rPr>
                <w:rFonts w:cs="宋体"/>
                <w:color w:val="000000"/>
                <w:kern w:val="0"/>
                <w:szCs w:val="21"/>
              </w:rPr>
            </w:pPr>
            <w:r>
              <w:rPr>
                <w:rFonts w:hint="eastAsia" w:cs="宋体"/>
                <w:color w:val="000000"/>
                <w:szCs w:val="21"/>
              </w:rPr>
              <w:t>评价情况</w:t>
            </w:r>
          </w:p>
        </w:tc>
        <w:tc>
          <w:tcPr>
            <w:tcW w:w="7674" w:type="dxa"/>
            <w:gridSpan w:val="3"/>
            <w:noWrap w:val="0"/>
            <w:vAlign w:val="center"/>
          </w:tcPr>
          <w:p w14:paraId="141537C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pacing w:val="8"/>
                <w:sz w:val="23"/>
                <w:szCs w:val="23"/>
                <w:u w:val="none"/>
                <w:lang w:val="en-US" w:eastAsia="zh-CN"/>
              </w:rPr>
            </w:pPr>
            <w:r>
              <w:rPr>
                <w:rFonts w:hint="eastAsia" w:ascii="宋体" w:hAnsi="宋体" w:eastAsia="宋体" w:cs="宋体"/>
                <w:spacing w:val="8"/>
                <w:sz w:val="23"/>
                <w:szCs w:val="23"/>
                <w:u w:val="none"/>
                <w:lang w:val="en-US" w:eastAsia="zh-CN"/>
              </w:rPr>
              <w:t>无</w:t>
            </w:r>
          </w:p>
        </w:tc>
      </w:tr>
      <w:tr w14:paraId="7437E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205" w:type="dxa"/>
            <w:noWrap w:val="0"/>
            <w:vAlign w:val="center"/>
          </w:tcPr>
          <w:p w14:paraId="7F207E8C">
            <w:pPr>
              <w:autoSpaceDE w:val="0"/>
              <w:autoSpaceDN w:val="0"/>
              <w:adjustRightInd w:val="0"/>
              <w:snapToGrid w:val="0"/>
              <w:jc w:val="center"/>
              <w:rPr>
                <w:rFonts w:cs="宋体"/>
                <w:color w:val="000000"/>
                <w:kern w:val="0"/>
                <w:szCs w:val="21"/>
              </w:rPr>
            </w:pPr>
            <w:r>
              <w:rPr>
                <w:rFonts w:hint="eastAsia" w:cs="宋体"/>
                <w:color w:val="000000"/>
                <w:kern w:val="0"/>
                <w:szCs w:val="21"/>
              </w:rPr>
              <w:t>规划及规划</w:t>
            </w:r>
            <w:r>
              <w:rPr>
                <w:rFonts w:hint="eastAsia" w:cs="宋体"/>
                <w:color w:val="000000"/>
                <w:kern w:val="0"/>
                <w:szCs w:val="21"/>
                <w:lang w:eastAsia="zh-CN"/>
              </w:rPr>
              <w:t>环境</w:t>
            </w:r>
            <w:r>
              <w:rPr>
                <w:rFonts w:hint="eastAsia" w:cs="宋体"/>
                <w:color w:val="000000"/>
                <w:kern w:val="0"/>
                <w:szCs w:val="21"/>
              </w:rPr>
              <w:t>影响评价符合性分析</w:t>
            </w:r>
          </w:p>
        </w:tc>
        <w:tc>
          <w:tcPr>
            <w:tcW w:w="7674" w:type="dxa"/>
            <w:gridSpan w:val="3"/>
            <w:tcBorders>
              <w:right w:val="single" w:color="auto" w:sz="4" w:space="0"/>
            </w:tcBorders>
            <w:noWrap w:val="0"/>
            <w:vAlign w:val="center"/>
          </w:tcPr>
          <w:p w14:paraId="29F846D1">
            <w:pPr>
              <w:bidi w:val="0"/>
              <w:jc w:val="center"/>
              <w:rPr>
                <w:lang w:val="en-US" w:eastAsia="zh-CN"/>
              </w:rPr>
            </w:pPr>
            <w:r>
              <w:rPr>
                <w:rFonts w:hint="eastAsia"/>
                <w:lang w:val="en-US" w:eastAsia="zh-CN"/>
              </w:rPr>
              <w:t>无</w:t>
            </w:r>
          </w:p>
        </w:tc>
      </w:tr>
      <w:tr w14:paraId="2728D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5" w:type="dxa"/>
            <w:noWrap w:val="0"/>
            <w:vAlign w:val="center"/>
          </w:tcPr>
          <w:p w14:paraId="0470DC8B">
            <w:pPr>
              <w:autoSpaceDE w:val="0"/>
              <w:autoSpaceDN w:val="0"/>
              <w:adjustRightInd w:val="0"/>
              <w:snapToGrid w:val="0"/>
              <w:jc w:val="center"/>
              <w:rPr>
                <w:rFonts w:cs="宋体"/>
                <w:color w:val="000000"/>
                <w:kern w:val="0"/>
                <w:szCs w:val="21"/>
              </w:rPr>
            </w:pPr>
            <w:r>
              <w:rPr>
                <w:rFonts w:hint="eastAsia" w:cs="宋体"/>
                <w:color w:val="000000"/>
                <w:kern w:val="0"/>
                <w:szCs w:val="21"/>
              </w:rPr>
              <w:t>其他符合性</w:t>
            </w:r>
            <w:r>
              <w:rPr>
                <w:rFonts w:hint="eastAsia" w:cs="宋体"/>
                <w:color w:val="000000"/>
                <w:kern w:val="0"/>
                <w:szCs w:val="21"/>
                <w:lang w:val="en-US" w:eastAsia="zh-CN"/>
              </w:rPr>
              <w:t>分</w:t>
            </w:r>
            <w:r>
              <w:rPr>
                <w:rFonts w:hint="eastAsia" w:cs="宋体"/>
                <w:color w:val="000000"/>
                <w:kern w:val="0"/>
                <w:szCs w:val="21"/>
              </w:rPr>
              <w:t>析</w:t>
            </w:r>
          </w:p>
        </w:tc>
        <w:tc>
          <w:tcPr>
            <w:tcW w:w="7674" w:type="dxa"/>
            <w:gridSpan w:val="3"/>
            <w:noWrap w:val="0"/>
            <w:vAlign w:val="top"/>
          </w:tcPr>
          <w:p w14:paraId="63C5768B">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b/>
                <w:bCs/>
                <w:spacing w:val="0"/>
                <w:sz w:val="24"/>
                <w:szCs w:val="24"/>
                <w:u w:val="none" w:color="auto"/>
              </w:rPr>
            </w:pPr>
            <w:r>
              <w:rPr>
                <w:rFonts w:ascii="Times New Roman" w:hAnsi="Times New Roman" w:eastAsia="宋体"/>
                <w:b/>
                <w:bCs/>
                <w:spacing w:val="0"/>
                <w:sz w:val="24"/>
                <w:szCs w:val="24"/>
                <w:u w:val="none" w:color="auto"/>
              </w:rPr>
              <w:t>1、产业政策符合性分析</w:t>
            </w:r>
          </w:p>
          <w:p w14:paraId="28EE553C">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auto"/>
              <w:rPr>
                <w:rFonts w:hint="eastAsia" w:ascii="Times New Roman" w:hAnsi="Times New Roman" w:eastAsia="宋体"/>
                <w:spacing w:val="0"/>
                <w:sz w:val="24"/>
                <w:szCs w:val="24"/>
                <w:u w:val="none" w:color="auto"/>
                <w:lang w:val="en-US" w:eastAsia="zh-CN"/>
              </w:rPr>
            </w:pPr>
            <w:r>
              <w:rPr>
                <w:rFonts w:ascii="Times New Roman" w:hAnsi="Times New Roman" w:eastAsia="宋体"/>
                <w:spacing w:val="0"/>
                <w:sz w:val="24"/>
                <w:szCs w:val="24"/>
                <w:u w:val="none" w:color="auto"/>
              </w:rPr>
              <w:t>根据《产业结构调整指导目录（20</w:t>
            </w:r>
            <w:r>
              <w:rPr>
                <w:rFonts w:hint="eastAsia"/>
                <w:spacing w:val="0"/>
                <w:sz w:val="24"/>
                <w:szCs w:val="24"/>
                <w:u w:val="none" w:color="auto"/>
                <w:lang w:val="en-US" w:eastAsia="zh-CN"/>
              </w:rPr>
              <w:t>24</w:t>
            </w:r>
            <w:r>
              <w:rPr>
                <w:rFonts w:ascii="Times New Roman" w:hAnsi="Times New Roman" w:eastAsia="宋体"/>
                <w:spacing w:val="0"/>
                <w:sz w:val="24"/>
                <w:szCs w:val="24"/>
                <w:u w:val="none" w:color="auto"/>
              </w:rPr>
              <w:t>年本）》，本项目属于其中鼓励类第三十七条“卫生健康”中第</w:t>
            </w:r>
            <w:r>
              <w:rPr>
                <w:rFonts w:hint="eastAsia"/>
                <w:spacing w:val="0"/>
                <w:sz w:val="24"/>
                <w:szCs w:val="24"/>
                <w:u w:val="none" w:color="auto"/>
                <w:lang w:val="en-US" w:eastAsia="zh-CN"/>
              </w:rPr>
              <w:t>1</w:t>
            </w:r>
            <w:r>
              <w:rPr>
                <w:rFonts w:ascii="Times New Roman" w:hAnsi="Times New Roman" w:eastAsia="宋体"/>
                <w:spacing w:val="0"/>
                <w:sz w:val="24"/>
                <w:szCs w:val="24"/>
                <w:u w:val="none" w:color="auto"/>
              </w:rPr>
              <w:t>项“医疗卫生服务设施建设”，符合国家产业政策，已取得</w:t>
            </w:r>
            <w:r>
              <w:rPr>
                <w:rFonts w:hint="eastAsia"/>
                <w:spacing w:val="0"/>
                <w:sz w:val="24"/>
                <w:szCs w:val="24"/>
                <w:u w:val="none" w:color="auto"/>
                <w:lang w:eastAsia="zh-CN"/>
              </w:rPr>
              <w:t>医疗机构</w:t>
            </w:r>
            <w:r>
              <w:rPr>
                <w:rFonts w:ascii="Times New Roman" w:hAnsi="Times New Roman" w:eastAsia="宋体"/>
                <w:spacing w:val="0"/>
                <w:sz w:val="24"/>
                <w:szCs w:val="24"/>
                <w:u w:val="none" w:color="auto"/>
              </w:rPr>
              <w:t>执业许可证（登</w:t>
            </w:r>
            <w:r>
              <w:rPr>
                <w:rFonts w:hint="eastAsia" w:ascii="Times New Roman" w:hAnsi="Times New Roman"/>
                <w:spacing w:val="0"/>
                <w:sz w:val="24"/>
                <w:szCs w:val="24"/>
                <w:u w:val="none" w:color="auto"/>
                <w:lang w:val="en-US" w:eastAsia="zh-CN"/>
              </w:rPr>
              <w:t>记</w:t>
            </w:r>
            <w:r>
              <w:rPr>
                <w:rFonts w:ascii="Times New Roman" w:hAnsi="Times New Roman" w:eastAsia="宋体"/>
                <w:spacing w:val="0"/>
                <w:sz w:val="24"/>
                <w:szCs w:val="24"/>
                <w:u w:val="none" w:color="auto"/>
              </w:rPr>
              <w:t>号</w:t>
            </w:r>
            <w:r>
              <w:rPr>
                <w:rFonts w:ascii="Helvetica" w:hAnsi="Helvetica" w:eastAsia="Helvetica" w:cs="Helvetica"/>
                <w:kern w:val="0"/>
                <w:sz w:val="24"/>
                <w:szCs w:val="24"/>
                <w:u w:val="none" w:color="auto"/>
                <w:lang w:val="en-US" w:eastAsia="zh-CN" w:bidi="ar"/>
              </w:rPr>
              <w:t> </w:t>
            </w:r>
            <w:r>
              <w:rPr>
                <w:rFonts w:hint="eastAsia" w:ascii="Times New Roman" w:hAnsi="Times New Roman" w:eastAsia="宋体"/>
                <w:spacing w:val="0"/>
                <w:sz w:val="24"/>
                <w:szCs w:val="24"/>
                <w:u w:val="none" w:color="auto"/>
                <w:lang w:val="en-US" w:eastAsia="zh-CN"/>
              </w:rPr>
              <w:t>PDY7389946894302241202201</w:t>
            </w:r>
            <w:r>
              <w:rPr>
                <w:rFonts w:ascii="Times New Roman" w:hAnsi="Times New Roman" w:eastAsia="宋体"/>
                <w:spacing w:val="0"/>
                <w:sz w:val="24"/>
                <w:szCs w:val="24"/>
                <w:u w:val="none" w:color="auto"/>
              </w:rPr>
              <w:t>），同意设置本医疗机构，因此，本项目建设符合国家产业政策要求。</w:t>
            </w:r>
          </w:p>
          <w:p w14:paraId="308A58BF">
            <w:pPr>
              <w:keepNext w:val="0"/>
              <w:keepLines w:val="0"/>
              <w:pageBreakBefore w:val="0"/>
              <w:kinsoku/>
              <w:wordWrap/>
              <w:overflowPunct/>
              <w:topLinePunct w:val="0"/>
              <w:bidi w:val="0"/>
              <w:spacing w:line="360" w:lineRule="auto"/>
              <w:ind w:left="0" w:right="0"/>
              <w:textAlignment w:val="auto"/>
              <w:rPr>
                <w:rFonts w:ascii="Times New Roman" w:hAnsi="Times New Roman" w:eastAsia="宋体" w:cs="宋体"/>
                <w:b/>
                <w:bCs/>
                <w:color w:val="000000"/>
                <w:spacing w:val="0"/>
                <w:sz w:val="24"/>
                <w:szCs w:val="24"/>
                <w:u w:val="none" w:color="auto"/>
              </w:rPr>
            </w:pPr>
            <w:r>
              <w:rPr>
                <w:rFonts w:hint="eastAsia" w:ascii="Times New Roman" w:hAnsi="Times New Roman" w:eastAsia="宋体" w:cs="宋体"/>
                <w:b/>
                <w:bCs/>
                <w:color w:val="000000"/>
                <w:spacing w:val="0"/>
                <w:sz w:val="24"/>
                <w:szCs w:val="24"/>
                <w:u w:val="none" w:color="auto"/>
                <w:lang w:val="en-US" w:eastAsia="zh-CN"/>
              </w:rPr>
              <w:t>2</w:t>
            </w:r>
            <w:r>
              <w:rPr>
                <w:rFonts w:ascii="Times New Roman" w:hAnsi="Times New Roman" w:eastAsia="宋体" w:cs="宋体"/>
                <w:b/>
                <w:bCs/>
                <w:color w:val="000000"/>
                <w:spacing w:val="0"/>
                <w:sz w:val="24"/>
                <w:szCs w:val="24"/>
                <w:u w:val="none" w:color="auto"/>
              </w:rPr>
              <w:t>、</w:t>
            </w:r>
            <w:r>
              <w:rPr>
                <w:rFonts w:ascii="Times New Roman" w:hAnsi="Times New Roman" w:eastAsia="宋体" w:cs="Times New Roman"/>
                <w:b/>
                <w:bCs/>
                <w:spacing w:val="0"/>
                <w:kern w:val="0"/>
                <w:sz w:val="24"/>
                <w:szCs w:val="24"/>
                <w:u w:val="none" w:color="auto"/>
                <w:lang w:val="en-US" w:eastAsia="zh-CN" w:bidi="ar-SA"/>
              </w:rPr>
              <w:t>“三线一单”符合性分析</w:t>
            </w:r>
          </w:p>
          <w:p w14:paraId="4F0DBB0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spacing w:val="0"/>
                <w:sz w:val="24"/>
                <w:szCs w:val="24"/>
                <w:u w:val="none" w:color="auto"/>
              </w:rPr>
            </w:pPr>
            <w:r>
              <w:rPr>
                <w:rFonts w:hint="eastAsia" w:ascii="Times New Roman" w:hAnsi="Times New Roman" w:eastAsia="宋体" w:cs="宋体"/>
                <w:color w:val="000000"/>
                <w:spacing w:val="0"/>
                <w:sz w:val="24"/>
                <w:szCs w:val="24"/>
                <w:u w:val="none" w:color="auto"/>
              </w:rPr>
              <w:t>三线一单</w:t>
            </w:r>
            <w:r>
              <w:rPr>
                <w:rFonts w:ascii="Times New Roman" w:hAnsi="Times New Roman" w:eastAsia="宋体" w:cs="宋体"/>
                <w:color w:val="000000"/>
                <w:spacing w:val="0"/>
                <w:sz w:val="24"/>
                <w:szCs w:val="24"/>
                <w:u w:val="none" w:color="auto"/>
              </w:rPr>
              <w:t>即为生态保护红线、资源利用上线、环境质量底线、环境准入清单。</w:t>
            </w:r>
          </w:p>
          <w:p w14:paraId="60F62B49">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spacing w:val="0"/>
                <w:kern w:val="0"/>
                <w:sz w:val="21"/>
                <w:szCs w:val="21"/>
                <w:u w:val="none" w:color="auto"/>
              </w:rPr>
            </w:pPr>
            <w:r>
              <w:rPr>
                <w:rFonts w:ascii="Times New Roman" w:hAnsi="Times New Roman" w:eastAsia="宋体"/>
                <w:b/>
                <w:bCs/>
                <w:color w:val="000000"/>
                <w:spacing w:val="0"/>
                <w:kern w:val="0"/>
                <w:sz w:val="21"/>
                <w:szCs w:val="21"/>
                <w:u w:val="none" w:color="auto"/>
              </w:rPr>
              <w:t>表</w:t>
            </w:r>
            <w:r>
              <w:rPr>
                <w:rFonts w:hint="eastAsia" w:ascii="Times New Roman" w:hAnsi="Times New Roman" w:eastAsia="宋体"/>
                <w:b/>
                <w:bCs/>
                <w:color w:val="000000"/>
                <w:spacing w:val="0"/>
                <w:kern w:val="0"/>
                <w:sz w:val="21"/>
                <w:szCs w:val="21"/>
                <w:u w:val="none" w:color="auto"/>
                <w:lang w:val="en-US" w:eastAsia="zh-CN"/>
              </w:rPr>
              <w:t xml:space="preserve">1-1 </w:t>
            </w:r>
            <w:r>
              <w:rPr>
                <w:rFonts w:ascii="Times New Roman" w:hAnsi="Times New Roman" w:eastAsia="宋体"/>
                <w:b/>
                <w:bCs/>
                <w:color w:val="000000"/>
                <w:spacing w:val="0"/>
                <w:kern w:val="0"/>
                <w:sz w:val="21"/>
                <w:szCs w:val="21"/>
                <w:u w:val="none" w:color="auto"/>
              </w:rPr>
              <w:t>项目符合性分析</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1"/>
              <w:gridCol w:w="5844"/>
              <w:gridCol w:w="813"/>
            </w:tblGrid>
            <w:tr w14:paraId="2834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14:paraId="35BD92F4">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hint="eastAsia" w:ascii="Times New Roman" w:hAnsi="Times New Roman" w:eastAsia="宋体" w:cs="宋体"/>
                      <w:b w:val="0"/>
                      <w:bCs/>
                      <w:color w:val="000000"/>
                      <w:spacing w:val="0"/>
                      <w:kern w:val="0"/>
                      <w:sz w:val="21"/>
                      <w:szCs w:val="21"/>
                      <w:u w:val="none" w:color="auto"/>
                    </w:rPr>
                    <w:t>内容</w:t>
                  </w:r>
                </w:p>
              </w:tc>
              <w:tc>
                <w:tcPr>
                  <w:tcW w:w="6156" w:type="dxa"/>
                  <w:noWrap w:val="0"/>
                  <w:vAlign w:val="center"/>
                </w:tcPr>
                <w:p w14:paraId="621C7098">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ascii="Times New Roman" w:hAnsi="Times New Roman" w:eastAsia="宋体" w:cs="宋体"/>
                      <w:b w:val="0"/>
                      <w:bCs/>
                      <w:color w:val="000000"/>
                      <w:spacing w:val="0"/>
                      <w:sz w:val="21"/>
                      <w:szCs w:val="21"/>
                      <w:u w:val="none" w:color="auto"/>
                    </w:rPr>
                    <w:t>符合性分析</w:t>
                  </w:r>
                </w:p>
              </w:tc>
              <w:tc>
                <w:tcPr>
                  <w:tcW w:w="855" w:type="dxa"/>
                  <w:noWrap w:val="0"/>
                  <w:vAlign w:val="center"/>
                </w:tcPr>
                <w:p w14:paraId="1B667124">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ascii="Times New Roman" w:hAnsi="Times New Roman" w:eastAsia="宋体" w:cs="宋体"/>
                      <w:b w:val="0"/>
                      <w:bCs/>
                      <w:color w:val="000000"/>
                      <w:spacing w:val="0"/>
                      <w:sz w:val="21"/>
                      <w:szCs w:val="21"/>
                      <w:u w:val="none" w:color="auto"/>
                    </w:rPr>
                    <w:t>是否符合</w:t>
                  </w:r>
                </w:p>
              </w:tc>
            </w:tr>
            <w:tr w14:paraId="1BBD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14:paraId="372B730C">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ascii="Times New Roman" w:hAnsi="Times New Roman" w:eastAsia="宋体" w:cs="宋体"/>
                      <w:b w:val="0"/>
                      <w:bCs/>
                      <w:color w:val="000000"/>
                      <w:spacing w:val="0"/>
                      <w:sz w:val="21"/>
                      <w:szCs w:val="21"/>
                      <w:u w:val="none" w:color="auto"/>
                    </w:rPr>
                    <w:t>生态保护红线</w:t>
                  </w:r>
                </w:p>
              </w:tc>
              <w:tc>
                <w:tcPr>
                  <w:tcW w:w="6156" w:type="dxa"/>
                  <w:noWrap w:val="0"/>
                  <w:vAlign w:val="center"/>
                </w:tcPr>
                <w:p w14:paraId="26377F84">
                  <w:pPr>
                    <w:pStyle w:val="14"/>
                    <w:keepNext w:val="0"/>
                    <w:keepLines w:val="0"/>
                    <w:widowControl/>
                    <w:suppressLineNumbers w:val="0"/>
                    <w:spacing w:before="0" w:beforeAutospacing="0" w:after="0" w:afterAutospacing="0"/>
                    <w:ind w:left="0" w:right="0"/>
                    <w:jc w:val="left"/>
                    <w:rPr>
                      <w:rFonts w:hint="eastAsia" w:ascii="Times New Roman" w:hAnsi="Times New Roman" w:eastAsia="宋体" w:cs="宋体"/>
                      <w:b w:val="0"/>
                      <w:bCs/>
                      <w:color w:val="000000"/>
                      <w:spacing w:val="0"/>
                      <w:sz w:val="21"/>
                      <w:szCs w:val="21"/>
                      <w:u w:val="none" w:color="auto"/>
                      <w:lang w:eastAsia="zh-CN"/>
                    </w:rPr>
                  </w:pPr>
                  <w:r>
                    <w:rPr>
                      <w:rFonts w:hint="eastAsia" w:ascii="Times New Roman" w:hAnsi="Times New Roman" w:eastAsia="宋体" w:cs="宋体"/>
                      <w:b w:val="0"/>
                      <w:bCs/>
                      <w:color w:val="000000"/>
                      <w:spacing w:val="0"/>
                      <w:sz w:val="21"/>
                      <w:szCs w:val="21"/>
                      <w:highlight w:val="none"/>
                      <w:u w:val="none" w:color="auto"/>
                      <w:lang w:eastAsia="zh-CN"/>
                    </w:rPr>
                    <w:t>株洲市</w:t>
                  </w:r>
                  <w:r>
                    <w:rPr>
                      <w:rFonts w:hint="eastAsia" w:ascii="宋体" w:hAnsi="宋体" w:cs="宋体"/>
                      <w:b w:val="0"/>
                      <w:bCs w:val="0"/>
                      <w:color w:val="000000"/>
                      <w:sz w:val="21"/>
                      <w:szCs w:val="21"/>
                      <w:highlight w:val="none"/>
                      <w:u w:val="none" w:color="auto"/>
                      <w:lang w:eastAsia="zh-CN"/>
                    </w:rPr>
                    <w:t>茶陵县</w:t>
                  </w:r>
                  <w:r>
                    <w:rPr>
                      <w:rFonts w:hint="eastAsia" w:ascii="宋体" w:hAnsi="宋体" w:eastAsia="宋体" w:cs="宋体"/>
                      <w:b w:val="0"/>
                      <w:bCs w:val="0"/>
                      <w:color w:val="000000"/>
                      <w:sz w:val="21"/>
                      <w:szCs w:val="21"/>
                      <w:highlight w:val="none"/>
                      <w:u w:val="none" w:color="auto"/>
                      <w:lang w:val="en-US" w:eastAsia="zh-CN"/>
                    </w:rPr>
                    <w:t>湖口镇浣溪由义村</w:t>
                  </w:r>
                  <w:r>
                    <w:rPr>
                      <w:rFonts w:hint="eastAsia" w:ascii="Times New Roman" w:hAnsi="Times New Roman" w:eastAsia="宋体" w:cs="Times New Roman"/>
                      <w:b w:val="0"/>
                      <w:bCs/>
                      <w:spacing w:val="0"/>
                      <w:kern w:val="0"/>
                      <w:sz w:val="21"/>
                      <w:szCs w:val="21"/>
                      <w:u w:val="none" w:color="auto"/>
                      <w:lang w:eastAsia="zh-CN"/>
                    </w:rPr>
                    <w:t>不涉及被划入的生态红线内的管控区域。因此，</w:t>
                  </w:r>
                  <w:r>
                    <w:rPr>
                      <w:rFonts w:ascii="Times New Roman" w:hAnsi="Times New Roman" w:eastAsia="宋体" w:cs="宋体"/>
                      <w:b w:val="0"/>
                      <w:bCs/>
                      <w:color w:val="000000"/>
                      <w:spacing w:val="0"/>
                      <w:sz w:val="21"/>
                      <w:szCs w:val="21"/>
                      <w:u w:val="none" w:color="auto"/>
                    </w:rPr>
                    <w:t>本项目不在生态保护红线内，符合生态保护红线要求。</w:t>
                  </w:r>
                </w:p>
              </w:tc>
              <w:tc>
                <w:tcPr>
                  <w:tcW w:w="855" w:type="dxa"/>
                  <w:noWrap w:val="0"/>
                  <w:vAlign w:val="center"/>
                </w:tcPr>
                <w:p w14:paraId="7D4D0645">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hint="eastAsia" w:ascii="Times New Roman" w:hAnsi="Times New Roman" w:eastAsia="宋体" w:cs="宋体"/>
                      <w:b w:val="0"/>
                      <w:bCs/>
                      <w:color w:val="000000"/>
                      <w:spacing w:val="0"/>
                      <w:kern w:val="0"/>
                      <w:sz w:val="21"/>
                      <w:szCs w:val="21"/>
                      <w:u w:val="none" w:color="auto"/>
                    </w:rPr>
                    <w:t>符合</w:t>
                  </w:r>
                </w:p>
              </w:tc>
            </w:tr>
            <w:tr w14:paraId="33E0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14:paraId="3A2599DE">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ascii="Times New Roman" w:hAnsi="Times New Roman" w:eastAsia="宋体" w:cs="宋体"/>
                      <w:b w:val="0"/>
                      <w:bCs/>
                      <w:color w:val="000000"/>
                      <w:spacing w:val="0"/>
                      <w:sz w:val="21"/>
                      <w:szCs w:val="21"/>
                      <w:u w:val="none" w:color="auto"/>
                    </w:rPr>
                    <w:t>资源利用上线</w:t>
                  </w:r>
                </w:p>
              </w:tc>
              <w:tc>
                <w:tcPr>
                  <w:tcW w:w="6156" w:type="dxa"/>
                  <w:noWrap w:val="0"/>
                  <w:vAlign w:val="center"/>
                </w:tcPr>
                <w:p w14:paraId="346D8B43">
                  <w:pPr>
                    <w:keepNext w:val="0"/>
                    <w:keepLines w:val="0"/>
                    <w:pageBreakBefore w:val="0"/>
                    <w:widowControl w:val="0"/>
                    <w:kinsoku/>
                    <w:wordWrap/>
                    <w:overflowPunct/>
                    <w:topLinePunct w:val="0"/>
                    <w:bidi w:val="0"/>
                    <w:ind w:left="0" w:right="0"/>
                    <w:jc w:val="center"/>
                    <w:textAlignment w:val="auto"/>
                    <w:rPr>
                      <w:rFonts w:hint="eastAsia" w:ascii="Times New Roman" w:hAnsi="Times New Roman" w:eastAsia="宋体" w:cs="宋体"/>
                      <w:b w:val="0"/>
                      <w:bCs/>
                      <w:color w:val="000000"/>
                      <w:spacing w:val="0"/>
                      <w:sz w:val="21"/>
                      <w:szCs w:val="21"/>
                      <w:u w:val="none" w:color="auto"/>
                      <w:lang w:eastAsia="zh-CN"/>
                    </w:rPr>
                  </w:pPr>
                  <w:r>
                    <w:rPr>
                      <w:rFonts w:ascii="Times New Roman" w:hAnsi="Times New Roman" w:eastAsia="宋体"/>
                      <w:b w:val="0"/>
                      <w:bCs/>
                      <w:spacing w:val="0"/>
                      <w:sz w:val="21"/>
                      <w:szCs w:val="21"/>
                      <w:u w:val="none" w:color="auto"/>
                    </w:rPr>
                    <w:t>本项目属于医疗卫生服务机构，运营过程中所使用的能源主要为电能、水资源，能耗水平较低</w:t>
                  </w:r>
                  <w:r>
                    <w:rPr>
                      <w:rFonts w:hint="eastAsia"/>
                      <w:b w:val="0"/>
                      <w:bCs/>
                      <w:spacing w:val="0"/>
                      <w:sz w:val="21"/>
                      <w:szCs w:val="21"/>
                      <w:u w:val="none" w:color="auto"/>
                      <w:lang w:eastAsia="zh-CN"/>
                    </w:rPr>
                    <w:t>。</w:t>
                  </w:r>
                </w:p>
              </w:tc>
              <w:tc>
                <w:tcPr>
                  <w:tcW w:w="855" w:type="dxa"/>
                  <w:noWrap w:val="0"/>
                  <w:vAlign w:val="center"/>
                </w:tcPr>
                <w:p w14:paraId="6FABFF82">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hint="eastAsia" w:ascii="Times New Roman" w:hAnsi="Times New Roman" w:eastAsia="宋体" w:cs="宋体"/>
                      <w:b w:val="0"/>
                      <w:bCs/>
                      <w:color w:val="000000"/>
                      <w:spacing w:val="0"/>
                      <w:kern w:val="0"/>
                      <w:sz w:val="21"/>
                      <w:szCs w:val="21"/>
                      <w:u w:val="none" w:color="auto"/>
                    </w:rPr>
                    <w:t>符合</w:t>
                  </w:r>
                </w:p>
              </w:tc>
            </w:tr>
            <w:tr w14:paraId="02FC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14:paraId="608EE005">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highlight w:val="yellow"/>
                      <w:u w:val="none" w:color="auto"/>
                    </w:rPr>
                  </w:pPr>
                  <w:r>
                    <w:rPr>
                      <w:rFonts w:ascii="Times New Roman" w:hAnsi="Times New Roman" w:eastAsia="宋体" w:cs="宋体"/>
                      <w:b w:val="0"/>
                      <w:bCs/>
                      <w:color w:val="000000"/>
                      <w:spacing w:val="0"/>
                      <w:sz w:val="21"/>
                      <w:szCs w:val="21"/>
                      <w:highlight w:val="none"/>
                      <w:u w:val="none" w:color="auto"/>
                    </w:rPr>
                    <w:t>环境质量底线</w:t>
                  </w:r>
                </w:p>
              </w:tc>
              <w:tc>
                <w:tcPr>
                  <w:tcW w:w="6156" w:type="dxa"/>
                  <w:noWrap w:val="0"/>
                  <w:vAlign w:val="center"/>
                </w:tcPr>
                <w:p w14:paraId="2F5AE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val="0"/>
                      <w:bCs/>
                      <w:color w:val="000000"/>
                      <w:spacing w:val="0"/>
                      <w:sz w:val="21"/>
                      <w:szCs w:val="21"/>
                      <w:highlight w:val="yellow"/>
                      <w:u w:val="none" w:color="auto"/>
                      <w:lang w:val="en-US" w:eastAsia="zh-CN"/>
                    </w:rPr>
                  </w:pPr>
                  <w:r>
                    <w:rPr>
                      <w:rFonts w:hint="eastAsia" w:ascii="Times New Roman" w:hAnsi="Times New Roman" w:cs="Times New Roman"/>
                      <w:kern w:val="0"/>
                      <w:sz w:val="21"/>
                      <w:szCs w:val="21"/>
                      <w:u w:val="none" w:color="auto"/>
                    </w:rPr>
                    <w:t>项目所在区域环境空气质量达到《环境空气质量标准》</w:t>
                  </w:r>
                  <w:r>
                    <w:rPr>
                      <w:rFonts w:hint="eastAsia" w:ascii="Times New Roman" w:hAnsi="Times New Roman" w:cs="Times New Roman"/>
                      <w:kern w:val="0"/>
                      <w:sz w:val="21"/>
                      <w:szCs w:val="21"/>
                      <w:u w:val="none" w:color="auto"/>
                      <w:lang w:eastAsia="zh-CN"/>
                    </w:rPr>
                    <w:t>(</w:t>
                  </w:r>
                  <w:r>
                    <w:rPr>
                      <w:rFonts w:hint="eastAsia" w:ascii="Times New Roman" w:hAnsi="Times New Roman" w:cs="Times New Roman"/>
                      <w:kern w:val="0"/>
                      <w:sz w:val="21"/>
                      <w:szCs w:val="21"/>
                      <w:u w:val="none" w:color="auto"/>
                    </w:rPr>
                    <w:t>GB3095-2012</w:t>
                  </w:r>
                  <w:r>
                    <w:rPr>
                      <w:rFonts w:hint="eastAsia" w:cs="Times New Roman"/>
                      <w:kern w:val="0"/>
                      <w:sz w:val="21"/>
                      <w:szCs w:val="21"/>
                      <w:u w:val="none" w:color="auto"/>
                      <w:lang w:eastAsia="zh-CN"/>
                    </w:rPr>
                    <w:t>）</w:t>
                  </w:r>
                  <w:r>
                    <w:rPr>
                      <w:rFonts w:hint="eastAsia" w:ascii="Times New Roman" w:hAnsi="Times New Roman" w:cs="Times New Roman"/>
                      <w:kern w:val="0"/>
                      <w:sz w:val="21"/>
                      <w:szCs w:val="21"/>
                      <w:u w:val="none" w:color="auto"/>
                    </w:rPr>
                    <w:t>及2018年修改单中二级标准要求</w:t>
                  </w:r>
                  <w:r>
                    <w:rPr>
                      <w:rFonts w:hint="eastAsia" w:cs="Times New Roman"/>
                      <w:kern w:val="0"/>
                      <w:sz w:val="21"/>
                      <w:szCs w:val="21"/>
                      <w:u w:val="none" w:color="auto"/>
                      <w:lang w:val="en-US" w:eastAsia="zh-CN"/>
                    </w:rPr>
                    <w:t>，</w:t>
                  </w:r>
                  <w:r>
                    <w:rPr>
                      <w:rFonts w:hint="eastAsia" w:ascii="Times New Roman" w:hAnsi="Times New Roman" w:cs="Times New Roman"/>
                      <w:kern w:val="0"/>
                      <w:sz w:val="21"/>
                      <w:szCs w:val="21"/>
                      <w:u w:val="none" w:color="auto"/>
                    </w:rPr>
                    <w:t>地表水环境</w:t>
                  </w:r>
                  <w:r>
                    <w:rPr>
                      <w:rFonts w:hint="eastAsia" w:ascii="Times New Roman" w:hAnsi="Times New Roman" w:cs="Times New Roman"/>
                      <w:kern w:val="0"/>
                      <w:sz w:val="21"/>
                      <w:szCs w:val="21"/>
                      <w:u w:val="none" w:color="auto"/>
                      <w:lang w:val="en-US" w:eastAsia="zh-CN"/>
                    </w:rPr>
                    <w:t>和声环境均可</w:t>
                  </w:r>
                  <w:r>
                    <w:rPr>
                      <w:rFonts w:hint="eastAsia" w:ascii="Times New Roman" w:hAnsi="Times New Roman" w:cs="Times New Roman"/>
                      <w:kern w:val="0"/>
                      <w:sz w:val="21"/>
                      <w:szCs w:val="21"/>
                      <w:u w:val="none" w:color="auto"/>
                    </w:rPr>
                    <w:t>满足相应的环境功能区划要求。</w:t>
                  </w:r>
                  <w:r>
                    <w:rPr>
                      <w:rFonts w:hint="eastAsia" w:ascii="Times New Roman" w:hAnsi="Times New Roman" w:cs="Times New Roman"/>
                      <w:kern w:val="0"/>
                      <w:sz w:val="21"/>
                      <w:szCs w:val="21"/>
                      <w:u w:val="none" w:color="auto"/>
                      <w:lang w:val="en-US" w:eastAsia="zh-CN"/>
                    </w:rPr>
                    <w:t>本项目在采取评价提出的污染防治措施前提下，对区域环境影响较小，不会降低区域环境质量等级，符合环境质量底线要求。</w:t>
                  </w:r>
                </w:p>
              </w:tc>
              <w:tc>
                <w:tcPr>
                  <w:tcW w:w="855" w:type="dxa"/>
                  <w:noWrap w:val="0"/>
                  <w:vAlign w:val="center"/>
                </w:tcPr>
                <w:p w14:paraId="7454AB78">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none" w:color="auto"/>
                    </w:rPr>
                  </w:pPr>
                  <w:r>
                    <w:rPr>
                      <w:rFonts w:hint="eastAsia" w:ascii="Times New Roman" w:hAnsi="Times New Roman" w:eastAsia="宋体" w:cs="宋体"/>
                      <w:b w:val="0"/>
                      <w:bCs/>
                      <w:color w:val="000000"/>
                      <w:spacing w:val="0"/>
                      <w:kern w:val="0"/>
                      <w:sz w:val="21"/>
                      <w:szCs w:val="21"/>
                      <w:u w:val="none" w:color="auto"/>
                    </w:rPr>
                    <w:t>符合</w:t>
                  </w:r>
                </w:p>
              </w:tc>
            </w:tr>
          </w:tbl>
          <w:p w14:paraId="78F0E0E6">
            <w:pPr>
              <w:keepNext w:val="0"/>
              <w:keepLines w:val="0"/>
              <w:pageBreakBefore w:val="0"/>
              <w:widowControl/>
              <w:suppressLineNumbers w:val="0"/>
              <w:kinsoku/>
              <w:wordWrap/>
              <w:overflowPunct/>
              <w:topLinePunct w:val="0"/>
              <w:autoSpaceDE/>
              <w:autoSpaceDN/>
              <w:bidi w:val="0"/>
              <w:adjustRightInd w:val="0"/>
              <w:snapToGrid w:val="0"/>
              <w:jc w:val="left"/>
              <w:textAlignment w:val="auto"/>
            </w:pPr>
            <w:r>
              <w:rPr>
                <w:rFonts w:hint="eastAsia" w:ascii="Times New Roman" w:hAnsi="Times New Roman" w:eastAsia="宋体" w:cs="宋体"/>
                <w:color w:val="000000" w:themeColor="text1"/>
                <w:spacing w:val="0"/>
                <w:sz w:val="24"/>
                <w:szCs w:val="24"/>
                <w:u w:val="none" w:color="auto"/>
                <w14:textFill>
                  <w14:solidFill>
                    <w14:schemeClr w14:val="tx1"/>
                  </w14:solidFill>
                </w14:textFill>
              </w:rPr>
              <w:t>根据《</w:t>
            </w:r>
            <w:r>
              <w:rPr>
                <w:rFonts w:hint="eastAsia" w:ascii="Times New Roman" w:hAnsi="Times New Roman" w:eastAsia="宋体" w:cs="宋体"/>
                <w:color w:val="000000" w:themeColor="text1"/>
                <w:spacing w:val="0"/>
                <w:sz w:val="24"/>
                <w:szCs w:val="24"/>
                <w:u w:val="none" w:color="auto"/>
                <w:lang w:eastAsia="zh-CN"/>
                <w14:textFill>
                  <w14:solidFill>
                    <w14:schemeClr w14:val="tx1"/>
                  </w14:solidFill>
                </w14:textFill>
              </w:rPr>
              <w:t>株洲</w:t>
            </w:r>
            <w:r>
              <w:rPr>
                <w:rFonts w:hint="eastAsia" w:ascii="Times New Roman" w:hAnsi="Times New Roman" w:eastAsia="宋体" w:cs="宋体"/>
                <w:color w:val="000000" w:themeColor="text1"/>
                <w:spacing w:val="0"/>
                <w:sz w:val="24"/>
                <w:szCs w:val="24"/>
                <w:u w:val="none" w:color="auto"/>
                <w14:textFill>
                  <w14:solidFill>
                    <w14:schemeClr w14:val="tx1"/>
                  </w14:solidFill>
                </w14:textFill>
              </w:rPr>
              <w:t>市人民政府关于实施</w:t>
            </w:r>
            <w:r>
              <w:rPr>
                <w:rFonts w:ascii="Times New Roman" w:hAnsi="Times New Roman" w:eastAsia="宋体"/>
                <w:color w:val="000000" w:themeColor="text1"/>
                <w:spacing w:val="0"/>
                <w:sz w:val="24"/>
                <w:szCs w:val="24"/>
                <w:u w:val="none" w:color="auto"/>
                <w14:textFill>
                  <w14:solidFill>
                    <w14:schemeClr w14:val="tx1"/>
                  </w14:solidFill>
                </w14:textFill>
              </w:rPr>
              <w:t>“</w:t>
            </w:r>
            <w:r>
              <w:rPr>
                <w:rFonts w:hint="eastAsia" w:ascii="Times New Roman" w:hAnsi="Times New Roman" w:eastAsia="宋体" w:cs="宋体"/>
                <w:color w:val="000000" w:themeColor="text1"/>
                <w:spacing w:val="0"/>
                <w:sz w:val="24"/>
                <w:szCs w:val="24"/>
                <w:u w:val="none" w:color="auto"/>
                <w14:textFill>
                  <w14:solidFill>
                    <w14:schemeClr w14:val="tx1"/>
                  </w14:solidFill>
                </w14:textFill>
              </w:rPr>
              <w:t>三线一单</w:t>
            </w:r>
            <w:r>
              <w:rPr>
                <w:rFonts w:ascii="Times New Roman" w:hAnsi="Times New Roman" w:eastAsia="宋体"/>
                <w:color w:val="000000" w:themeColor="text1"/>
                <w:spacing w:val="0"/>
                <w:sz w:val="24"/>
                <w:szCs w:val="24"/>
                <w:u w:val="none" w:color="auto"/>
                <w14:textFill>
                  <w14:solidFill>
                    <w14:schemeClr w14:val="tx1"/>
                  </w14:solidFill>
                </w14:textFill>
              </w:rPr>
              <w:t>”</w:t>
            </w:r>
            <w:r>
              <w:rPr>
                <w:rFonts w:hint="eastAsia" w:ascii="Times New Roman" w:hAnsi="Times New Roman" w:eastAsia="宋体" w:cs="宋体"/>
                <w:color w:val="000000" w:themeColor="text1"/>
                <w:spacing w:val="0"/>
                <w:sz w:val="24"/>
                <w:szCs w:val="24"/>
                <w:u w:val="none" w:color="auto"/>
                <w14:textFill>
                  <w14:solidFill>
                    <w14:schemeClr w14:val="tx1"/>
                  </w14:solidFill>
                </w14:textFill>
              </w:rPr>
              <w:t>生态环境分区管控的意见》</w:t>
            </w:r>
            <w:r>
              <w:rPr>
                <w:rFonts w:hint="eastAsia" w:cs="宋体"/>
                <w:color w:val="000000" w:themeColor="text1"/>
                <w:spacing w:val="0"/>
                <w:sz w:val="24"/>
                <w:szCs w:val="24"/>
                <w:u w:val="none" w:color="auto"/>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u w:val="none" w:color="auto"/>
                <w:lang w:eastAsia="zh-CN"/>
                <w14:textFill>
                  <w14:solidFill>
                    <w14:schemeClr w14:val="tx1"/>
                  </w14:solidFill>
                </w14:textFill>
              </w:rPr>
              <w:t>株</w:t>
            </w:r>
            <w:r>
              <w:rPr>
                <w:rFonts w:hint="eastAsia" w:ascii="Times New Roman" w:hAnsi="Times New Roman" w:eastAsia="宋体" w:cs="宋体"/>
                <w:color w:val="000000" w:themeColor="text1"/>
                <w:spacing w:val="0"/>
                <w:sz w:val="24"/>
                <w:szCs w:val="24"/>
                <w:u w:val="none" w:color="auto"/>
                <w14:textFill>
                  <w14:solidFill>
                    <w14:schemeClr w14:val="tx1"/>
                  </w14:solidFill>
                </w14:textFill>
              </w:rPr>
              <w:t>政发〔</w:t>
            </w:r>
            <w:r>
              <w:rPr>
                <w:rFonts w:ascii="Times New Roman" w:hAnsi="Times New Roman" w:eastAsia="宋体"/>
                <w:color w:val="000000" w:themeColor="text1"/>
                <w:spacing w:val="0"/>
                <w:sz w:val="24"/>
                <w:szCs w:val="24"/>
                <w:u w:val="none" w:color="auto"/>
                <w14:textFill>
                  <w14:solidFill>
                    <w14:schemeClr w14:val="tx1"/>
                  </w14:solidFill>
                </w14:textFill>
              </w:rPr>
              <w:t>2020</w:t>
            </w:r>
            <w:r>
              <w:rPr>
                <w:rFonts w:hint="eastAsia" w:ascii="Times New Roman" w:hAnsi="Times New Roman" w:eastAsia="宋体" w:cs="宋体"/>
                <w:color w:val="000000" w:themeColor="text1"/>
                <w:spacing w:val="0"/>
                <w:sz w:val="24"/>
                <w:szCs w:val="24"/>
                <w:u w:val="none" w:color="auto"/>
                <w14:textFill>
                  <w14:solidFill>
                    <w14:schemeClr w14:val="tx1"/>
                  </w14:solidFill>
                </w14:textFill>
              </w:rPr>
              <w:t>〕</w:t>
            </w:r>
            <w:r>
              <w:rPr>
                <w:rFonts w:hint="eastAsia" w:ascii="Times New Roman" w:hAnsi="Times New Roman" w:eastAsia="宋体" w:cs="宋体"/>
                <w:color w:val="000000" w:themeColor="text1"/>
                <w:spacing w:val="0"/>
                <w:sz w:val="24"/>
                <w:szCs w:val="24"/>
                <w:u w:val="none" w:color="auto"/>
                <w:lang w:val="en-US" w:eastAsia="zh-CN"/>
                <w14:textFill>
                  <w14:solidFill>
                    <w14:schemeClr w14:val="tx1"/>
                  </w14:solidFill>
                </w14:textFill>
              </w:rPr>
              <w:t>4</w:t>
            </w:r>
            <w:r>
              <w:rPr>
                <w:rFonts w:hint="eastAsia" w:ascii="Times New Roman" w:hAnsi="Times New Roman" w:eastAsia="宋体" w:cs="宋体"/>
                <w:color w:val="000000" w:themeColor="text1"/>
                <w:spacing w:val="0"/>
                <w:sz w:val="24"/>
                <w:szCs w:val="24"/>
                <w:u w:val="none" w:color="auto"/>
                <w14:textFill>
                  <w14:solidFill>
                    <w14:schemeClr w14:val="tx1"/>
                  </w14:solidFill>
                </w14:textFill>
              </w:rPr>
              <w:t>号</w:t>
            </w:r>
            <w:r>
              <w:rPr>
                <w:rFonts w:hint="eastAsia" w:cs="宋体"/>
                <w:color w:val="000000" w:themeColor="text1"/>
                <w:spacing w:val="0"/>
                <w:sz w:val="24"/>
                <w:szCs w:val="24"/>
                <w:u w:val="none" w:color="auto"/>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u w:val="none" w:color="auto"/>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highlight w:val="none"/>
                <w:u w:val="none" w:color="auto"/>
                <w:lang w:eastAsia="zh-CN"/>
                <w14:textFill>
                  <w14:solidFill>
                    <w14:schemeClr w14:val="tx1"/>
                  </w14:solidFill>
                </w14:textFill>
              </w:rPr>
              <w:t>本项目位于</w:t>
            </w:r>
            <w:r>
              <w:rPr>
                <w:rFonts w:ascii="Helvetica" w:hAnsi="Helvetica" w:eastAsia="Helvetica" w:cs="Helvetica"/>
                <w:kern w:val="0"/>
                <w:sz w:val="24"/>
                <w:szCs w:val="24"/>
                <w:lang w:val="en-US" w:eastAsia="zh-CN" w:bidi="ar"/>
              </w:rPr>
              <w:t>茶</w:t>
            </w:r>
            <w:r>
              <w:rPr>
                <w:rFonts w:hint="eastAsia" w:ascii="Times New Roman" w:hAnsi="Times New Roman" w:eastAsia="宋体" w:cs="宋体"/>
                <w:color w:val="000000" w:themeColor="text1"/>
                <w:spacing w:val="0"/>
                <w:sz w:val="24"/>
                <w:szCs w:val="24"/>
                <w:highlight w:val="none"/>
                <w:u w:val="none" w:color="auto"/>
                <w:lang w:val="en-US" w:eastAsia="zh-CN"/>
                <w14:textFill>
                  <w14:solidFill>
                    <w14:schemeClr w14:val="tx1"/>
                  </w14:solidFill>
                </w14:textFill>
              </w:rPr>
              <w:t>陵县湖口镇浣溪由义村</w:t>
            </w:r>
            <w:r>
              <w:rPr>
                <w:rFonts w:hint="eastAsia" w:ascii="Times New Roman" w:hAnsi="Times New Roman" w:eastAsia="宋体" w:cs="宋体"/>
                <w:color w:val="000000" w:themeColor="text1"/>
                <w:spacing w:val="0"/>
                <w:kern w:val="0"/>
                <w:sz w:val="24"/>
                <w:szCs w:val="24"/>
                <w:u w:val="none" w:color="auto"/>
                <w:lang w:eastAsia="zh-CN"/>
                <w14:textFill>
                  <w14:solidFill>
                    <w14:schemeClr w14:val="tx1"/>
                  </w14:solidFill>
                </w14:textFill>
              </w:rPr>
              <w:t>，属于</w:t>
            </w:r>
            <w:r>
              <w:rPr>
                <w:rFonts w:hint="eastAsia" w:ascii="Times New Roman" w:hAnsi="Times New Roman" w:eastAsia="宋体" w:cs="宋体"/>
                <w:color w:val="000000" w:themeColor="text1"/>
                <w:spacing w:val="0"/>
                <w:sz w:val="24"/>
                <w:szCs w:val="24"/>
                <w:highlight w:val="none"/>
                <w:u w:val="none" w:color="auto"/>
                <w:lang w:val="en-US" w:eastAsia="zh-CN"/>
                <w14:textFill>
                  <w14:solidFill>
                    <w14:schemeClr w14:val="tx1"/>
                  </w14:solidFill>
                </w14:textFill>
              </w:rPr>
              <w:t>优先保护单元</w:t>
            </w:r>
            <w:r>
              <w:rPr>
                <w:rFonts w:hint="eastAsia" w:ascii="Times New Roman" w:hAnsi="Times New Roman" w:eastAsia="宋体" w:cs="宋体"/>
                <w:color w:val="000000" w:themeColor="text1"/>
                <w:spacing w:val="0"/>
                <w:kern w:val="0"/>
                <w:sz w:val="24"/>
                <w:szCs w:val="24"/>
                <w:u w:val="none" w:color="auto"/>
                <w:lang w:eastAsia="zh-CN"/>
                <w14:textFill>
                  <w14:solidFill>
                    <w14:schemeClr w14:val="tx1"/>
                  </w14:solidFill>
                </w14:textFill>
              </w:rPr>
              <w:t>，</w:t>
            </w:r>
            <w:r>
              <w:rPr>
                <w:rFonts w:ascii="Times New Roman" w:hAnsi="Times New Roman" w:eastAsia="宋体" w:cs="宋体"/>
                <w:color w:val="000000" w:themeColor="text1"/>
                <w:spacing w:val="0"/>
                <w:sz w:val="24"/>
                <w:szCs w:val="24"/>
                <w:u w:val="none" w:color="auto"/>
                <w14:textFill>
                  <w14:solidFill>
                    <w14:schemeClr w14:val="tx1"/>
                  </w14:solidFill>
                </w14:textFill>
              </w:rPr>
              <w:t>环境管控单元编码</w:t>
            </w:r>
            <w:r>
              <w:rPr>
                <w:rFonts w:hint="eastAsia" w:ascii="Times New Roman" w:hAnsi="Times New Roman" w:eastAsia="宋体" w:cs="宋体"/>
                <w:color w:val="000000" w:themeColor="text1"/>
                <w:spacing w:val="0"/>
                <w:sz w:val="24"/>
                <w:szCs w:val="24"/>
                <w:u w:val="none" w:color="auto"/>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highlight w:val="none"/>
                <w:u w:val="none" w:color="auto"/>
                <w:lang w:val="en-US" w:eastAsia="zh-CN"/>
                <w14:textFill>
                  <w14:solidFill>
                    <w14:schemeClr w14:val="tx1"/>
                  </w14:solidFill>
                </w14:textFill>
              </w:rPr>
              <w:t>ZH43022410001</w:t>
            </w:r>
            <w:r>
              <w:rPr>
                <w:rFonts w:hint="eastAsia" w:eastAsia="宋体" w:cs="宋体"/>
                <w:color w:val="000000" w:themeColor="text1"/>
                <w:spacing w:val="0"/>
                <w:sz w:val="24"/>
                <w:szCs w:val="24"/>
                <w:highlight w:val="none"/>
                <w:u w:val="none" w:color="auto"/>
                <w:lang w:val="en-US" w:eastAsia="zh-CN"/>
                <w14:textFill>
                  <w14:solidFill>
                    <w14:schemeClr w14:val="tx1"/>
                  </w14:solidFill>
                </w14:textFill>
              </w:rPr>
              <w:t>，单元名称为</w:t>
            </w:r>
            <w:r>
              <w:rPr>
                <w:rFonts w:ascii="Times New Roman" w:hAnsi="Times New Roman" w:eastAsia="宋体" w:cs="宋体"/>
                <w:color w:val="000000" w:themeColor="text1"/>
                <w:spacing w:val="0"/>
                <w:sz w:val="24"/>
                <w:szCs w:val="24"/>
                <w:u w:val="none" w:color="auto"/>
                <w:lang w:val="en-US" w:eastAsia="zh-CN"/>
                <w14:textFill>
                  <w14:solidFill>
                    <w14:schemeClr w14:val="tx1"/>
                  </w14:solidFill>
                </w14:textFill>
              </w:rPr>
              <w:t>湖口镇/舲舫乡/桃坑乡</w:t>
            </w:r>
            <w:r>
              <w:rPr>
                <w:rFonts w:hint="eastAsia" w:ascii="Times New Roman" w:hAnsi="Times New Roman" w:eastAsia="宋体" w:cs="宋体"/>
                <w:color w:val="333333"/>
                <w:spacing w:val="0"/>
                <w:kern w:val="0"/>
                <w:sz w:val="24"/>
                <w:szCs w:val="24"/>
                <w:u w:val="none" w:color="auto"/>
                <w:lang w:val="en-US" w:eastAsia="zh-CN" w:bidi="ar"/>
              </w:rPr>
              <w:t>。</w:t>
            </w:r>
          </w:p>
          <w:p w14:paraId="26D397E9">
            <w:pPr>
              <w:pStyle w:val="14"/>
              <w:keepNext w:val="0"/>
              <w:keepLines w:val="0"/>
              <w:widowControl/>
              <w:suppressLineNumbers w:val="0"/>
              <w:spacing w:before="0" w:beforeAutospacing="0" w:after="0" w:afterAutospacing="0"/>
              <w:ind w:left="0" w:right="0"/>
              <w:jc w:val="left"/>
              <w:rPr>
                <w:rFonts w:ascii="Times New Roman" w:hAnsi="Times New Roman" w:eastAsia="宋体"/>
                <w:color w:val="000000" w:themeColor="text1"/>
                <w:spacing w:val="0"/>
                <w:sz w:val="24"/>
                <w:szCs w:val="24"/>
                <w:u w:val="none" w:color="auto"/>
                <w14:textFill>
                  <w14:solidFill>
                    <w14:schemeClr w14:val="tx1"/>
                  </w14:solidFill>
                </w14:textFill>
              </w:rPr>
            </w:pPr>
            <w:r>
              <w:rPr>
                <w:rFonts w:hint="eastAsia" w:ascii="Times New Roman" w:hAnsi="Times New Roman" w:eastAsia="宋体"/>
                <w:color w:val="000000" w:themeColor="text1"/>
                <w:spacing w:val="0"/>
                <w:sz w:val="24"/>
                <w:szCs w:val="24"/>
                <w:u w:val="none" w:color="auto"/>
                <w14:textFill>
                  <w14:solidFill>
                    <w14:schemeClr w14:val="tx1"/>
                  </w14:solidFill>
                </w14:textFill>
              </w:rPr>
              <w:t>管控要求如下：</w:t>
            </w:r>
          </w:p>
          <w:p w14:paraId="2FDC1901">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themeColor="text1"/>
                <w:spacing w:val="0"/>
                <w:kern w:val="0"/>
                <w:sz w:val="21"/>
                <w:szCs w:val="21"/>
                <w:u w:val="none" w:color="auto"/>
                <w14:textFill>
                  <w14:solidFill>
                    <w14:schemeClr w14:val="tx1"/>
                  </w14:solidFill>
                </w14:textFill>
              </w:rPr>
            </w:pPr>
            <w:r>
              <w:rPr>
                <w:rFonts w:ascii="Times New Roman" w:hAnsi="Times New Roman" w:eastAsia="宋体"/>
                <w:b/>
                <w:bCs/>
                <w:color w:val="000000" w:themeColor="text1"/>
                <w:spacing w:val="0"/>
                <w:kern w:val="0"/>
                <w:sz w:val="21"/>
                <w:szCs w:val="21"/>
                <w:u w:val="none" w:color="auto"/>
                <w14:textFill>
                  <w14:solidFill>
                    <w14:schemeClr w14:val="tx1"/>
                  </w14:solidFill>
                </w14:textFill>
              </w:rPr>
              <w:t>表</w:t>
            </w:r>
            <w:r>
              <w:rPr>
                <w:rFonts w:hint="eastAsia" w:ascii="Times New Roman" w:hAnsi="Times New Roman" w:eastAsia="宋体"/>
                <w:b/>
                <w:bCs/>
                <w:color w:val="000000" w:themeColor="text1"/>
                <w:spacing w:val="0"/>
                <w:kern w:val="0"/>
                <w:sz w:val="21"/>
                <w:szCs w:val="21"/>
                <w:u w:val="none" w:color="auto"/>
                <w:lang w:val="en-US" w:eastAsia="zh-CN"/>
                <w14:textFill>
                  <w14:solidFill>
                    <w14:schemeClr w14:val="tx1"/>
                  </w14:solidFill>
                </w14:textFill>
              </w:rPr>
              <w:t>1-</w:t>
            </w:r>
            <w:r>
              <w:rPr>
                <w:rFonts w:ascii="Times New Roman" w:hAnsi="Times New Roman" w:eastAsia="宋体"/>
                <w:b/>
                <w:bCs/>
                <w:color w:val="000000" w:themeColor="text1"/>
                <w:spacing w:val="0"/>
                <w:kern w:val="0"/>
                <w:sz w:val="21"/>
                <w:szCs w:val="21"/>
                <w:u w:val="none" w:color="auto"/>
                <w14:textFill>
                  <w14:solidFill>
                    <w14:schemeClr w14:val="tx1"/>
                  </w14:solidFill>
                </w14:textFill>
              </w:rPr>
              <w:t>2与相关环境保护文件的符合性</w:t>
            </w:r>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2797"/>
              <w:gridCol w:w="3316"/>
              <w:gridCol w:w="675"/>
            </w:tblGrid>
            <w:tr w14:paraId="7DAC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42" w:type="pct"/>
                  <w:vAlign w:val="center"/>
                </w:tcPr>
                <w:p w14:paraId="57012109">
                  <w:pPr>
                    <w:bidi w:val="0"/>
                    <w:jc w:val="center"/>
                    <w:rPr>
                      <w:rFonts w:ascii="Times New Roman" w:hAnsi="Times New Roman" w:eastAsia="宋体"/>
                      <w:sz w:val="21"/>
                      <w:szCs w:val="21"/>
                      <w:u w:val="none" w:color="auto"/>
                    </w:rPr>
                  </w:pPr>
                  <w:r>
                    <w:rPr>
                      <w:rFonts w:hint="eastAsia" w:ascii="Times New Roman" w:hAnsi="Times New Roman" w:eastAsia="宋体"/>
                      <w:sz w:val="21"/>
                      <w:szCs w:val="21"/>
                      <w:u w:val="none" w:color="auto"/>
                    </w:rPr>
                    <w:t>管控</w:t>
                  </w:r>
                </w:p>
                <w:p w14:paraId="44EB68C3">
                  <w:pPr>
                    <w:bidi w:val="0"/>
                    <w:jc w:val="center"/>
                    <w:rPr>
                      <w:rFonts w:ascii="Times New Roman" w:hAnsi="Times New Roman" w:eastAsia="宋体"/>
                      <w:sz w:val="21"/>
                      <w:szCs w:val="21"/>
                      <w:u w:val="none" w:color="auto"/>
                    </w:rPr>
                  </w:pPr>
                  <w:r>
                    <w:rPr>
                      <w:rFonts w:hint="eastAsia" w:ascii="Times New Roman" w:hAnsi="Times New Roman" w:eastAsia="宋体"/>
                      <w:sz w:val="21"/>
                      <w:szCs w:val="21"/>
                      <w:u w:val="none" w:color="auto"/>
                    </w:rPr>
                    <w:t>维度</w:t>
                  </w:r>
                </w:p>
              </w:tc>
              <w:tc>
                <w:tcPr>
                  <w:tcW w:w="1877" w:type="pct"/>
                  <w:vAlign w:val="center"/>
                </w:tcPr>
                <w:p w14:paraId="1F967D2F">
                  <w:pPr>
                    <w:bidi w:val="0"/>
                    <w:jc w:val="center"/>
                    <w:rPr>
                      <w:rFonts w:ascii="Times New Roman" w:hAnsi="Times New Roman" w:eastAsia="宋体"/>
                      <w:sz w:val="21"/>
                      <w:szCs w:val="21"/>
                      <w:u w:val="none" w:color="auto"/>
                    </w:rPr>
                  </w:pPr>
                  <w:r>
                    <w:rPr>
                      <w:rFonts w:hint="eastAsia" w:ascii="Times New Roman" w:hAnsi="Times New Roman" w:eastAsia="宋体"/>
                      <w:sz w:val="21"/>
                      <w:szCs w:val="21"/>
                      <w:u w:val="none" w:color="auto"/>
                    </w:rPr>
                    <w:t>管控要求</w:t>
                  </w:r>
                </w:p>
              </w:tc>
              <w:tc>
                <w:tcPr>
                  <w:tcW w:w="2225" w:type="pct"/>
                  <w:vAlign w:val="center"/>
                </w:tcPr>
                <w:p w14:paraId="748FBE36">
                  <w:pPr>
                    <w:bidi w:val="0"/>
                    <w:jc w:val="center"/>
                    <w:rPr>
                      <w:rFonts w:ascii="Times New Roman" w:hAnsi="Times New Roman" w:eastAsia="宋体"/>
                      <w:sz w:val="21"/>
                      <w:szCs w:val="21"/>
                      <w:u w:val="none" w:color="auto"/>
                    </w:rPr>
                  </w:pPr>
                  <w:r>
                    <w:rPr>
                      <w:rFonts w:hint="eastAsia" w:ascii="Times New Roman" w:hAnsi="Times New Roman" w:eastAsia="宋体"/>
                      <w:sz w:val="21"/>
                      <w:szCs w:val="21"/>
                      <w:u w:val="none" w:color="auto"/>
                    </w:rPr>
                    <w:t>本项目情况</w:t>
                  </w:r>
                </w:p>
              </w:tc>
              <w:tc>
                <w:tcPr>
                  <w:tcW w:w="453" w:type="pct"/>
                  <w:vAlign w:val="center"/>
                </w:tcPr>
                <w:p w14:paraId="471B5011">
                  <w:pPr>
                    <w:bidi w:val="0"/>
                    <w:jc w:val="center"/>
                    <w:rPr>
                      <w:rFonts w:hint="eastAsia" w:ascii="Times New Roman" w:hAnsi="Times New Roman" w:eastAsia="宋体"/>
                      <w:sz w:val="21"/>
                      <w:szCs w:val="21"/>
                      <w:u w:val="none" w:color="auto"/>
                      <w:lang w:val="en-US" w:eastAsia="zh-CN"/>
                    </w:rPr>
                  </w:pPr>
                  <w:r>
                    <w:rPr>
                      <w:rFonts w:hint="eastAsia"/>
                      <w:sz w:val="21"/>
                      <w:szCs w:val="21"/>
                      <w:u w:val="none" w:color="auto"/>
                      <w:lang w:val="en-US" w:eastAsia="zh-CN"/>
                    </w:rPr>
                    <w:t>是否符合</w:t>
                  </w:r>
                </w:p>
              </w:tc>
            </w:tr>
            <w:tr w14:paraId="317E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 w:type="pct"/>
                  <w:vAlign w:val="center"/>
                </w:tcPr>
                <w:p w14:paraId="5086F3E5">
                  <w:pPr>
                    <w:bidi w:val="0"/>
                    <w:jc w:val="center"/>
                    <w:rPr>
                      <w:rFonts w:ascii="Times New Roman" w:hAnsi="Times New Roman" w:eastAsia="宋体"/>
                      <w:sz w:val="21"/>
                      <w:szCs w:val="21"/>
                      <w:u w:val="none" w:color="auto"/>
                    </w:rPr>
                  </w:pPr>
                  <w:r>
                    <w:rPr>
                      <w:rFonts w:hint="eastAsia" w:ascii="Times New Roman" w:hAnsi="Times New Roman" w:eastAsia="宋体"/>
                      <w:sz w:val="21"/>
                      <w:szCs w:val="21"/>
                      <w:u w:val="none" w:color="auto"/>
                    </w:rPr>
                    <w:t>空间布局约束</w:t>
                  </w:r>
                </w:p>
              </w:tc>
              <w:tc>
                <w:tcPr>
                  <w:tcW w:w="1877" w:type="pct"/>
                  <w:vAlign w:val="center"/>
                </w:tcPr>
                <w:p w14:paraId="62D1A9C2">
                  <w:pPr>
                    <w:keepNext w:val="0"/>
                    <w:keepLines w:val="0"/>
                    <w:widowControl/>
                    <w:numPr>
                      <w:ilvl w:val="1"/>
                      <w:numId w:val="1"/>
                    </w:numPr>
                    <w:suppressLineNumbers w:val="0"/>
                    <w:jc w:val="left"/>
                    <w:rPr>
                      <w:rFonts w:hint="eastAsia"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东阳湖国家湿地公园范围内的土地开发利用必须满足自然保护地相关规划、条例要求。</w:t>
                  </w:r>
                </w:p>
                <w:p w14:paraId="5F0E4C31">
                  <w:pPr>
                    <w:keepNext w:val="0"/>
                    <w:keepLines w:val="0"/>
                    <w:widowControl/>
                    <w:numPr>
                      <w:ilvl w:val="0"/>
                      <w:numId w:val="0"/>
                    </w:numPr>
                    <w:suppressLineNumbers w:val="0"/>
                    <w:ind w:leftChars="0"/>
                    <w:jc w:val="left"/>
                    <w:rPr>
                      <w:rFonts w:hint="default" w:ascii="Times New Roman" w:hAnsi="Times New Roman" w:eastAsia="宋体"/>
                      <w:sz w:val="21"/>
                      <w:szCs w:val="21"/>
                      <w:u w:val="none" w:color="auto"/>
                      <w:lang w:val="en-US" w:eastAsia="zh-CN"/>
                    </w:rPr>
                  </w:pPr>
                  <w:r>
                    <w:rPr>
                      <w:rFonts w:hint="eastAsia" w:eastAsia="宋体"/>
                      <w:sz w:val="21"/>
                      <w:szCs w:val="21"/>
                      <w:u w:val="none" w:color="auto"/>
                      <w:lang w:val="en-US" w:eastAsia="zh-CN"/>
                    </w:rPr>
                    <w:t>（</w:t>
                  </w:r>
                  <w:r>
                    <w:rPr>
                      <w:rFonts w:hint="default" w:ascii="Times New Roman" w:hAnsi="Times New Roman" w:eastAsia="宋体"/>
                      <w:sz w:val="21"/>
                      <w:szCs w:val="21"/>
                      <w:u w:val="none" w:color="auto"/>
                      <w:lang w:val="en-US" w:eastAsia="zh-CN"/>
                    </w:rPr>
                    <w:t>1.2）洣水茶陵段中华倒刺鲃国家级水产种质资源保护区内从事修建水利工程、疏浚航道、建闸筑坝、勘探和开采矿产资源、港口建设等工程建设的，水产种质资源保护区外从事可能损害保护区功能的工程建设活动，应满足《水产种质资源保护区管理暂行办法（2016年修正本）》相关要求</w:t>
                  </w:r>
                  <w:r>
                    <w:rPr>
                      <w:rFonts w:hint="eastAsia" w:eastAsia="宋体"/>
                      <w:sz w:val="21"/>
                      <w:szCs w:val="21"/>
                      <w:u w:val="none" w:color="auto"/>
                      <w:lang w:val="en-US" w:eastAsia="zh-CN"/>
                    </w:rPr>
                    <w:t>。</w:t>
                  </w:r>
                  <w:r>
                    <w:rPr>
                      <w:rFonts w:hint="default" w:ascii="Times New Roman" w:hAnsi="Times New Roman" w:eastAsia="宋体"/>
                      <w:sz w:val="21"/>
                      <w:szCs w:val="21"/>
                      <w:u w:val="none" w:color="auto"/>
                      <w:lang w:val="en-US" w:eastAsia="zh-CN"/>
                    </w:rPr>
                    <w:t>（1.3）茶陵县舲舫乡舲舫自来水厂饮用水水源保护区、茶陵县湖口镇洣水支流浣溪自来水厂饮用水水源保护区范围内土地的开发利用必须满足饮用水水源保护区相关要求。</w:t>
                  </w:r>
                </w:p>
                <w:p w14:paraId="1ABF3139">
                  <w:pPr>
                    <w:keepNext w:val="0"/>
                    <w:keepLines w:val="0"/>
                    <w:widowControl/>
                    <w:numPr>
                      <w:ilvl w:val="0"/>
                      <w:numId w:val="0"/>
                    </w:numPr>
                    <w:suppressLineNumbers w:val="0"/>
                    <w:ind w:leftChars="0"/>
                    <w:jc w:val="left"/>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（1.4）上述饮用水源保护区，湖口镇、舲舫乡、桃坑乡的乡镇镇区居民点为畜禽养殖禁养区，禁养区内畜禽养殖场应全部关停或搬迁，严防已关停养殖场“反弹复建”。 其他区域新建畜禽养殖小区和养殖场选址需满足《株洲市茶陵县畜禽养殖“三区”划定方案（2019-2021年）》、《株洲市畜禽养殖污染防治条例》等法律法规规章相关选址要求。</w:t>
                  </w:r>
                </w:p>
                <w:p w14:paraId="37D9CA4B">
                  <w:pPr>
                    <w:keepNext w:val="0"/>
                    <w:keepLines w:val="0"/>
                    <w:widowControl/>
                    <w:numPr>
                      <w:ilvl w:val="0"/>
                      <w:numId w:val="0"/>
                    </w:numPr>
                    <w:suppressLineNumbers w:val="0"/>
                    <w:ind w:leftChars="0"/>
                    <w:jc w:val="left"/>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（1.5）沔水及一级支流、洮水水库及支流属于水产养殖限养区，应满足《株洲市养殖水域滩涂规划》（2018-2030 年）限养区相关规定。</w:t>
                  </w:r>
                </w:p>
                <w:p w14:paraId="21318D13">
                  <w:pPr>
                    <w:keepNext w:val="0"/>
                    <w:keepLines w:val="0"/>
                    <w:widowControl/>
                    <w:numPr>
                      <w:ilvl w:val="0"/>
                      <w:numId w:val="0"/>
                    </w:numPr>
                    <w:suppressLineNumbers w:val="0"/>
                    <w:ind w:leftChars="0"/>
                    <w:jc w:val="left"/>
                    <w:rPr>
                      <w:rFonts w:hint="eastAsia" w:eastAsia="宋体"/>
                      <w:sz w:val="21"/>
                      <w:szCs w:val="21"/>
                      <w:u w:val="none" w:color="auto"/>
                      <w:lang w:val="en-US" w:eastAsia="zh-CN"/>
                    </w:rPr>
                  </w:pPr>
                  <w:r>
                    <w:rPr>
                      <w:rFonts w:hint="default" w:ascii="Times New Roman" w:hAnsi="Times New Roman" w:eastAsia="宋体"/>
                      <w:sz w:val="21"/>
                      <w:szCs w:val="21"/>
                      <w:u w:val="none" w:color="auto"/>
                      <w:lang w:val="en-US" w:eastAsia="zh-CN"/>
                    </w:rPr>
                    <w:t>（1.6）湖口镇、舲舫乡、桃坑乡的大气弱扩散区严格控制涉及大气污染物排放的工业项目准入</w:t>
                  </w:r>
                  <w:r>
                    <w:rPr>
                      <w:rFonts w:hint="eastAsia" w:eastAsia="宋体"/>
                      <w:sz w:val="21"/>
                      <w:szCs w:val="21"/>
                      <w:u w:val="none" w:color="auto"/>
                      <w:lang w:val="en-US" w:eastAsia="zh-CN"/>
                    </w:rPr>
                    <w:t>。</w:t>
                  </w:r>
                </w:p>
                <w:p w14:paraId="7B6AC17B">
                  <w:pPr>
                    <w:keepNext w:val="0"/>
                    <w:keepLines w:val="0"/>
                    <w:widowControl/>
                    <w:numPr>
                      <w:ilvl w:val="0"/>
                      <w:numId w:val="0"/>
                    </w:numPr>
                    <w:suppressLineNumbers w:val="0"/>
                    <w:ind w:leftChars="0"/>
                    <w:jc w:val="left"/>
                  </w:pPr>
                  <w:r>
                    <w:rPr>
                      <w:rFonts w:hint="default" w:ascii="Times New Roman" w:hAnsi="Times New Roman" w:eastAsia="宋体"/>
                      <w:sz w:val="21"/>
                      <w:szCs w:val="21"/>
                      <w:u w:val="none" w:color="auto"/>
                      <w:lang w:val="en-US" w:eastAsia="zh-CN"/>
                    </w:rPr>
                    <w:t>（1.7）引进项目必须满足《茶陵县产业准入负面清单》、《产业结构调整指导目录》（2019年）、《市场准入负面清单》（2019年版）要求。</w:t>
                  </w:r>
                </w:p>
                <w:p w14:paraId="78CE89AA">
                  <w:pPr>
                    <w:bidi w:val="0"/>
                    <w:jc w:val="center"/>
                    <w:rPr>
                      <w:rFonts w:ascii="Times New Roman" w:hAnsi="Times New Roman" w:eastAsia="宋体"/>
                      <w:sz w:val="21"/>
                      <w:szCs w:val="21"/>
                      <w:u w:val="none" w:color="auto"/>
                    </w:rPr>
                  </w:pPr>
                </w:p>
              </w:tc>
              <w:tc>
                <w:tcPr>
                  <w:tcW w:w="2225" w:type="pct"/>
                  <w:vAlign w:val="center"/>
                </w:tcPr>
                <w:p w14:paraId="59DAD151">
                  <w:pPr>
                    <w:numPr>
                      <w:ilvl w:val="1"/>
                      <w:numId w:val="2"/>
                    </w:numPr>
                    <w:bidi w:val="0"/>
                    <w:jc w:val="center"/>
                    <w:rPr>
                      <w:rFonts w:hint="eastAsia"/>
                      <w:sz w:val="21"/>
                      <w:szCs w:val="21"/>
                      <w:u w:val="none" w:color="auto"/>
                      <w:lang w:val="en-US" w:eastAsia="zh-CN"/>
                    </w:rPr>
                  </w:pPr>
                  <w:r>
                    <w:rPr>
                      <w:rFonts w:hint="eastAsia" w:ascii="Times New Roman" w:hAnsi="Times New Roman" w:eastAsia="宋体"/>
                      <w:sz w:val="21"/>
                      <w:szCs w:val="21"/>
                      <w:u w:val="none" w:color="auto"/>
                      <w:lang w:val="en-US" w:eastAsia="zh-CN"/>
                    </w:rPr>
                    <w:t>本项目建设地点不</w:t>
                  </w:r>
                  <w:r>
                    <w:rPr>
                      <w:rFonts w:hint="eastAsia"/>
                      <w:sz w:val="21"/>
                      <w:szCs w:val="21"/>
                      <w:u w:val="none" w:color="auto"/>
                      <w:lang w:val="en-US" w:eastAsia="zh-CN"/>
                    </w:rPr>
                    <w:t>位于东阳湖国家湿地公</w:t>
                  </w:r>
                </w:p>
                <w:p w14:paraId="13413E29">
                  <w:pPr>
                    <w:numPr>
                      <w:ilvl w:val="0"/>
                      <w:numId w:val="0"/>
                    </w:numPr>
                    <w:bidi w:val="0"/>
                    <w:ind w:leftChars="0"/>
                    <w:jc w:val="both"/>
                    <w:rPr>
                      <w:rFonts w:hint="eastAsia"/>
                      <w:sz w:val="21"/>
                      <w:szCs w:val="21"/>
                      <w:u w:val="none" w:color="auto"/>
                      <w:lang w:val="en-US" w:eastAsia="zh-CN"/>
                    </w:rPr>
                  </w:pPr>
                  <w:r>
                    <w:rPr>
                      <w:rFonts w:hint="eastAsia"/>
                      <w:sz w:val="21"/>
                      <w:szCs w:val="21"/>
                      <w:u w:val="none" w:color="auto"/>
                      <w:lang w:val="en-US" w:eastAsia="zh-CN"/>
                    </w:rPr>
                    <w:t>园；</w:t>
                  </w:r>
                </w:p>
                <w:p w14:paraId="31B0F976">
                  <w:pPr>
                    <w:numPr>
                      <w:ilvl w:val="0"/>
                      <w:numId w:val="0"/>
                    </w:numPr>
                    <w:bidi w:val="0"/>
                    <w:ind w:leftChars="0"/>
                    <w:jc w:val="both"/>
                    <w:rPr>
                      <w:rFonts w:hint="eastAsia"/>
                      <w:sz w:val="21"/>
                      <w:szCs w:val="21"/>
                      <w:u w:val="none" w:color="auto"/>
                      <w:lang w:val="en-US" w:eastAsia="zh-CN"/>
                    </w:rPr>
                  </w:pPr>
                  <w:r>
                    <w:rPr>
                      <w:rFonts w:hint="eastAsia"/>
                      <w:sz w:val="21"/>
                      <w:szCs w:val="21"/>
                      <w:u w:val="none" w:color="auto"/>
                      <w:lang w:val="en-US" w:eastAsia="zh-CN"/>
                    </w:rPr>
                    <w:t>（1.2）本项目不位于</w:t>
                  </w:r>
                  <w:r>
                    <w:rPr>
                      <w:rFonts w:hint="default" w:ascii="Times New Roman" w:hAnsi="Times New Roman" w:eastAsia="宋体"/>
                      <w:sz w:val="21"/>
                      <w:szCs w:val="21"/>
                      <w:u w:val="none" w:color="auto"/>
                      <w:lang w:val="en-US" w:eastAsia="zh-CN"/>
                    </w:rPr>
                    <w:t>洣水茶陵段中华倒刺鲃国家级水产种质资源保护区</w:t>
                  </w:r>
                  <w:r>
                    <w:rPr>
                      <w:rFonts w:hint="eastAsia" w:eastAsia="宋体"/>
                      <w:sz w:val="21"/>
                      <w:szCs w:val="21"/>
                      <w:u w:val="none" w:color="auto"/>
                      <w:lang w:val="en-US" w:eastAsia="zh-CN"/>
                    </w:rPr>
                    <w:t>；（1.3）本项目不位于</w:t>
                  </w:r>
                  <w:r>
                    <w:rPr>
                      <w:rFonts w:hint="default" w:ascii="Times New Roman" w:hAnsi="Times New Roman" w:eastAsia="宋体"/>
                      <w:sz w:val="21"/>
                      <w:szCs w:val="21"/>
                      <w:u w:val="none" w:color="auto"/>
                      <w:lang w:val="en-US" w:eastAsia="zh-CN"/>
                    </w:rPr>
                    <w:t>茶陵县舲舫乡舲舫自来水厂饮用水水源保护区、茶陵县湖口镇洣水支流浣溪自来水厂饮用水水源保护区</w:t>
                  </w:r>
                  <w:r>
                    <w:rPr>
                      <w:rFonts w:hint="eastAsia" w:eastAsia="宋体"/>
                      <w:sz w:val="21"/>
                      <w:szCs w:val="21"/>
                      <w:u w:val="none" w:color="auto"/>
                      <w:lang w:val="en-US" w:eastAsia="zh-CN"/>
                    </w:rPr>
                    <w:t>；（1.4）</w:t>
                  </w:r>
                  <w:r>
                    <w:rPr>
                      <w:rFonts w:hint="eastAsia" w:ascii="Times New Roman" w:hAnsi="Times New Roman" w:eastAsia="宋体"/>
                      <w:sz w:val="21"/>
                      <w:szCs w:val="21"/>
                      <w:u w:val="none" w:color="auto"/>
                      <w:lang w:val="en-US" w:eastAsia="zh-CN"/>
                    </w:rPr>
                    <w:t>本项目不涉及畜禽养殖项目</w:t>
                  </w:r>
                  <w:r>
                    <w:rPr>
                      <w:rFonts w:hint="eastAsia"/>
                      <w:sz w:val="21"/>
                      <w:szCs w:val="21"/>
                      <w:u w:val="none" w:color="auto"/>
                      <w:lang w:val="en-US" w:eastAsia="zh-CN"/>
                    </w:rPr>
                    <w:t>；</w:t>
                  </w:r>
                </w:p>
                <w:p w14:paraId="61C6EE8F">
                  <w:pPr>
                    <w:numPr>
                      <w:ilvl w:val="0"/>
                      <w:numId w:val="0"/>
                    </w:numPr>
                    <w:bidi w:val="0"/>
                    <w:ind w:leftChars="0"/>
                    <w:jc w:val="both"/>
                    <w:rPr>
                      <w:rFonts w:hint="eastAsia"/>
                      <w:sz w:val="21"/>
                      <w:szCs w:val="21"/>
                      <w:u w:val="none" w:color="auto"/>
                      <w:lang w:val="en-US" w:eastAsia="zh-CN"/>
                    </w:rPr>
                  </w:pPr>
                  <w:r>
                    <w:rPr>
                      <w:rFonts w:hint="eastAsia"/>
                      <w:sz w:val="21"/>
                      <w:szCs w:val="21"/>
                      <w:u w:val="none" w:color="auto"/>
                      <w:lang w:val="en-US" w:eastAsia="zh-CN"/>
                    </w:rPr>
                    <w:t>（1.5）本项目不涉及水产养殖项目；</w:t>
                  </w:r>
                </w:p>
                <w:p w14:paraId="701DA898">
                  <w:pPr>
                    <w:numPr>
                      <w:ilvl w:val="0"/>
                      <w:numId w:val="0"/>
                    </w:numPr>
                    <w:bidi w:val="0"/>
                    <w:ind w:leftChars="0"/>
                    <w:jc w:val="both"/>
                    <w:rPr>
                      <w:rFonts w:hint="eastAsia" w:ascii="Times New Roman" w:hAnsi="Times New Roman" w:eastAsia="宋体"/>
                      <w:sz w:val="21"/>
                      <w:szCs w:val="21"/>
                      <w:u w:val="none" w:color="auto"/>
                      <w:lang w:val="en-US" w:eastAsia="zh-CN"/>
                    </w:rPr>
                  </w:pPr>
                  <w:r>
                    <w:rPr>
                      <w:rFonts w:hint="eastAsia"/>
                      <w:sz w:val="21"/>
                      <w:szCs w:val="21"/>
                      <w:u w:val="none" w:color="auto"/>
                      <w:lang w:val="en-US" w:eastAsia="zh-CN"/>
                    </w:rPr>
                    <w:t>（1.6）本项目</w:t>
                  </w:r>
                  <w:r>
                    <w:rPr>
                      <w:rFonts w:hint="eastAsia" w:ascii="Times New Roman" w:hAnsi="Times New Roman" w:eastAsia="宋体"/>
                      <w:sz w:val="21"/>
                      <w:szCs w:val="21"/>
                      <w:u w:val="none" w:color="auto"/>
                      <w:lang w:val="en-US" w:eastAsia="zh-CN"/>
                    </w:rPr>
                    <w:t>产生的医疗废气</w:t>
                  </w:r>
                  <w:r>
                    <w:rPr>
                      <w:rFonts w:hint="eastAsia"/>
                      <w:sz w:val="21"/>
                      <w:szCs w:val="21"/>
                      <w:u w:val="none" w:color="auto"/>
                      <w:lang w:val="en-US" w:eastAsia="zh-CN"/>
                    </w:rPr>
                    <w:t>量很小；</w:t>
                  </w:r>
                </w:p>
                <w:p w14:paraId="64A87E09">
                  <w:pPr>
                    <w:numPr>
                      <w:ilvl w:val="0"/>
                      <w:numId w:val="0"/>
                    </w:numPr>
                    <w:bidi w:val="0"/>
                    <w:ind w:leftChars="0"/>
                    <w:jc w:val="both"/>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（1.7）项目满足要求。</w:t>
                  </w:r>
                </w:p>
              </w:tc>
              <w:tc>
                <w:tcPr>
                  <w:tcW w:w="453" w:type="pct"/>
                  <w:vAlign w:val="center"/>
                </w:tcPr>
                <w:p w14:paraId="325F529C">
                  <w:pPr>
                    <w:numPr>
                      <w:ilvl w:val="0"/>
                      <w:numId w:val="0"/>
                    </w:numPr>
                    <w:bidi w:val="0"/>
                    <w:ind w:leftChars="0"/>
                    <w:jc w:val="both"/>
                    <w:rPr>
                      <w:rFonts w:hint="default"/>
                      <w:sz w:val="21"/>
                      <w:szCs w:val="21"/>
                      <w:u w:val="none" w:color="auto"/>
                      <w:lang w:val="en-US" w:eastAsia="zh-CN"/>
                    </w:rPr>
                  </w:pPr>
                  <w:r>
                    <w:rPr>
                      <w:rFonts w:hint="eastAsia"/>
                      <w:sz w:val="21"/>
                      <w:szCs w:val="21"/>
                      <w:u w:val="none" w:color="auto"/>
                      <w:lang w:val="en-US" w:eastAsia="zh-CN"/>
                    </w:rPr>
                    <w:t>符合</w:t>
                  </w:r>
                </w:p>
              </w:tc>
            </w:tr>
            <w:tr w14:paraId="5E61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 w:type="pct"/>
                  <w:vAlign w:val="center"/>
                </w:tcPr>
                <w:p w14:paraId="5D247D37">
                  <w:pPr>
                    <w:bidi w:val="0"/>
                    <w:jc w:val="center"/>
                    <w:rPr>
                      <w:rFonts w:ascii="Times New Roman" w:hAnsi="Times New Roman" w:eastAsia="宋体"/>
                      <w:sz w:val="21"/>
                      <w:szCs w:val="21"/>
                      <w:u w:val="none" w:color="auto"/>
                    </w:rPr>
                  </w:pPr>
                  <w:r>
                    <w:rPr>
                      <w:rFonts w:hint="eastAsia" w:ascii="Times New Roman" w:hAnsi="Times New Roman" w:eastAsia="宋体"/>
                      <w:sz w:val="21"/>
                      <w:szCs w:val="21"/>
                      <w:u w:val="none" w:color="auto"/>
                    </w:rPr>
                    <w:t>污</w:t>
                  </w:r>
                  <w:r>
                    <w:rPr>
                      <w:rFonts w:ascii="Times New Roman" w:hAnsi="Times New Roman" w:eastAsia="宋体"/>
                      <w:sz w:val="21"/>
                      <w:szCs w:val="21"/>
                      <w:u w:val="none" w:color="auto"/>
                    </w:rPr>
                    <w:t>染物排放管控</w:t>
                  </w:r>
                </w:p>
              </w:tc>
              <w:tc>
                <w:tcPr>
                  <w:tcW w:w="1877" w:type="pct"/>
                  <w:vAlign w:val="center"/>
                </w:tcPr>
                <w:p w14:paraId="01266E58">
                  <w:pPr>
                    <w:keepNext w:val="0"/>
                    <w:keepLines w:val="0"/>
                    <w:widowControl/>
                    <w:numPr>
                      <w:ilvl w:val="0"/>
                      <w:numId w:val="0"/>
                    </w:numPr>
                    <w:suppressLineNumbers w:val="0"/>
                    <w:ind w:leftChars="0"/>
                    <w:jc w:val="left"/>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w:t>
                  </w:r>
                  <w:r>
                    <w:rPr>
                      <w:rFonts w:hint="default" w:ascii="Times New Roman" w:hAnsi="Times New Roman" w:eastAsia="宋体"/>
                      <w:sz w:val="21"/>
                      <w:szCs w:val="21"/>
                      <w:u w:val="none" w:color="auto"/>
                      <w:lang w:val="en-US" w:eastAsia="zh-CN"/>
                    </w:rPr>
                    <w:t>2.</w:t>
                  </w:r>
                  <w:r>
                    <w:rPr>
                      <w:rFonts w:hint="default" w:eastAsia="宋体"/>
                      <w:sz w:val="21"/>
                      <w:szCs w:val="21"/>
                      <w:u w:val="none" w:color="auto"/>
                      <w:lang w:val="en-US" w:eastAsia="zh-CN"/>
                    </w:rPr>
                    <w:t>1</w:t>
                  </w:r>
                  <w:r>
                    <w:rPr>
                      <w:rFonts w:hint="eastAsia" w:eastAsia="宋体"/>
                      <w:sz w:val="21"/>
                      <w:szCs w:val="21"/>
                      <w:u w:val="none" w:color="auto"/>
                      <w:lang w:val="en-US" w:eastAsia="zh-CN"/>
                    </w:rPr>
                    <w:t>）</w:t>
                  </w:r>
                  <w:r>
                    <w:rPr>
                      <w:rFonts w:hint="default" w:ascii="Times New Roman" w:hAnsi="Times New Roman" w:eastAsia="宋体"/>
                      <w:sz w:val="21"/>
                      <w:szCs w:val="21"/>
                      <w:u w:val="none" w:color="auto"/>
                      <w:lang w:val="en-US" w:eastAsia="zh-CN"/>
                    </w:rPr>
                    <w:t>推进绿色矿山建设。全面落实《湖南省绿色矿山管理办法》，规范申报，严格监督管理。</w:t>
                  </w:r>
                  <w:r>
                    <w:rPr>
                      <w:rFonts w:hint="default" w:ascii="Times New Roman" w:hAnsi="Times New Roman" w:eastAsia="宋体"/>
                      <w:sz w:val="21"/>
                      <w:szCs w:val="21"/>
                      <w:u w:val="none" w:color="auto"/>
                      <w:lang w:val="en-US" w:eastAsia="zh-CN"/>
                    </w:rPr>
                    <w:br w:type="textWrapping"/>
                  </w:r>
                  <w:r>
                    <w:rPr>
                      <w:rFonts w:hint="default" w:ascii="Times New Roman" w:hAnsi="Times New Roman" w:eastAsia="宋体"/>
                      <w:sz w:val="21"/>
                      <w:szCs w:val="21"/>
                      <w:u w:val="none" w:color="auto"/>
                      <w:lang w:val="en-US" w:eastAsia="zh-CN"/>
                    </w:rPr>
                    <w:t>（2.2）加强湖口镇、舲舫乡、桃坑乡生活污水处理设施管理，实现污水稳定达标排放。</w:t>
                  </w:r>
                </w:p>
                <w:p w14:paraId="2E9321F7">
                  <w:pPr>
                    <w:keepNext w:val="0"/>
                    <w:keepLines w:val="0"/>
                    <w:widowControl/>
                    <w:numPr>
                      <w:ilvl w:val="0"/>
                      <w:numId w:val="0"/>
                    </w:numPr>
                    <w:suppressLineNumbers w:val="0"/>
                    <w:ind w:leftChars="0"/>
                    <w:jc w:val="left"/>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（2.3）畜禽养殖项目严格执行《株洲市畜禽养殖污染防治条例》。</w:t>
                  </w:r>
                </w:p>
                <w:p w14:paraId="3FDD37CD">
                  <w:pPr>
                    <w:keepNext w:val="0"/>
                    <w:keepLines w:val="0"/>
                    <w:widowControl/>
                    <w:numPr>
                      <w:ilvl w:val="0"/>
                      <w:numId w:val="0"/>
                    </w:numPr>
                    <w:suppressLineNumbers w:val="0"/>
                    <w:ind w:leftChars="0"/>
                    <w:jc w:val="left"/>
                    <w:rPr>
                      <w:rFonts w:hint="default" w:ascii="Times New Roman" w:hAnsi="Times New Roman" w:eastAsia="宋体"/>
                      <w:sz w:val="21"/>
                      <w:szCs w:val="21"/>
                      <w:u w:val="none" w:color="auto"/>
                      <w:lang w:val="en-US" w:eastAsia="zh-CN"/>
                    </w:rPr>
                  </w:pPr>
                </w:p>
              </w:tc>
              <w:tc>
                <w:tcPr>
                  <w:tcW w:w="2225" w:type="pct"/>
                  <w:vAlign w:val="center"/>
                </w:tcPr>
                <w:p w14:paraId="589C78A6">
                  <w:pPr>
                    <w:pStyle w:val="24"/>
                    <w:bidi w:val="0"/>
                    <w:spacing w:line="240" w:lineRule="auto"/>
                    <w:jc w:val="left"/>
                    <w:rPr>
                      <w:rFonts w:hint="eastAsia"/>
                      <w:sz w:val="21"/>
                      <w:szCs w:val="21"/>
                      <w:u w:val="none" w:color="auto"/>
                      <w:lang w:val="en-US" w:eastAsia="zh-CN"/>
                    </w:rPr>
                  </w:pPr>
                  <w:r>
                    <w:rPr>
                      <w:rFonts w:hint="eastAsia"/>
                      <w:sz w:val="21"/>
                      <w:szCs w:val="21"/>
                      <w:u w:val="none" w:color="auto"/>
                      <w:lang w:val="en-US" w:eastAsia="zh-CN"/>
                    </w:rPr>
                    <w:t>（2</w:t>
                  </w:r>
                  <w:r>
                    <w:rPr>
                      <w:rFonts w:hint="default"/>
                      <w:sz w:val="21"/>
                      <w:szCs w:val="21"/>
                      <w:u w:val="none" w:color="auto"/>
                      <w:lang w:val="en-US" w:eastAsia="zh-CN"/>
                    </w:rPr>
                    <w:t>.1</w:t>
                  </w:r>
                  <w:r>
                    <w:rPr>
                      <w:rFonts w:hint="eastAsia"/>
                      <w:sz w:val="21"/>
                      <w:szCs w:val="21"/>
                      <w:u w:val="none" w:color="auto"/>
                      <w:lang w:val="en-US" w:eastAsia="zh-CN"/>
                    </w:rPr>
                    <w:t>）本项目不涉及矿山建设；</w:t>
                  </w:r>
                </w:p>
                <w:p w14:paraId="0A98FF11">
                  <w:pPr>
                    <w:rPr>
                      <w:rFonts w:hint="eastAsia"/>
                      <w:color w:val="auto"/>
                      <w:highlight w:val="none"/>
                      <w:lang w:val="en-US" w:eastAsia="zh-CN"/>
                    </w:rPr>
                  </w:pPr>
                  <w:r>
                    <w:rPr>
                      <w:rFonts w:hint="eastAsia"/>
                      <w:sz w:val="21"/>
                      <w:szCs w:val="21"/>
                      <w:u w:val="none" w:color="auto"/>
                      <w:lang w:val="en-US" w:eastAsia="zh-CN"/>
                    </w:rPr>
                    <w:t>（2.2）本项目位于湖口镇，污水最终</w:t>
                  </w:r>
                  <w:r>
                    <w:rPr>
                      <w:rFonts w:hint="eastAsia" w:ascii="Times New Roman" w:cs="Times New Roman"/>
                      <w:color w:val="auto"/>
                      <w:sz w:val="21"/>
                      <w:szCs w:val="21"/>
                      <w:vertAlign w:val="baseline"/>
                      <w:lang w:val="en-US" w:eastAsia="zh-CN"/>
                    </w:rPr>
                    <w:t>处理后达标</w:t>
                  </w:r>
                  <w:r>
                    <w:rPr>
                      <w:rFonts w:hint="eastAsia"/>
                      <w:color w:val="auto"/>
                      <w:highlight w:val="none"/>
                      <w:lang w:val="en-US" w:eastAsia="zh-CN"/>
                    </w:rPr>
                    <w:t>汇入</w:t>
                  </w:r>
                  <w:r>
                    <w:rPr>
                      <w:rFonts w:hint="eastAsia" w:ascii="Times New Roman" w:cs="Times New Roman"/>
                      <w:sz w:val="21"/>
                      <w:szCs w:val="21"/>
                      <w:u w:val="none"/>
                      <w:vertAlign w:val="baseline"/>
                      <w:lang w:val="en-US" w:eastAsia="zh-CN"/>
                    </w:rPr>
                    <w:t>洣水</w:t>
                  </w:r>
                  <w:r>
                    <w:rPr>
                      <w:rFonts w:hint="eastAsia"/>
                      <w:color w:val="auto"/>
                      <w:highlight w:val="none"/>
                      <w:lang w:val="en-US" w:eastAsia="zh-CN"/>
                    </w:rPr>
                    <w:t>。符合稳定排放。</w:t>
                  </w:r>
                </w:p>
                <w:p w14:paraId="1097A671">
                  <w:pPr>
                    <w:rPr>
                      <w:rFonts w:hint="default"/>
                      <w:color w:val="auto"/>
                      <w:highlight w:val="none"/>
                      <w:lang w:val="en-US" w:eastAsia="zh-CN"/>
                    </w:rPr>
                  </w:pPr>
                  <w:r>
                    <w:rPr>
                      <w:rFonts w:hint="eastAsia"/>
                      <w:color w:val="auto"/>
                      <w:highlight w:val="none"/>
                      <w:lang w:val="en-US" w:eastAsia="zh-CN"/>
                    </w:rPr>
                    <w:t>（2.3）本项目不涉及畜禽养殖。</w:t>
                  </w:r>
                </w:p>
              </w:tc>
              <w:tc>
                <w:tcPr>
                  <w:tcW w:w="453" w:type="pct"/>
                  <w:vAlign w:val="center"/>
                </w:tcPr>
                <w:p w14:paraId="46CC76A4">
                  <w:pPr>
                    <w:rPr>
                      <w:rFonts w:hint="default"/>
                      <w:color w:val="auto"/>
                      <w:highlight w:val="none"/>
                      <w:lang w:val="en-US" w:eastAsia="zh-CN"/>
                    </w:rPr>
                  </w:pPr>
                  <w:r>
                    <w:rPr>
                      <w:rFonts w:hint="eastAsia"/>
                      <w:color w:val="auto"/>
                      <w:highlight w:val="none"/>
                      <w:lang w:val="en-US" w:eastAsia="zh-CN"/>
                    </w:rPr>
                    <w:t>符合</w:t>
                  </w:r>
                </w:p>
              </w:tc>
            </w:tr>
            <w:tr w14:paraId="053E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 w:type="pct"/>
                  <w:vAlign w:val="center"/>
                </w:tcPr>
                <w:p w14:paraId="004A59F6">
                  <w:pPr>
                    <w:bidi w:val="0"/>
                    <w:jc w:val="center"/>
                    <w:rPr>
                      <w:rFonts w:ascii="Times New Roman" w:hAnsi="Times New Roman" w:eastAsia="宋体"/>
                      <w:sz w:val="21"/>
                      <w:szCs w:val="21"/>
                      <w:u w:val="none" w:color="auto"/>
                    </w:rPr>
                  </w:pPr>
                  <w:r>
                    <w:rPr>
                      <w:rFonts w:ascii="Times New Roman" w:hAnsi="Times New Roman" w:eastAsia="宋体"/>
                      <w:sz w:val="21"/>
                      <w:szCs w:val="21"/>
                      <w:u w:val="none" w:color="auto"/>
                    </w:rPr>
                    <w:t>资源开发效率要</w:t>
                  </w:r>
                  <w:r>
                    <w:rPr>
                      <w:rFonts w:hint="eastAsia" w:ascii="Times New Roman" w:hAnsi="Times New Roman" w:eastAsia="宋体"/>
                      <w:sz w:val="21"/>
                      <w:szCs w:val="21"/>
                      <w:u w:val="none" w:color="auto"/>
                    </w:rPr>
                    <w:t>求</w:t>
                  </w:r>
                </w:p>
              </w:tc>
              <w:tc>
                <w:tcPr>
                  <w:tcW w:w="1877" w:type="pct"/>
                  <w:vAlign w:val="center"/>
                </w:tcPr>
                <w:p w14:paraId="4AE37E33">
                  <w:pPr>
                    <w:keepNext w:val="0"/>
                    <w:keepLines w:val="0"/>
                    <w:widowControl/>
                    <w:suppressLineNumbers w:val="0"/>
                    <w:jc w:val="left"/>
                    <w:rPr>
                      <w:rFonts w:ascii="Times New Roman" w:hAnsi="Times New Roman" w:eastAsia="宋体"/>
                      <w:sz w:val="21"/>
                      <w:szCs w:val="21"/>
                      <w:u w:val="none" w:color="auto"/>
                    </w:rPr>
                  </w:pPr>
                  <w:r>
                    <w:rPr>
                      <w:rFonts w:hint="eastAsia" w:ascii="Times New Roman" w:hAnsi="Times New Roman" w:eastAsia="宋体"/>
                      <w:sz w:val="21"/>
                      <w:szCs w:val="21"/>
                      <w:u w:val="none" w:color="auto"/>
                      <w:lang w:val="en-US" w:eastAsia="zh-CN"/>
                    </w:rPr>
                    <w:t>（</w:t>
                  </w:r>
                  <w:r>
                    <w:rPr>
                      <w:rFonts w:hint="eastAsia" w:eastAsia="宋体"/>
                      <w:sz w:val="21"/>
                      <w:szCs w:val="21"/>
                      <w:u w:val="none" w:color="auto"/>
                      <w:lang w:val="en-US" w:eastAsia="zh-CN"/>
                    </w:rPr>
                    <w:t>3</w:t>
                  </w:r>
                  <w:r>
                    <w:rPr>
                      <w:rFonts w:hint="eastAsia" w:ascii="Times New Roman" w:hAnsi="Times New Roman" w:eastAsia="宋体"/>
                      <w:sz w:val="21"/>
                      <w:szCs w:val="21"/>
                      <w:u w:val="none" w:color="auto"/>
                      <w:lang w:val="en-US" w:eastAsia="zh-CN"/>
                    </w:rPr>
                    <w:t>.1）能源：积极引导生活用燃煤的居民改用天然气、液化石油气等清洁燃料。</w:t>
                  </w:r>
                  <w:r>
                    <w:rPr>
                      <w:rFonts w:hint="default" w:ascii="Times New Roman" w:hAnsi="Times New Roman" w:eastAsia="宋体"/>
                      <w:sz w:val="21"/>
                      <w:szCs w:val="21"/>
                      <w:u w:val="none" w:color="auto"/>
                      <w:lang w:val="en-US" w:eastAsia="zh-CN"/>
                    </w:rPr>
                    <w:br w:type="textWrapping"/>
                  </w:r>
                  <w:r>
                    <w:rPr>
                      <w:rFonts w:hint="default" w:ascii="Times New Roman" w:hAnsi="Times New Roman" w:eastAsia="宋体"/>
                      <w:sz w:val="21"/>
                      <w:szCs w:val="21"/>
                      <w:u w:val="none" w:color="auto"/>
                      <w:lang w:val="en-US" w:eastAsia="zh-CN"/>
                    </w:rPr>
                    <w:t>（</w:t>
                  </w:r>
                  <w:r>
                    <w:rPr>
                      <w:rFonts w:hint="eastAsia" w:eastAsia="宋体"/>
                      <w:sz w:val="21"/>
                      <w:szCs w:val="21"/>
                      <w:u w:val="none" w:color="auto"/>
                      <w:lang w:val="en-US" w:eastAsia="zh-CN"/>
                    </w:rPr>
                    <w:t>3</w:t>
                  </w:r>
                  <w:r>
                    <w:rPr>
                      <w:rFonts w:hint="default" w:ascii="Times New Roman" w:hAnsi="Times New Roman" w:eastAsia="宋体"/>
                      <w:sz w:val="21"/>
                      <w:szCs w:val="21"/>
                      <w:u w:val="none" w:color="auto"/>
                      <w:lang w:val="en-US" w:eastAsia="zh-CN"/>
                    </w:rPr>
                    <w:t>.2）水资源：茶陵县2020年万元国内生产总值用水量比2015年下降30%、目标值118立方米/万元；农田灌溉水有效利用系数：0.549；万元工业增加值用水量比2015年下降25%。</w:t>
                  </w:r>
                  <w:r>
                    <w:rPr>
                      <w:rFonts w:hint="default" w:ascii="Times New Roman" w:hAnsi="Times New Roman" w:eastAsia="宋体"/>
                      <w:sz w:val="21"/>
                      <w:szCs w:val="21"/>
                      <w:u w:val="none" w:color="auto"/>
                      <w:lang w:val="en-US" w:eastAsia="zh-CN"/>
                    </w:rPr>
                    <w:br w:type="textWrapping"/>
                  </w:r>
                  <w:r>
                    <w:rPr>
                      <w:rFonts w:hint="default" w:ascii="Times New Roman" w:hAnsi="Times New Roman" w:eastAsia="宋体"/>
                      <w:sz w:val="21"/>
                      <w:szCs w:val="21"/>
                      <w:u w:val="none" w:color="auto"/>
                      <w:lang w:val="en-US" w:eastAsia="zh-CN"/>
                    </w:rPr>
                    <w:t>2020年，用水总量控制在2.82亿立方米以内；万元工业增加值用水量降低到40立方米以下，农田灌溉水有效利用系数提高到0.613以上；主要污染物入河湖总量控制在水功能区纳污能力范围内，水功能区水质达标率提高到95%以上。未按最小生态流量设计下泄量的小水电站需进行生态流量改造，在电站取水发电后，仍能确保坝址下游河道下泄流量大于坝址多年平均流量的10%。</w:t>
                  </w:r>
                  <w:r>
                    <w:rPr>
                      <w:rFonts w:hint="default" w:ascii="Times New Roman" w:hAnsi="Times New Roman" w:eastAsia="宋体"/>
                      <w:sz w:val="21"/>
                      <w:szCs w:val="21"/>
                      <w:u w:val="none" w:color="auto"/>
                      <w:lang w:val="en-US" w:eastAsia="zh-CN"/>
                    </w:rPr>
                    <w:br w:type="textWrapping"/>
                  </w:r>
                  <w:r>
                    <w:rPr>
                      <w:rFonts w:hint="default" w:ascii="Times New Roman" w:hAnsi="Times New Roman" w:eastAsia="宋体"/>
                      <w:sz w:val="21"/>
                      <w:szCs w:val="21"/>
                      <w:u w:val="none" w:color="auto"/>
                      <w:lang w:val="en-US" w:eastAsia="zh-CN"/>
                    </w:rPr>
                    <w:t>（</w:t>
                  </w:r>
                  <w:r>
                    <w:rPr>
                      <w:rFonts w:hint="eastAsia" w:eastAsia="宋体"/>
                      <w:sz w:val="21"/>
                      <w:szCs w:val="21"/>
                      <w:u w:val="none" w:color="auto"/>
                      <w:lang w:val="en-US" w:eastAsia="zh-CN"/>
                    </w:rPr>
                    <w:t>3</w:t>
                  </w:r>
                  <w:r>
                    <w:rPr>
                      <w:rFonts w:hint="default" w:ascii="Times New Roman" w:hAnsi="Times New Roman" w:eastAsia="宋体"/>
                      <w:sz w:val="21"/>
                      <w:szCs w:val="21"/>
                      <w:u w:val="none" w:color="auto"/>
                      <w:lang w:val="en-US" w:eastAsia="zh-CN"/>
                    </w:rPr>
                    <w:t>.3）土地资源：湖口镇：2020年，耕地保有量不低于3095.00公顷，基本农田保护面积不得低于2544.40公顷；城乡建设用地规模控制在840.43公顷以内，城镇工矿用地规模控制在158.74公顷以内。舲舫乡：2020年，耕地保有量不低于1667.00公顷，基本农田保护面积不得低于1373.00公顷；城乡建设用地规模控制在607.05公顷以内，城镇工矿用地规模控制在26.65公顷以内。桃坑乡：2020年，耕地保有量不低于590.00公顷，基本农田保护面积不得低于367.50公顷；城乡建设用地规模控制在202.06公顷以内，城镇工矿用地规模控制在0.60公顷以内。</w:t>
                  </w:r>
                </w:p>
              </w:tc>
              <w:tc>
                <w:tcPr>
                  <w:tcW w:w="2225" w:type="pct"/>
                  <w:vAlign w:val="center"/>
                </w:tcPr>
                <w:p w14:paraId="31C16E5B">
                  <w:pPr>
                    <w:bidi w:val="0"/>
                    <w:jc w:val="left"/>
                    <w:rPr>
                      <w:rFonts w:hint="eastAsia"/>
                      <w:sz w:val="21"/>
                      <w:szCs w:val="21"/>
                      <w:u w:val="none" w:color="auto"/>
                      <w:lang w:val="en-US" w:eastAsia="zh-CN"/>
                    </w:rPr>
                  </w:pPr>
                  <w:r>
                    <w:rPr>
                      <w:rFonts w:hint="eastAsia"/>
                      <w:sz w:val="21"/>
                      <w:szCs w:val="21"/>
                      <w:u w:val="none" w:color="auto"/>
                      <w:lang w:eastAsia="zh-CN"/>
                    </w:rPr>
                    <w:t>（</w:t>
                  </w:r>
                  <w:r>
                    <w:rPr>
                      <w:rFonts w:hint="eastAsia"/>
                      <w:sz w:val="21"/>
                      <w:szCs w:val="21"/>
                      <w:u w:val="none" w:color="auto"/>
                      <w:lang w:val="en-US" w:eastAsia="zh-CN"/>
                    </w:rPr>
                    <w:t>3.1）本项目不涉及高污染燃料；</w:t>
                  </w:r>
                </w:p>
                <w:p w14:paraId="1346A00C">
                  <w:pPr>
                    <w:bidi w:val="0"/>
                    <w:jc w:val="left"/>
                    <w:rPr>
                      <w:rFonts w:hint="eastAsia"/>
                      <w:sz w:val="21"/>
                      <w:szCs w:val="21"/>
                      <w:u w:val="none" w:color="auto"/>
                      <w:lang w:val="en-US" w:eastAsia="zh-CN"/>
                    </w:rPr>
                  </w:pPr>
                </w:p>
                <w:p w14:paraId="51ECCAF0">
                  <w:pPr>
                    <w:bidi w:val="0"/>
                    <w:jc w:val="left"/>
                    <w:rPr>
                      <w:rFonts w:hint="eastAsia"/>
                      <w:sz w:val="21"/>
                      <w:szCs w:val="21"/>
                      <w:u w:val="none" w:color="auto"/>
                      <w:lang w:val="en-US" w:eastAsia="zh-CN"/>
                    </w:rPr>
                  </w:pPr>
                  <w:r>
                    <w:rPr>
                      <w:rFonts w:hint="eastAsia"/>
                      <w:sz w:val="21"/>
                      <w:szCs w:val="21"/>
                      <w:u w:val="none" w:color="auto"/>
                      <w:lang w:val="en-US" w:eastAsia="zh-CN"/>
                    </w:rPr>
                    <w:t>（3.2）本项目日用水量较少；</w:t>
                  </w:r>
                </w:p>
                <w:p w14:paraId="69F7980E">
                  <w:pPr>
                    <w:bidi w:val="0"/>
                    <w:jc w:val="left"/>
                    <w:rPr>
                      <w:rFonts w:hint="default"/>
                      <w:sz w:val="21"/>
                      <w:szCs w:val="21"/>
                      <w:u w:val="none" w:color="auto"/>
                      <w:lang w:val="en-US" w:eastAsia="zh-CN"/>
                    </w:rPr>
                  </w:pPr>
                  <w:r>
                    <w:rPr>
                      <w:rFonts w:hint="eastAsia"/>
                      <w:sz w:val="21"/>
                      <w:szCs w:val="21"/>
                      <w:u w:val="none" w:color="auto"/>
                      <w:lang w:val="en-US" w:eastAsia="zh-CN"/>
                    </w:rPr>
                    <w:t>（3.3）本项目不涉及基本农田，已取得相应土地许可（附件4）。</w:t>
                  </w:r>
                </w:p>
                <w:p w14:paraId="325839E4">
                  <w:pPr>
                    <w:bidi w:val="0"/>
                    <w:jc w:val="center"/>
                    <w:rPr>
                      <w:rFonts w:hint="default"/>
                      <w:sz w:val="21"/>
                      <w:szCs w:val="21"/>
                      <w:u w:val="none" w:color="auto"/>
                      <w:lang w:val="en-US" w:eastAsia="zh-CN"/>
                    </w:rPr>
                  </w:pPr>
                </w:p>
              </w:tc>
              <w:tc>
                <w:tcPr>
                  <w:tcW w:w="453" w:type="pct"/>
                  <w:vAlign w:val="center"/>
                </w:tcPr>
                <w:p w14:paraId="48C8AE60">
                  <w:pPr>
                    <w:bidi w:val="0"/>
                    <w:jc w:val="center"/>
                    <w:rPr>
                      <w:rFonts w:hint="default"/>
                      <w:sz w:val="21"/>
                      <w:szCs w:val="21"/>
                      <w:u w:val="none" w:color="auto"/>
                      <w:lang w:val="en-US" w:eastAsia="zh-CN"/>
                    </w:rPr>
                  </w:pPr>
                  <w:r>
                    <w:rPr>
                      <w:rFonts w:hint="eastAsia"/>
                      <w:sz w:val="21"/>
                      <w:szCs w:val="21"/>
                      <w:u w:val="none" w:color="auto"/>
                      <w:lang w:val="en-US" w:eastAsia="zh-CN"/>
                    </w:rPr>
                    <w:t>符合</w:t>
                  </w:r>
                </w:p>
              </w:tc>
            </w:tr>
            <w:tr w14:paraId="4532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 w:type="pct"/>
                  <w:vAlign w:val="center"/>
                </w:tcPr>
                <w:p w14:paraId="560D6816">
                  <w:pPr>
                    <w:bidi w:val="0"/>
                    <w:jc w:val="center"/>
                    <w:rPr>
                      <w:rFonts w:ascii="Times New Roman" w:hAnsi="Times New Roman" w:eastAsia="宋体"/>
                      <w:sz w:val="21"/>
                      <w:szCs w:val="21"/>
                      <w:u w:val="none" w:color="auto"/>
                    </w:rPr>
                  </w:pPr>
                  <w:r>
                    <w:rPr>
                      <w:rFonts w:ascii="Times New Roman" w:hAnsi="Times New Roman" w:eastAsia="宋体"/>
                      <w:sz w:val="21"/>
                      <w:szCs w:val="21"/>
                      <w:u w:val="none" w:color="auto"/>
                    </w:rPr>
                    <w:t>环境风险防</w:t>
                  </w:r>
                  <w:r>
                    <w:rPr>
                      <w:rFonts w:hint="eastAsia" w:ascii="Times New Roman" w:hAnsi="Times New Roman" w:eastAsia="宋体"/>
                      <w:sz w:val="21"/>
                      <w:szCs w:val="21"/>
                      <w:u w:val="none" w:color="auto"/>
                    </w:rPr>
                    <w:t>控</w:t>
                  </w:r>
                </w:p>
              </w:tc>
              <w:tc>
                <w:tcPr>
                  <w:tcW w:w="1877" w:type="pct"/>
                  <w:vAlign w:val="center"/>
                </w:tcPr>
                <w:p w14:paraId="4DBABAF6">
                  <w:pPr>
                    <w:keepNext w:val="0"/>
                    <w:keepLines w:val="0"/>
                    <w:widowControl/>
                    <w:suppressLineNumbers w:val="0"/>
                    <w:jc w:val="left"/>
                    <w:rPr>
                      <w:rFonts w:hint="default" w:ascii="Times New Roman" w:hAnsi="Times New Roman" w:eastAsia="宋体"/>
                      <w:sz w:val="21"/>
                      <w:szCs w:val="21"/>
                      <w:u w:val="none" w:color="auto"/>
                      <w:lang w:val="en-US"/>
                    </w:rPr>
                  </w:pPr>
                  <w:r>
                    <w:rPr>
                      <w:rFonts w:hint="eastAsia" w:ascii="Times New Roman" w:hAnsi="Times New Roman" w:eastAsia="宋体"/>
                      <w:sz w:val="21"/>
                      <w:szCs w:val="21"/>
                      <w:u w:val="none" w:color="auto"/>
                      <w:lang w:val="en-US" w:eastAsia="zh-CN"/>
                    </w:rPr>
                    <w:t>按省级、市级总体准入要求清单中与环境风险防控有关条文执行。</w:t>
                  </w:r>
                </w:p>
              </w:tc>
              <w:tc>
                <w:tcPr>
                  <w:tcW w:w="2225" w:type="pct"/>
                  <w:vAlign w:val="center"/>
                </w:tcPr>
                <w:p w14:paraId="42247BF5">
                  <w:pPr>
                    <w:bidi w:val="0"/>
                    <w:jc w:val="center"/>
                    <w:rPr>
                      <w:rFonts w:ascii="Times New Roman" w:hAnsi="Times New Roman" w:eastAsia="宋体"/>
                      <w:sz w:val="21"/>
                      <w:szCs w:val="21"/>
                      <w:u w:val="none" w:color="auto"/>
                    </w:rPr>
                  </w:pPr>
                  <w:r>
                    <w:rPr>
                      <w:rFonts w:ascii="Times New Roman" w:hAnsi="Times New Roman" w:eastAsia="宋体"/>
                      <w:sz w:val="21"/>
                      <w:szCs w:val="21"/>
                      <w:u w:val="none" w:color="auto"/>
                    </w:rPr>
                    <w:t>本项目严格执行。</w:t>
                  </w:r>
                </w:p>
              </w:tc>
              <w:tc>
                <w:tcPr>
                  <w:tcW w:w="453" w:type="pct"/>
                  <w:vAlign w:val="center"/>
                </w:tcPr>
                <w:p w14:paraId="0D83F112">
                  <w:pPr>
                    <w:bidi w:val="0"/>
                    <w:jc w:val="center"/>
                    <w:rPr>
                      <w:rFonts w:hint="eastAsia" w:ascii="Times New Roman" w:hAnsi="Times New Roman" w:eastAsia="宋体"/>
                      <w:sz w:val="21"/>
                      <w:szCs w:val="21"/>
                      <w:u w:val="none" w:color="auto"/>
                      <w:lang w:val="en-US" w:eastAsia="zh-CN"/>
                    </w:rPr>
                  </w:pPr>
                  <w:r>
                    <w:rPr>
                      <w:rFonts w:hint="eastAsia"/>
                      <w:sz w:val="21"/>
                      <w:szCs w:val="21"/>
                      <w:u w:val="none" w:color="auto"/>
                      <w:lang w:val="en-US" w:eastAsia="zh-CN"/>
                    </w:rPr>
                    <w:t>符合</w:t>
                  </w:r>
                </w:p>
              </w:tc>
            </w:tr>
          </w:tbl>
          <w:p w14:paraId="525EACF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themeColor="text1"/>
                <w:spacing w:val="0"/>
                <w:sz w:val="24"/>
                <w:szCs w:val="24"/>
                <w:u w:val="none" w:color="auto"/>
                <w14:textFill>
                  <w14:solidFill>
                    <w14:schemeClr w14:val="tx1"/>
                  </w14:solidFill>
                </w14:textFill>
              </w:rPr>
            </w:pPr>
            <w:r>
              <w:rPr>
                <w:rFonts w:ascii="Times New Roman" w:hAnsi="Times New Roman" w:eastAsia="宋体" w:cs="宋体"/>
                <w:color w:val="000000" w:themeColor="text1"/>
                <w:spacing w:val="0"/>
                <w:sz w:val="24"/>
                <w:szCs w:val="24"/>
                <w:u w:val="none" w:color="auto"/>
                <w14:textFill>
                  <w14:solidFill>
                    <w14:schemeClr w14:val="tx1"/>
                  </w14:solidFill>
                </w14:textFill>
              </w:rPr>
              <w:t>因此，本项目符合《</w:t>
            </w:r>
            <w:r>
              <w:rPr>
                <w:rFonts w:hint="eastAsia" w:ascii="Times New Roman" w:hAnsi="Times New Roman" w:eastAsia="宋体" w:cs="宋体"/>
                <w:color w:val="000000" w:themeColor="text1"/>
                <w:spacing w:val="0"/>
                <w:sz w:val="24"/>
                <w:szCs w:val="24"/>
                <w:u w:val="none" w:color="auto"/>
                <w:lang w:eastAsia="zh-CN"/>
                <w14:textFill>
                  <w14:solidFill>
                    <w14:schemeClr w14:val="tx1"/>
                  </w14:solidFill>
                </w14:textFill>
              </w:rPr>
              <w:t>株洲</w:t>
            </w:r>
            <w:r>
              <w:rPr>
                <w:rFonts w:ascii="Times New Roman" w:hAnsi="Times New Roman" w:eastAsia="宋体" w:cs="宋体"/>
                <w:color w:val="000000" w:themeColor="text1"/>
                <w:spacing w:val="0"/>
                <w:sz w:val="24"/>
                <w:szCs w:val="24"/>
                <w:u w:val="none" w:color="auto"/>
                <w14:textFill>
                  <w14:solidFill>
                    <w14:schemeClr w14:val="tx1"/>
                  </w14:solidFill>
                </w14:textFill>
              </w:rPr>
              <w:t>市人民政府关于实施</w:t>
            </w:r>
            <w:r>
              <w:rPr>
                <w:rFonts w:ascii="Times New Roman" w:hAnsi="Times New Roman" w:eastAsia="宋体"/>
                <w:color w:val="000000" w:themeColor="text1"/>
                <w:spacing w:val="0"/>
                <w:sz w:val="24"/>
                <w:szCs w:val="24"/>
                <w:u w:val="none" w:color="auto"/>
                <w14:textFill>
                  <w14:solidFill>
                    <w14:schemeClr w14:val="tx1"/>
                  </w14:solidFill>
                </w14:textFill>
              </w:rPr>
              <w:t>“</w:t>
            </w:r>
            <w:r>
              <w:rPr>
                <w:rFonts w:ascii="Times New Roman" w:hAnsi="Times New Roman" w:eastAsia="宋体" w:cs="宋体"/>
                <w:color w:val="000000" w:themeColor="text1"/>
                <w:spacing w:val="0"/>
                <w:sz w:val="24"/>
                <w:szCs w:val="24"/>
                <w:u w:val="none" w:color="auto"/>
                <w14:textFill>
                  <w14:solidFill>
                    <w14:schemeClr w14:val="tx1"/>
                  </w14:solidFill>
                </w14:textFill>
              </w:rPr>
              <w:t>三线一单</w:t>
            </w:r>
            <w:r>
              <w:rPr>
                <w:rFonts w:ascii="Times New Roman" w:hAnsi="Times New Roman" w:eastAsia="宋体"/>
                <w:color w:val="000000" w:themeColor="text1"/>
                <w:spacing w:val="0"/>
                <w:sz w:val="24"/>
                <w:szCs w:val="24"/>
                <w:u w:val="none" w:color="auto"/>
                <w14:textFill>
                  <w14:solidFill>
                    <w14:schemeClr w14:val="tx1"/>
                  </w14:solidFill>
                </w14:textFill>
              </w:rPr>
              <w:t>”</w:t>
            </w:r>
            <w:r>
              <w:rPr>
                <w:rFonts w:ascii="Times New Roman" w:hAnsi="Times New Roman" w:eastAsia="宋体" w:cs="宋体"/>
                <w:color w:val="000000" w:themeColor="text1"/>
                <w:spacing w:val="0"/>
                <w:sz w:val="24"/>
                <w:szCs w:val="24"/>
                <w:u w:val="none" w:color="auto"/>
                <w14:textFill>
                  <w14:solidFill>
                    <w14:schemeClr w14:val="tx1"/>
                  </w14:solidFill>
                </w14:textFill>
              </w:rPr>
              <w:t>生态环境分区管控的意见》要求。</w:t>
            </w:r>
          </w:p>
          <w:p w14:paraId="4DEE23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textAlignment w:val="auto"/>
              <w:rPr>
                <w:rFonts w:hint="eastAsia" w:ascii="Times New Roman" w:hAnsi="Times New Roman" w:eastAsia="宋体" w:cs="宋体"/>
                <w:spacing w:val="0"/>
                <w:sz w:val="24"/>
                <w:szCs w:val="24"/>
                <w:u w:val="none" w:color="auto"/>
                <w:lang w:val="en-US" w:eastAsia="zh-CN"/>
              </w:rPr>
            </w:pPr>
          </w:p>
          <w:p w14:paraId="5C278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textAlignment w:val="auto"/>
              <w:rPr>
                <w:rFonts w:hint="eastAsia" w:ascii="Times New Roman" w:hAnsi="Times New Roman" w:eastAsia="宋体" w:cs="宋体"/>
                <w:b/>
                <w:bCs/>
                <w:spacing w:val="0"/>
                <w:sz w:val="24"/>
                <w:szCs w:val="24"/>
                <w:u w:val="none" w:color="auto"/>
              </w:rPr>
            </w:pPr>
            <w:r>
              <w:rPr>
                <w:rFonts w:hint="eastAsia" w:ascii="Times New Roman" w:hAnsi="Times New Roman" w:eastAsia="宋体" w:cs="宋体"/>
                <w:b/>
                <w:bCs/>
                <w:spacing w:val="0"/>
                <w:sz w:val="24"/>
                <w:szCs w:val="24"/>
                <w:u w:val="none" w:color="auto"/>
                <w:lang w:val="en-US" w:eastAsia="zh-CN"/>
              </w:rPr>
              <w:t>3、</w:t>
            </w:r>
            <w:r>
              <w:rPr>
                <w:rFonts w:hint="eastAsia" w:ascii="Times New Roman" w:hAnsi="Times New Roman" w:eastAsia="宋体" w:cs="宋体"/>
                <w:b/>
                <w:bCs/>
                <w:spacing w:val="0"/>
                <w:sz w:val="24"/>
                <w:szCs w:val="24"/>
                <w:u w:val="none" w:color="auto"/>
              </w:rPr>
              <w:t>与《</w:t>
            </w:r>
            <w:r>
              <w:rPr>
                <w:rFonts w:hint="eastAsia" w:ascii="Times New Roman" w:hAnsi="Times New Roman" w:eastAsia="宋体" w:cs="宋体"/>
                <w:b/>
                <w:bCs/>
                <w:spacing w:val="0"/>
                <w:sz w:val="24"/>
                <w:szCs w:val="24"/>
                <w:u w:val="none" w:color="auto"/>
                <w:lang w:eastAsia="zh-CN"/>
              </w:rPr>
              <w:t>湖南省长江经济带发展负面清单实施细则（试行，</w:t>
            </w:r>
            <w:r>
              <w:rPr>
                <w:rFonts w:hint="eastAsia" w:ascii="Times New Roman" w:hAnsi="Times New Roman" w:eastAsia="宋体" w:cs="宋体"/>
                <w:b/>
                <w:bCs/>
                <w:spacing w:val="0"/>
                <w:sz w:val="24"/>
                <w:szCs w:val="24"/>
                <w:u w:val="none" w:color="auto"/>
                <w:lang w:val="en-US" w:eastAsia="zh-CN"/>
              </w:rPr>
              <w:t>2022年版）</w:t>
            </w:r>
            <w:r>
              <w:rPr>
                <w:rFonts w:hint="eastAsia" w:ascii="Times New Roman" w:hAnsi="Times New Roman" w:eastAsia="宋体" w:cs="宋体"/>
                <w:b/>
                <w:bCs/>
                <w:spacing w:val="0"/>
                <w:sz w:val="24"/>
                <w:szCs w:val="24"/>
                <w:u w:val="none" w:color="auto"/>
              </w:rPr>
              <w:t>》符合性分析</w:t>
            </w:r>
          </w:p>
          <w:p w14:paraId="3898AD1E">
            <w:pPr>
              <w:keepNext w:val="0"/>
              <w:keepLines w:val="0"/>
              <w:pageBreakBefore w:val="0"/>
              <w:kinsoku/>
              <w:wordWrap/>
              <w:overflowPunct/>
              <w:topLinePunct w:val="0"/>
              <w:bidi w:val="0"/>
              <w:spacing w:line="360" w:lineRule="auto"/>
              <w:ind w:left="0" w:right="0"/>
              <w:jc w:val="both"/>
              <w:textAlignment w:val="auto"/>
              <w:rPr>
                <w:rFonts w:hint="eastAsia" w:ascii="Times New Roman" w:hAnsi="Times New Roman" w:eastAsia="宋体" w:cs="宋体"/>
                <w:b/>
                <w:bCs w:val="0"/>
                <w:color w:val="000000"/>
                <w:spacing w:val="0"/>
                <w:sz w:val="21"/>
                <w:szCs w:val="21"/>
                <w:u w:val="none" w:color="auto"/>
              </w:rPr>
            </w:pPr>
          </w:p>
          <w:p w14:paraId="702875DF">
            <w:pPr>
              <w:keepNext w:val="0"/>
              <w:keepLines w:val="0"/>
              <w:pageBreakBefore w:val="0"/>
              <w:kinsoku/>
              <w:wordWrap/>
              <w:overflowPunct/>
              <w:topLinePunct w:val="0"/>
              <w:bidi w:val="0"/>
              <w:spacing w:line="360" w:lineRule="auto"/>
              <w:ind w:left="0" w:right="0"/>
              <w:jc w:val="center"/>
              <w:textAlignment w:val="auto"/>
              <w:rPr>
                <w:rFonts w:hint="eastAsia" w:ascii="Times New Roman" w:hAnsi="Times New Roman" w:eastAsia="宋体" w:cs="宋体"/>
                <w:b/>
                <w:bCs w:val="0"/>
                <w:color w:val="000000"/>
                <w:spacing w:val="0"/>
                <w:sz w:val="21"/>
                <w:szCs w:val="21"/>
                <w:u w:val="none" w:color="auto"/>
                <w:lang w:eastAsia="zh-CN"/>
              </w:rPr>
            </w:pPr>
            <w:r>
              <w:rPr>
                <w:rFonts w:hint="eastAsia" w:ascii="Times New Roman" w:hAnsi="Times New Roman" w:eastAsia="宋体" w:cs="宋体"/>
                <w:b/>
                <w:bCs w:val="0"/>
                <w:color w:val="000000"/>
                <w:spacing w:val="0"/>
                <w:sz w:val="21"/>
                <w:szCs w:val="21"/>
                <w:u w:val="none" w:color="auto"/>
              </w:rPr>
              <w:t>表1-</w:t>
            </w:r>
            <w:r>
              <w:rPr>
                <w:rFonts w:hint="eastAsia" w:ascii="Times New Roman" w:hAnsi="Times New Roman" w:eastAsia="宋体" w:cs="宋体"/>
                <w:b/>
                <w:bCs w:val="0"/>
                <w:color w:val="000000"/>
                <w:spacing w:val="0"/>
                <w:sz w:val="21"/>
                <w:szCs w:val="21"/>
                <w:u w:val="none" w:color="auto"/>
                <w:lang w:val="en-US" w:eastAsia="zh-CN"/>
              </w:rPr>
              <w:t>3</w:t>
            </w:r>
            <w:r>
              <w:rPr>
                <w:rFonts w:hint="eastAsia" w:ascii="Times New Roman" w:hAnsi="Times New Roman" w:eastAsia="宋体" w:cs="宋体"/>
                <w:b/>
                <w:bCs w:val="0"/>
                <w:color w:val="000000"/>
                <w:spacing w:val="0"/>
                <w:sz w:val="21"/>
                <w:szCs w:val="21"/>
                <w:u w:val="none" w:color="auto"/>
              </w:rPr>
              <w:t>与</w:t>
            </w:r>
            <w:r>
              <w:rPr>
                <w:rFonts w:hint="eastAsia" w:ascii="Times New Roman" w:hAnsi="Times New Roman" w:eastAsia="宋体" w:cs="宋体"/>
                <w:b/>
                <w:bCs w:val="0"/>
                <w:color w:val="000000"/>
                <w:spacing w:val="0"/>
                <w:sz w:val="21"/>
                <w:szCs w:val="21"/>
                <w:u w:val="none" w:color="auto"/>
                <w:lang w:eastAsia="zh-CN"/>
              </w:rPr>
              <w:t>《湖南省</w:t>
            </w:r>
            <w:r>
              <w:rPr>
                <w:rFonts w:hint="eastAsia" w:ascii="Times New Roman" w:hAnsi="Times New Roman" w:eastAsia="宋体" w:cs="宋体"/>
                <w:b/>
                <w:bCs w:val="0"/>
                <w:spacing w:val="0"/>
                <w:sz w:val="21"/>
                <w:szCs w:val="21"/>
                <w:u w:val="none" w:color="auto"/>
                <w:lang w:eastAsia="zh-CN"/>
              </w:rPr>
              <w:t>长江经济带发展负面清单实施细则</w:t>
            </w:r>
            <w:r>
              <w:rPr>
                <w:rFonts w:hint="eastAsia" w:ascii="Times New Roman" w:hAnsi="Times New Roman" w:eastAsia="宋体" w:cs="宋体"/>
                <w:b/>
                <w:bCs w:val="0"/>
                <w:color w:val="000000"/>
                <w:spacing w:val="0"/>
                <w:sz w:val="21"/>
                <w:szCs w:val="21"/>
                <w:u w:val="none" w:color="auto"/>
                <w:lang w:eastAsia="zh-CN"/>
              </w:rPr>
              <w:t>》相符性一览表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4165"/>
              <w:gridCol w:w="1816"/>
              <w:gridCol w:w="857"/>
            </w:tblGrid>
            <w:tr w14:paraId="0C3A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45DD4EA5">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序号</w:t>
                  </w:r>
                </w:p>
              </w:tc>
              <w:tc>
                <w:tcPr>
                  <w:tcW w:w="3910" w:type="dxa"/>
                  <w:vAlign w:val="center"/>
                </w:tcPr>
                <w:p w14:paraId="6F162CF1">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规范条件</w:t>
                  </w:r>
                </w:p>
              </w:tc>
              <w:tc>
                <w:tcPr>
                  <w:tcW w:w="1705" w:type="dxa"/>
                  <w:vAlign w:val="center"/>
                </w:tcPr>
                <w:p w14:paraId="2A0784BC">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本项目建设内容</w:t>
                  </w:r>
                </w:p>
              </w:tc>
              <w:tc>
                <w:tcPr>
                  <w:tcW w:w="804" w:type="dxa"/>
                  <w:vAlign w:val="center"/>
                </w:tcPr>
                <w:p w14:paraId="6663C17F">
                  <w:pPr>
                    <w:pStyle w:val="6"/>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相符性</w:t>
                  </w:r>
                </w:p>
              </w:tc>
            </w:tr>
            <w:tr w14:paraId="2671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18D70FB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w:t>
                  </w:r>
                </w:p>
              </w:tc>
              <w:tc>
                <w:tcPr>
                  <w:tcW w:w="3910" w:type="dxa"/>
                  <w:vAlign w:val="center"/>
                </w:tcPr>
                <w:p w14:paraId="7D05413A">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禁止建设不符合全国和省级港口布局规划以及港口总体规划的码头项目。对不符合港口总体规划的新建、改建和扩建的码头工程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含装码头工程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2020</w:t>
                  </w:r>
                  <w:r>
                    <w:rPr>
                      <w:rFonts w:hint="eastAsia" w:ascii="Times New Roman" w:hAnsi="Times New Roman" w:cs="Times New Roman"/>
                      <w:spacing w:val="0"/>
                      <w:sz w:val="21"/>
                      <w:szCs w:val="21"/>
                      <w:u w:val="none" w:color="auto"/>
                      <w:lang w:eastAsia="zh-CN"/>
                    </w:rPr>
                    <w:t>—</w:t>
                  </w:r>
                  <w:r>
                    <w:rPr>
                      <w:rFonts w:ascii="Times New Roman" w:hAnsi="Times New Roman" w:eastAsia="宋体" w:cs="Times New Roman"/>
                      <w:spacing w:val="0"/>
                      <w:sz w:val="21"/>
                      <w:szCs w:val="21"/>
                      <w:u w:val="none" w:color="auto"/>
                    </w:rPr>
                    <w:t>2035</w:t>
                  </w:r>
                  <w:r>
                    <w:rPr>
                      <w:rFonts w:ascii="Times New Roman" w:hAnsi="Times New Roman" w:eastAsia="宋体"/>
                      <w:spacing w:val="0"/>
                      <w:sz w:val="21"/>
                      <w:szCs w:val="21"/>
                      <w:u w:val="none" w:color="auto"/>
                    </w:rPr>
                    <w:t>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》的过长江通道项目</w:t>
                  </w:r>
                  <w:r>
                    <w:rPr>
                      <w:rFonts w:hint="eastAsia" w:ascii="Times New Roman" w:hAnsi="Times New Roman" w:eastAsia="宋体"/>
                      <w:spacing w:val="0"/>
                      <w:sz w:val="21"/>
                      <w:szCs w:val="21"/>
                      <w:u w:val="none" w:color="auto"/>
                      <w:lang w:eastAsia="zh-CN"/>
                    </w:rPr>
                    <w:t>。</w:t>
                  </w:r>
                </w:p>
              </w:tc>
              <w:tc>
                <w:tcPr>
                  <w:tcW w:w="1705" w:type="dxa"/>
                  <w:vAlign w:val="center"/>
                </w:tcPr>
                <w:p w14:paraId="187E58E8">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sz w:val="21"/>
                      <w:szCs w:val="21"/>
                      <w:u w:val="none" w:color="auto"/>
                      <w:lang w:val="en-US" w:eastAsia="zh-CN"/>
                    </w:rPr>
                    <w:t>不属于码头及过长江通道项目</w:t>
                  </w:r>
                </w:p>
              </w:tc>
              <w:tc>
                <w:tcPr>
                  <w:tcW w:w="804" w:type="dxa"/>
                  <w:vAlign w:val="center"/>
                </w:tcPr>
                <w:p w14:paraId="1069E49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50E0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1D61ECF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2</w:t>
                  </w:r>
                </w:p>
              </w:tc>
              <w:tc>
                <w:tcPr>
                  <w:tcW w:w="3910" w:type="dxa"/>
                  <w:vAlign w:val="center"/>
                </w:tcPr>
                <w:p w14:paraId="2F5ACFC1">
                  <w:pPr>
                    <w:pStyle w:val="23"/>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禁止在自然保护区核心区、缓冲区</w:t>
                  </w:r>
                  <w:r>
                    <w:rPr>
                      <w:rFonts w:hint="eastAsia" w:ascii="Times New Roman" w:hAnsi="Times New Roman"/>
                      <w:spacing w:val="0"/>
                      <w:sz w:val="21"/>
                      <w:szCs w:val="21"/>
                      <w:u w:val="none" w:color="auto"/>
                      <w:lang w:eastAsia="zh-CN"/>
                    </w:rPr>
                    <w:t>地</w:t>
                  </w:r>
                  <w:r>
                    <w:rPr>
                      <w:rFonts w:ascii="Times New Roman" w:hAnsi="Times New Roman" w:eastAsia="宋体"/>
                      <w:spacing w:val="0"/>
                      <w:sz w:val="21"/>
                      <w:szCs w:val="21"/>
                      <w:u w:val="none" w:color="auto"/>
                    </w:rPr>
                    <w:t>岸线和河段范围内投资建设以下旅游和生产经营项目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高尔夫球场开发、房地产开发、索道建设、会所建设等项目；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光伏发电、风力发电、火力发电建设项目；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社会资金进行商业性探矿勘查，以及不属于国家紧缺矿种资源的基础地质调查和矿产远景调查等公益性工作的设施建设；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野生动物驯养繁殖、展览基地建设项目；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污染环境、破坏自然资源或自然景观的建设设施；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对自然保护区主要保护对象产生重大影响、改变自然生</w:t>
                  </w:r>
                  <w:r>
                    <w:rPr>
                      <w:rFonts w:hint="eastAsia" w:ascii="Times New Roman" w:hAnsi="Times New Roman"/>
                      <w:spacing w:val="0"/>
                      <w:sz w:val="21"/>
                      <w:szCs w:val="21"/>
                      <w:u w:val="none" w:color="auto"/>
                      <w:lang w:eastAsia="zh-CN"/>
                    </w:rPr>
                    <w:t>态</w:t>
                  </w:r>
                  <w:r>
                    <w:rPr>
                      <w:rFonts w:ascii="Times New Roman" w:hAnsi="Times New Roman" w:eastAsia="宋体"/>
                      <w:spacing w:val="0"/>
                      <w:sz w:val="21"/>
                      <w:szCs w:val="21"/>
                      <w:u w:val="none" w:color="auto"/>
                    </w:rPr>
                    <w:t>系统完整性、原真性、破坏自然景观的设施；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其他不符合自然保护区主体功能定位和国家禁止的设施</w:t>
                  </w:r>
                </w:p>
              </w:tc>
              <w:tc>
                <w:tcPr>
                  <w:tcW w:w="1705" w:type="dxa"/>
                  <w:vAlign w:val="center"/>
                </w:tcPr>
                <w:p w14:paraId="430C517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不涉及自然保护区</w:t>
                  </w:r>
                </w:p>
              </w:tc>
              <w:tc>
                <w:tcPr>
                  <w:tcW w:w="804" w:type="dxa"/>
                  <w:vAlign w:val="center"/>
                </w:tcPr>
                <w:p w14:paraId="2601946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6A20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4DC5464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3</w:t>
                  </w:r>
                </w:p>
              </w:tc>
              <w:tc>
                <w:tcPr>
                  <w:tcW w:w="3910" w:type="dxa"/>
                  <w:vAlign w:val="center"/>
                </w:tcPr>
                <w:p w14:paraId="06211CD1">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机场、铁路、公路、水利、航运、围堰等公益 性基础设施的选址选线应多方案优化比选，尽量避让相关自然保护区域、野生动物迁徙洄游 通道；无法避让的，应当采取修建野生动物通道、过鱼设施等措施，消除或者减少对野生动 物的不利影响。</w:t>
                  </w:r>
                </w:p>
              </w:tc>
              <w:tc>
                <w:tcPr>
                  <w:tcW w:w="1705" w:type="dxa"/>
                  <w:vAlign w:val="center"/>
                </w:tcPr>
                <w:p w14:paraId="21B879C6">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不涉及机场、铁路、公路、水利、航运、围堰等设施</w:t>
                  </w:r>
                </w:p>
              </w:tc>
              <w:tc>
                <w:tcPr>
                  <w:tcW w:w="804" w:type="dxa"/>
                  <w:vAlign w:val="center"/>
                </w:tcPr>
                <w:p w14:paraId="18472D8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0A03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005CF1E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4</w:t>
                  </w:r>
                </w:p>
              </w:tc>
              <w:tc>
                <w:tcPr>
                  <w:tcW w:w="3910" w:type="dxa"/>
                  <w:vAlign w:val="center"/>
                </w:tcPr>
                <w:p w14:paraId="662C5829">
                  <w:pPr>
                    <w:pStyle w:val="23"/>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禁止违反风景名胜区规划，在风景名胜区内设立各类开发区和在核心景区内建设宾馆、招待所、培训中心、疗养院以及与风景名胜资源保护无关的其他建筑物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已经建设的应当按照风景名胜区规划，逐步迁出</w:t>
                  </w:r>
                  <w:r>
                    <w:rPr>
                      <w:rFonts w:ascii="Times New Roman" w:hAnsi="Times New Roman" w:eastAsia="宋体" w:cs="仿宋"/>
                      <w:spacing w:val="0"/>
                      <w:position w:val="0"/>
                      <w:sz w:val="21"/>
                      <w:szCs w:val="21"/>
                      <w:u w:val="none" w:color="auto"/>
                    </w:rPr>
                    <w:t>。</w:t>
                  </w:r>
                </w:p>
              </w:tc>
              <w:tc>
                <w:tcPr>
                  <w:tcW w:w="1705" w:type="dxa"/>
                  <w:vAlign w:val="center"/>
                </w:tcPr>
                <w:p w14:paraId="41A55618">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不涉及风景名胜区</w:t>
                  </w:r>
                  <w:r>
                    <w:rPr>
                      <w:rFonts w:hint="eastAsia" w:ascii="Times New Roman" w:hAnsi="Times New Roman" w:eastAsia="宋体"/>
                      <w:spacing w:val="0"/>
                      <w:sz w:val="21"/>
                      <w:szCs w:val="21"/>
                      <w:u w:val="none" w:color="auto"/>
                      <w:lang w:eastAsia="zh-CN"/>
                    </w:rPr>
                    <w:t>。</w:t>
                  </w:r>
                </w:p>
              </w:tc>
              <w:tc>
                <w:tcPr>
                  <w:tcW w:w="804" w:type="dxa"/>
                  <w:vAlign w:val="center"/>
                </w:tcPr>
                <w:p w14:paraId="2EBBEDA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5D46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23BAEEF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5</w:t>
                  </w:r>
                </w:p>
              </w:tc>
              <w:tc>
                <w:tcPr>
                  <w:tcW w:w="3910" w:type="dxa"/>
                  <w:vAlign w:val="center"/>
                </w:tcPr>
                <w:p w14:paraId="245C9D7B">
                  <w:pPr>
                    <w:pStyle w:val="23"/>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饮用水水源一级保护区内禁止新建、改建、扩建与供水设施和保护水源无关的建设项目，以及网箱养殖、畜禽养殖、旅游等可能污染饮用水水体的投资建设项目</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禁止向水域排放污水，已设置的排污口必须拆除</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不得设置与供水需要无关的码头，禁止停靠船舶</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禁止堆置和存放工业废渣、城市垃圾、粪便</w:t>
                  </w:r>
                  <w:r>
                    <w:rPr>
                      <w:rFonts w:hint="eastAsia" w:ascii="Times New Roman" w:hAnsi="Times New Roman"/>
                      <w:spacing w:val="0"/>
                      <w:sz w:val="21"/>
                      <w:szCs w:val="21"/>
                      <w:highlight w:val="none"/>
                      <w:u w:val="none" w:color="auto"/>
                      <w:lang w:eastAsia="zh-CN"/>
                    </w:rPr>
                    <w:t>和其他</w:t>
                  </w:r>
                  <w:r>
                    <w:rPr>
                      <w:rFonts w:ascii="Times New Roman" w:hAnsi="Times New Roman" w:eastAsia="宋体"/>
                      <w:spacing w:val="0"/>
                      <w:sz w:val="21"/>
                      <w:szCs w:val="21"/>
                      <w:highlight w:val="none"/>
                      <w:u w:val="none" w:color="auto"/>
                    </w:rPr>
                    <w:t>废弃物</w:t>
                  </w:r>
                  <w:r>
                    <w:rPr>
                      <w:rFonts w:hint="eastAsia" w:ascii="Times New Roman" w:hAnsi="Times New Roman" w:eastAsia="宋体"/>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禁止设置油库</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禁止使用含磷洗涤用品。</w:t>
                  </w:r>
                </w:p>
              </w:tc>
              <w:tc>
                <w:tcPr>
                  <w:tcW w:w="1705" w:type="dxa"/>
                  <w:vAlign w:val="center"/>
                </w:tcPr>
                <w:p w14:paraId="1A28079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不涉及饮用水水源一级保护区</w:t>
                  </w:r>
                </w:p>
              </w:tc>
              <w:tc>
                <w:tcPr>
                  <w:tcW w:w="804" w:type="dxa"/>
                  <w:vAlign w:val="center"/>
                </w:tcPr>
                <w:p w14:paraId="2CD6F33F">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7E89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37C6B1C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6</w:t>
                  </w:r>
                </w:p>
              </w:tc>
              <w:tc>
                <w:tcPr>
                  <w:tcW w:w="3910" w:type="dxa"/>
                  <w:vAlign w:val="center"/>
                </w:tcPr>
                <w:p w14:paraId="141E3984">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饮用水水源二级保护区内禁止新建、改建、扩建向水体排放污染物的投资建设项目。原有排污口依法拆除或关闭。禁止设立装卸垃圾、粪便、油类和有毒物品的码头</w:t>
                  </w:r>
                  <w:r>
                    <w:rPr>
                      <w:rFonts w:hint="eastAsia" w:ascii="Times New Roman" w:hAnsi="Times New Roman" w:eastAsia="宋体"/>
                      <w:spacing w:val="0"/>
                      <w:sz w:val="21"/>
                      <w:szCs w:val="21"/>
                      <w:highlight w:val="none"/>
                      <w:u w:val="none" w:color="auto"/>
                      <w:lang w:eastAsia="zh-CN"/>
                    </w:rPr>
                    <w:t>。</w:t>
                  </w:r>
                </w:p>
              </w:tc>
              <w:tc>
                <w:tcPr>
                  <w:tcW w:w="1705" w:type="dxa"/>
                  <w:vAlign w:val="center"/>
                </w:tcPr>
                <w:p w14:paraId="16C1A3B1">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不涉及饮用水水源二级保护区</w:t>
                  </w:r>
                </w:p>
              </w:tc>
              <w:tc>
                <w:tcPr>
                  <w:tcW w:w="804" w:type="dxa"/>
                  <w:vAlign w:val="center"/>
                </w:tcPr>
                <w:p w14:paraId="00B57541">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14DC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752359BE">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7</w:t>
                  </w:r>
                </w:p>
              </w:tc>
              <w:tc>
                <w:tcPr>
                  <w:tcW w:w="3910" w:type="dxa"/>
                  <w:vAlign w:val="center"/>
                </w:tcPr>
                <w:p w14:paraId="24C8D65E">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禁止在水产种质资源保护区的岸线和河段范围内新建排污口、实施非法围垦河道和围湖造田造地等投资建设</w:t>
                  </w:r>
                  <w:r>
                    <w:rPr>
                      <w:rFonts w:hint="eastAsia" w:ascii="Times New Roman" w:hAnsi="Times New Roman"/>
                      <w:spacing w:val="0"/>
                      <w:sz w:val="21"/>
                      <w:szCs w:val="21"/>
                      <w:u w:val="none" w:color="auto"/>
                      <w:lang w:eastAsia="zh-CN"/>
                    </w:rPr>
                    <w:t>项目</w:t>
                  </w:r>
                  <w:r>
                    <w:rPr>
                      <w:rFonts w:hint="eastAsia" w:ascii="Times New Roman" w:hAnsi="Times New Roman" w:eastAsia="宋体"/>
                      <w:spacing w:val="0"/>
                      <w:sz w:val="21"/>
                      <w:szCs w:val="21"/>
                      <w:u w:val="none" w:color="auto"/>
                      <w:lang w:eastAsia="zh-CN"/>
                    </w:rPr>
                    <w:t>。</w:t>
                  </w:r>
                </w:p>
              </w:tc>
              <w:tc>
                <w:tcPr>
                  <w:tcW w:w="1705" w:type="dxa"/>
                  <w:vAlign w:val="center"/>
                </w:tcPr>
                <w:p w14:paraId="2FE03839">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不涉及水产种质资源保护区</w:t>
                  </w:r>
                  <w:r>
                    <w:rPr>
                      <w:rFonts w:hint="eastAsia" w:ascii="Times New Roman" w:hAnsi="Times New Roman"/>
                      <w:spacing w:val="0"/>
                      <w:sz w:val="21"/>
                      <w:szCs w:val="21"/>
                      <w:u w:val="none" w:color="auto"/>
                      <w:lang w:eastAsia="zh-CN"/>
                    </w:rPr>
                    <w:t>和河段</w:t>
                  </w:r>
                </w:p>
              </w:tc>
              <w:tc>
                <w:tcPr>
                  <w:tcW w:w="804" w:type="dxa"/>
                  <w:vAlign w:val="center"/>
                </w:tcPr>
                <w:p w14:paraId="51645AE1">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2913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6A9DE41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8</w:t>
                  </w:r>
                </w:p>
              </w:tc>
              <w:tc>
                <w:tcPr>
                  <w:tcW w:w="3910" w:type="dxa"/>
                  <w:vAlign w:val="center"/>
                </w:tcPr>
                <w:p w14:paraId="0A877F40">
                  <w:pPr>
                    <w:pStyle w:val="23"/>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除《中华人民共和国防洪法》规定的紧急防汛 期采取的紧急措施外，禁止在国家湿地公园的岸线和河段范围内</w:t>
                  </w:r>
                  <w:r>
                    <w:rPr>
                      <w:rFonts w:hint="eastAsia" w:ascii="Times New Roman" w:hAnsi="Times New Roman"/>
                      <w:spacing w:val="0"/>
                      <w:sz w:val="21"/>
                      <w:szCs w:val="21"/>
                      <w:u w:val="none" w:color="auto"/>
                      <w:lang w:eastAsia="zh-CN"/>
                    </w:rPr>
                    <w:t>挖沙</w:t>
                  </w:r>
                  <w:r>
                    <w:rPr>
                      <w:rFonts w:ascii="Times New Roman" w:hAnsi="Times New Roman" w:eastAsia="宋体"/>
                      <w:spacing w:val="0"/>
                      <w:sz w:val="21"/>
                      <w:szCs w:val="21"/>
                      <w:u w:val="none" w:color="auto"/>
                    </w:rPr>
                    <w:t>、采矿，以及以下不符合主体功能定位的行为和活动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垦、填埋或者排干湿地；</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截断湿地水源；</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倾倒有毒有害物质、废弃物、垃圾；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从事房地产、度假村、高尔夫球场、风力发电、光伏发电等任何不符合主体功能定位的建设项目和开发活动；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破坏野生动物栖息地和迁徙通道、鱼类游通道滥采滥捕野生动植物；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引入外来物种；</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擅自放牧、捕捞、取土、取水、排污、放生；</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八</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其他破坏湿地及其生态功能的活动</w:t>
                  </w:r>
                </w:p>
              </w:tc>
              <w:tc>
                <w:tcPr>
                  <w:tcW w:w="1705" w:type="dxa"/>
                  <w:vAlign w:val="center"/>
                </w:tcPr>
                <w:p w14:paraId="1C5158F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cs="Times New Roman"/>
                      <w:spacing w:val="0"/>
                      <w:kern w:val="0"/>
                      <w:position w:val="0"/>
                      <w:sz w:val="21"/>
                      <w:szCs w:val="21"/>
                      <w:u w:val="none" w:color="auto"/>
                      <w:vertAlign w:val="baseline"/>
                      <w:lang w:val="en-US" w:eastAsia="zh-CN"/>
                    </w:rPr>
                    <w:t>本项目不涉及</w:t>
                  </w:r>
                  <w:r>
                    <w:rPr>
                      <w:rFonts w:ascii="Times New Roman" w:hAnsi="Times New Roman" w:eastAsia="宋体"/>
                      <w:spacing w:val="0"/>
                      <w:sz w:val="21"/>
                      <w:szCs w:val="21"/>
                      <w:u w:val="none" w:color="auto"/>
                    </w:rPr>
                    <w:t>在国家湿地公园的岸线和河段范围内</w:t>
                  </w:r>
                  <w:r>
                    <w:rPr>
                      <w:rFonts w:hint="eastAsia"/>
                      <w:spacing w:val="0"/>
                      <w:sz w:val="21"/>
                      <w:szCs w:val="21"/>
                      <w:u w:val="none" w:color="auto"/>
                      <w:lang w:eastAsia="zh-CN"/>
                    </w:rPr>
                    <w:t>挖沙</w:t>
                  </w:r>
                  <w:r>
                    <w:rPr>
                      <w:rFonts w:ascii="Times New Roman" w:hAnsi="Times New Roman" w:eastAsia="宋体"/>
                      <w:spacing w:val="0"/>
                      <w:sz w:val="21"/>
                      <w:szCs w:val="21"/>
                      <w:u w:val="none" w:color="auto"/>
                    </w:rPr>
                    <w:t>、采矿</w:t>
                  </w:r>
                  <w:r>
                    <w:rPr>
                      <w:rFonts w:hint="eastAsia" w:ascii="Times New Roman" w:hAnsi="Times New Roman" w:eastAsia="宋体"/>
                      <w:spacing w:val="0"/>
                      <w:sz w:val="21"/>
                      <w:szCs w:val="21"/>
                      <w:u w:val="none" w:color="auto"/>
                      <w:lang w:eastAsia="zh-CN"/>
                    </w:rPr>
                    <w:t>等活动</w:t>
                  </w:r>
                </w:p>
              </w:tc>
              <w:tc>
                <w:tcPr>
                  <w:tcW w:w="804" w:type="dxa"/>
                  <w:vAlign w:val="center"/>
                </w:tcPr>
                <w:p w14:paraId="7DA10394">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2DF5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0C3E706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9</w:t>
                  </w:r>
                </w:p>
              </w:tc>
              <w:tc>
                <w:tcPr>
                  <w:tcW w:w="3910" w:type="dxa"/>
                  <w:vAlign w:val="center"/>
                </w:tcPr>
                <w:p w14:paraId="1CC3D194">
                  <w:pPr>
                    <w:pStyle w:val="23"/>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 非法围垦河道，禁止非法建设矮围</w:t>
                  </w:r>
                  <w:r>
                    <w:rPr>
                      <w:rFonts w:hint="eastAsia" w:ascii="Times New Roman" w:hAnsi="Times New Roman"/>
                      <w:spacing w:val="0"/>
                      <w:sz w:val="21"/>
                      <w:szCs w:val="21"/>
                      <w:u w:val="none" w:color="auto"/>
                      <w:lang w:eastAsia="zh-CN"/>
                    </w:rPr>
                    <w:t>围网</w:t>
                  </w:r>
                  <w:r>
                    <w:rPr>
                      <w:rFonts w:ascii="Times New Roman" w:hAnsi="Times New Roman" w:eastAsia="宋体"/>
                      <w:spacing w:val="0"/>
                      <w:sz w:val="21"/>
                      <w:szCs w:val="21"/>
                      <w:u w:val="none" w:color="auto"/>
                    </w:rPr>
                    <w:t>、填埋湿地等侵占河湖水域或者违法利用、占用河湖岸线的行为。</w:t>
                  </w:r>
                </w:p>
              </w:tc>
              <w:tc>
                <w:tcPr>
                  <w:tcW w:w="1705" w:type="dxa"/>
                  <w:vAlign w:val="center"/>
                </w:tcPr>
                <w:p w14:paraId="0F2B57B0">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不涉及河湖岸线</w:t>
                  </w:r>
                </w:p>
              </w:tc>
              <w:tc>
                <w:tcPr>
                  <w:tcW w:w="804" w:type="dxa"/>
                  <w:vAlign w:val="center"/>
                </w:tcPr>
                <w:p w14:paraId="6F7B461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19D5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61F877FD">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10</w:t>
                  </w:r>
                </w:p>
              </w:tc>
              <w:tc>
                <w:tcPr>
                  <w:tcW w:w="3910" w:type="dxa"/>
                  <w:vAlign w:val="center"/>
                </w:tcPr>
                <w:p w14:paraId="40A18759">
                  <w:pPr>
                    <w:pStyle w:val="23"/>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禁止在《全国重要江河湖泊水功能区划》划定的河段及湖泊保护区、保留区内投资建设不利于水资源及自然生态保护的项目</w:t>
                  </w:r>
                </w:p>
              </w:tc>
              <w:tc>
                <w:tcPr>
                  <w:tcW w:w="1705" w:type="dxa"/>
                  <w:vAlign w:val="center"/>
                </w:tcPr>
                <w:p w14:paraId="1E34F1C9">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u w:val="none" w:color="auto"/>
                      <w:lang w:val="en-US" w:eastAsia="zh-CN"/>
                    </w:rPr>
                    <w:t>不涉及河段及湖泊保护区、保留区</w:t>
                  </w:r>
                </w:p>
              </w:tc>
              <w:tc>
                <w:tcPr>
                  <w:tcW w:w="804" w:type="dxa"/>
                  <w:vAlign w:val="center"/>
                </w:tcPr>
                <w:p w14:paraId="0F5345BC">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5286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64276BA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11</w:t>
                  </w:r>
                </w:p>
              </w:tc>
              <w:tc>
                <w:tcPr>
                  <w:tcW w:w="3910" w:type="dxa"/>
                  <w:vAlign w:val="center"/>
                </w:tcPr>
                <w:p w14:paraId="1B71864C">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禁止未经许可在长江干支流及湖泊新设、改设或扩大排污口。</w:t>
                  </w:r>
                </w:p>
              </w:tc>
              <w:tc>
                <w:tcPr>
                  <w:tcW w:w="1705" w:type="dxa"/>
                  <w:vAlign w:val="center"/>
                </w:tcPr>
                <w:p w14:paraId="5085731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eastAsia="宋体"/>
                      <w:u w:val="none" w:color="auto"/>
                      <w:lang w:val="en-US" w:eastAsia="zh-CN"/>
                    </w:rPr>
                    <w:t>本项目在《湖南省长江经济带发展负面清单实施细则（试行，2022年版）》发布前已设立多年，不属于新设、改设或扩大排污口。</w:t>
                  </w:r>
                </w:p>
              </w:tc>
              <w:tc>
                <w:tcPr>
                  <w:tcW w:w="804" w:type="dxa"/>
                  <w:vAlign w:val="center"/>
                </w:tcPr>
                <w:p w14:paraId="7AB5477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6475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2086873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12</w:t>
                  </w:r>
                </w:p>
              </w:tc>
              <w:tc>
                <w:tcPr>
                  <w:tcW w:w="3910" w:type="dxa"/>
                  <w:vAlign w:val="center"/>
                </w:tcPr>
                <w:p w14:paraId="125C6AF4">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禁止在洞庭湖、湘江、资江、沅江、</w:t>
                  </w:r>
                  <w:r>
                    <w:rPr>
                      <w:rFonts w:hint="eastAsia" w:ascii="Times New Roman" w:hAnsi="Times New Roman"/>
                      <w:spacing w:val="0"/>
                      <w:sz w:val="21"/>
                      <w:szCs w:val="21"/>
                      <w:u w:val="none" w:color="auto"/>
                      <w:lang w:eastAsia="zh-CN"/>
                    </w:rPr>
                    <w:t>澧水</w:t>
                  </w:r>
                  <w:r>
                    <w:rPr>
                      <w:rFonts w:ascii="Times New Roman" w:hAnsi="Times New Roman" w:eastAsia="宋体"/>
                      <w:spacing w:val="0"/>
                      <w:sz w:val="21"/>
                      <w:szCs w:val="21"/>
                      <w:u w:val="none" w:color="auto"/>
                    </w:rPr>
                    <w:t>干流和</w:t>
                  </w:r>
                  <w:r>
                    <w:rPr>
                      <w:rFonts w:ascii="Times New Roman" w:hAnsi="Times New Roman" w:eastAsia="宋体" w:cs="Times New Roman"/>
                      <w:spacing w:val="0"/>
                      <w:sz w:val="21"/>
                      <w:szCs w:val="21"/>
                      <w:u w:val="none" w:color="auto"/>
                    </w:rPr>
                    <w:t>45</w:t>
                  </w:r>
                  <w:r>
                    <w:rPr>
                      <w:rFonts w:ascii="Times New Roman" w:hAnsi="Times New Roman" w:eastAsia="宋体"/>
                      <w:spacing w:val="0"/>
                      <w:sz w:val="21"/>
                      <w:szCs w:val="21"/>
                      <w:u w:val="none" w:color="auto"/>
                    </w:rPr>
                    <w:t>个水生生物保护区开展生产性捕捞。在相关自然保护区域和禁猎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区、禁猎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期内，禁止猎捕以及其他妨碍野生动物生息繁衍的活动，但法律法规另有规定的除外。</w:t>
                  </w:r>
                </w:p>
              </w:tc>
              <w:tc>
                <w:tcPr>
                  <w:tcW w:w="1705" w:type="dxa"/>
                  <w:vAlign w:val="center"/>
                </w:tcPr>
                <w:p w14:paraId="7276CCBD">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不涉及捕捞</w:t>
                  </w:r>
                </w:p>
              </w:tc>
              <w:tc>
                <w:tcPr>
                  <w:tcW w:w="804" w:type="dxa"/>
                  <w:vAlign w:val="center"/>
                </w:tcPr>
                <w:p w14:paraId="3D17A95A">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176C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2F44E557">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13</w:t>
                  </w:r>
                </w:p>
              </w:tc>
              <w:tc>
                <w:tcPr>
                  <w:tcW w:w="3910" w:type="dxa"/>
                  <w:vAlign w:val="center"/>
                </w:tcPr>
                <w:p w14:paraId="0CBA8C59">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长江湖南段和洞庭湖、湘江、资江、沅江、漕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705" w:type="dxa"/>
                  <w:vAlign w:val="center"/>
                </w:tcPr>
                <w:p w14:paraId="4E837928">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不涉及化工项目，不属于尾矿库、冶炼渣库和磷石膏库</w:t>
                  </w:r>
                </w:p>
              </w:tc>
              <w:tc>
                <w:tcPr>
                  <w:tcW w:w="804" w:type="dxa"/>
                  <w:vAlign w:val="center"/>
                </w:tcPr>
                <w:p w14:paraId="00BAC08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08C6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453C9F61">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14</w:t>
                  </w:r>
                </w:p>
              </w:tc>
              <w:tc>
                <w:tcPr>
                  <w:tcW w:w="3910" w:type="dxa"/>
                  <w:vAlign w:val="center"/>
                </w:tcPr>
                <w:p w14:paraId="46574B14">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禁止在合规园区外新建、扩建钢铁、石化、化工、焦化、建材、有色、制浆造纸等高污染项目。高污染项目严格按照生态环境部《环境保护综合名录</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2021</w:t>
                  </w:r>
                  <w:r>
                    <w:rPr>
                      <w:rFonts w:ascii="Times New Roman" w:hAnsi="Times New Roman" w:eastAsia="宋体"/>
                      <w:spacing w:val="0"/>
                      <w:sz w:val="21"/>
                      <w:szCs w:val="21"/>
                      <w:u w:val="none" w:color="auto"/>
                    </w:rPr>
                    <w:t>年版</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》有关要求执行。</w:t>
                  </w:r>
                </w:p>
              </w:tc>
              <w:tc>
                <w:tcPr>
                  <w:tcW w:w="1705" w:type="dxa"/>
                  <w:vAlign w:val="center"/>
                </w:tcPr>
                <w:p w14:paraId="0BD75758">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不属于高污染项目</w:t>
                  </w:r>
                </w:p>
              </w:tc>
              <w:tc>
                <w:tcPr>
                  <w:tcW w:w="804" w:type="dxa"/>
                  <w:vAlign w:val="center"/>
                </w:tcPr>
                <w:p w14:paraId="6A5C3D5B">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12FA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3A9CC503">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15</w:t>
                  </w:r>
                </w:p>
              </w:tc>
              <w:tc>
                <w:tcPr>
                  <w:tcW w:w="3910" w:type="dxa"/>
                  <w:vAlign w:val="center"/>
                </w:tcPr>
                <w:p w14:paraId="20527B30">
                  <w:pPr>
                    <w:pStyle w:val="23"/>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禁止新建、扩建不符合国家石化、现代煤化工等产业布局规划的项目。未通过认定的化工园区，不得新建、改扩建化工项目</w:t>
                  </w:r>
                  <w:r>
                    <w:rPr>
                      <w:rFonts w:hint="eastAsia" w:ascii="Times New Roman" w:hAnsi="Times New Roman"/>
                      <w:spacing w:val="0"/>
                      <w:sz w:val="21"/>
                      <w:szCs w:val="21"/>
                      <w:u w:val="none" w:color="auto"/>
                      <w:lang w:eastAsia="zh-CN"/>
                    </w:rPr>
                    <w:t>（</w:t>
                  </w:r>
                  <w:r>
                    <w:rPr>
                      <w:rFonts w:hint="eastAsia" w:ascii="Times New Roman" w:hAnsi="Times New Roman" w:eastAsia="宋体" w:cs="Times New Roman"/>
                      <w:spacing w:val="0"/>
                      <w:sz w:val="21"/>
                      <w:szCs w:val="21"/>
                      <w:u w:val="none" w:color="auto"/>
                      <w:lang w:eastAsia="zh-CN"/>
                    </w:rPr>
                    <w:t>安全、环保、节能和智能化改造项目除外）</w:t>
                  </w:r>
                </w:p>
              </w:tc>
              <w:tc>
                <w:tcPr>
                  <w:tcW w:w="1705" w:type="dxa"/>
                  <w:vAlign w:val="center"/>
                </w:tcPr>
                <w:p w14:paraId="3A4FD40C">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不涉及石化、现代煤化工等</w:t>
                  </w:r>
                </w:p>
              </w:tc>
              <w:tc>
                <w:tcPr>
                  <w:tcW w:w="804" w:type="dxa"/>
                  <w:vAlign w:val="center"/>
                </w:tcPr>
                <w:p w14:paraId="3C6F1A9C">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14:paraId="334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14:paraId="145C82A6">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16</w:t>
                  </w:r>
                </w:p>
              </w:tc>
              <w:tc>
                <w:tcPr>
                  <w:tcW w:w="3910" w:type="dxa"/>
                  <w:vAlign w:val="center"/>
                </w:tcPr>
                <w:p w14:paraId="03031D56">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禁止新建、扩建法律法规和相关政策明令禁止的落后产能项目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对不符合要求的落后产能存量项目依法依规退出。禁止新建、扩建不符合国家产能置换要求的严重过剩产能行业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钢铁、水泥、电解铝、平板玻璃、船舶等行业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的项目。对确有必要新建、扩建的，必须严格执行产能置换实施办法，实施减量或等量置换，依法依规办理有关手续。禁止新建扩建不符合要求的高耗能高排放项目</w:t>
                  </w:r>
                </w:p>
              </w:tc>
              <w:tc>
                <w:tcPr>
                  <w:tcW w:w="1705" w:type="dxa"/>
                  <w:vAlign w:val="center"/>
                </w:tcPr>
                <w:p w14:paraId="249E6A41">
                  <w:pPr>
                    <w:pStyle w:val="23"/>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符合国家产业政策，不属于高耗能及高排放项目</w:t>
                  </w:r>
                </w:p>
              </w:tc>
              <w:tc>
                <w:tcPr>
                  <w:tcW w:w="804" w:type="dxa"/>
                  <w:vAlign w:val="center"/>
                </w:tcPr>
                <w:p w14:paraId="1A6D6BFC">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bl>
          <w:p w14:paraId="62F66389">
            <w:pPr>
              <w:pStyle w:val="2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spacing w:val="0"/>
                <w:sz w:val="24"/>
                <w:szCs w:val="24"/>
                <w:u w:val="none" w:color="auto"/>
                <w:lang w:val="en-US" w:eastAsia="zh-CN"/>
              </w:rPr>
            </w:pPr>
            <w:r>
              <w:rPr>
                <w:rFonts w:ascii="Times New Roman" w:hAnsi="Times New Roman" w:eastAsia="宋体"/>
                <w:spacing w:val="0"/>
                <w:sz w:val="24"/>
                <w:szCs w:val="24"/>
                <w:u w:val="none" w:color="auto"/>
              </w:rPr>
              <w:t>综上分析</w:t>
            </w:r>
            <w:r>
              <w:rPr>
                <w:rFonts w:hint="eastAsia" w:ascii="Times New Roman" w:hAnsi="Times New Roman" w:eastAsia="宋体"/>
                <w:spacing w:val="0"/>
                <w:sz w:val="24"/>
                <w:szCs w:val="24"/>
                <w:u w:val="none" w:color="auto"/>
                <w:lang w:eastAsia="zh-CN"/>
              </w:rPr>
              <w:t>，</w:t>
            </w:r>
            <w:r>
              <w:rPr>
                <w:rFonts w:ascii="Times New Roman" w:hAnsi="Times New Roman" w:eastAsia="宋体"/>
                <w:spacing w:val="0"/>
                <w:sz w:val="24"/>
                <w:szCs w:val="24"/>
                <w:u w:val="none" w:color="auto"/>
              </w:rPr>
              <w:t>本项目与《湖南省长江经济带发展负面清单实施细则（试行，</w:t>
            </w:r>
            <w:r>
              <w:rPr>
                <w:rFonts w:ascii="Times New Roman" w:hAnsi="Times New Roman" w:eastAsia="宋体" w:cs="Times New Roman"/>
                <w:spacing w:val="0"/>
                <w:sz w:val="24"/>
                <w:szCs w:val="24"/>
                <w:u w:val="none" w:color="auto"/>
              </w:rPr>
              <w:t>2022</w:t>
            </w:r>
            <w:r>
              <w:rPr>
                <w:rFonts w:ascii="Times New Roman" w:hAnsi="Times New Roman" w:eastAsia="宋体"/>
                <w:spacing w:val="0"/>
                <w:sz w:val="24"/>
                <w:szCs w:val="24"/>
                <w:u w:val="none" w:color="auto"/>
              </w:rPr>
              <w:t>年版）》相符。</w:t>
            </w:r>
          </w:p>
          <w:p w14:paraId="689789E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b/>
                <w:bCs/>
                <w:spacing w:val="0"/>
                <w:sz w:val="24"/>
                <w:szCs w:val="24"/>
                <w:u w:val="none" w:color="auto"/>
              </w:rPr>
            </w:pPr>
            <w:r>
              <w:rPr>
                <w:rFonts w:hint="eastAsia" w:ascii="Times New Roman" w:hAnsi="Times New Roman" w:eastAsia="宋体"/>
                <w:b/>
                <w:bCs/>
                <w:spacing w:val="0"/>
                <w:sz w:val="24"/>
                <w:szCs w:val="24"/>
                <w:u w:val="none" w:color="auto"/>
                <w:lang w:val="en-US" w:eastAsia="zh-CN"/>
              </w:rPr>
              <w:t>4</w:t>
            </w:r>
            <w:r>
              <w:rPr>
                <w:rFonts w:ascii="Times New Roman" w:hAnsi="Times New Roman" w:eastAsia="宋体"/>
                <w:b/>
                <w:bCs/>
                <w:spacing w:val="0"/>
                <w:sz w:val="24"/>
                <w:szCs w:val="24"/>
                <w:u w:val="none" w:color="auto"/>
              </w:rPr>
              <w:t>、选址合理性分析</w:t>
            </w:r>
          </w:p>
          <w:p w14:paraId="0C62352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color="auto"/>
                <w:lang w:val="en-US" w:eastAsia="zh-CN"/>
              </w:rPr>
            </w:pPr>
            <w:r>
              <w:rPr>
                <w:rFonts w:hint="eastAsia" w:ascii="Times New Roman" w:hAnsi="Times New Roman" w:eastAsia="宋体"/>
                <w:spacing w:val="0"/>
                <w:sz w:val="24"/>
                <w:szCs w:val="24"/>
                <w:u w:val="none" w:color="auto"/>
                <w:lang w:eastAsia="zh-CN"/>
              </w:rPr>
              <w:t>根据《乡镇卫生院建设标准》（建标</w:t>
            </w:r>
            <w:r>
              <w:rPr>
                <w:rFonts w:hint="eastAsia" w:ascii="Times New Roman" w:hAnsi="Times New Roman" w:eastAsia="宋体" w:cs="宋体"/>
                <w:spacing w:val="0"/>
                <w:kern w:val="0"/>
                <w:sz w:val="24"/>
                <w:szCs w:val="24"/>
                <w:u w:val="none" w:color="auto"/>
              </w:rPr>
              <w:t>[</w:t>
            </w:r>
            <w:r>
              <w:rPr>
                <w:rFonts w:hint="eastAsia" w:ascii="Times New Roman" w:hAnsi="Times New Roman" w:eastAsia="宋体" w:cs="宋体"/>
                <w:spacing w:val="0"/>
                <w:kern w:val="0"/>
                <w:sz w:val="24"/>
                <w:szCs w:val="24"/>
                <w:u w:val="none" w:color="auto"/>
                <w:lang w:val="en-US" w:eastAsia="zh-CN"/>
              </w:rPr>
              <w:t>2008</w:t>
            </w:r>
            <w:r>
              <w:rPr>
                <w:rFonts w:hint="eastAsia" w:ascii="Times New Roman" w:hAnsi="Times New Roman" w:eastAsia="宋体" w:cs="宋体"/>
                <w:spacing w:val="0"/>
                <w:kern w:val="0"/>
                <w:sz w:val="24"/>
                <w:szCs w:val="24"/>
                <w:u w:val="none" w:color="auto"/>
              </w:rPr>
              <w:t>]</w:t>
            </w:r>
            <w:r>
              <w:rPr>
                <w:rFonts w:hint="eastAsia" w:ascii="Times New Roman" w:hAnsi="Times New Roman" w:eastAsia="宋体" w:cs="宋体"/>
                <w:spacing w:val="0"/>
                <w:kern w:val="0"/>
                <w:sz w:val="24"/>
                <w:szCs w:val="24"/>
                <w:u w:val="none" w:color="auto"/>
                <w:lang w:val="en-US" w:eastAsia="zh-CN"/>
              </w:rPr>
              <w:t>142号）中的要求。本项目与建标中选址要求对比如下：</w:t>
            </w:r>
          </w:p>
          <w:p w14:paraId="24EB77A2">
            <w:pPr>
              <w:keepNext w:val="0"/>
              <w:keepLines w:val="0"/>
              <w:pageBreakBefore w:val="0"/>
              <w:kinsoku/>
              <w:wordWrap/>
              <w:overflowPunct/>
              <w:topLinePunct w:val="0"/>
              <w:bidi w:val="0"/>
              <w:ind w:left="0" w:right="0"/>
              <w:jc w:val="center"/>
              <w:textAlignment w:val="auto"/>
              <w:rPr>
                <w:rFonts w:hint="eastAsia" w:ascii="Times New Roman" w:hAnsi="Times New Roman" w:eastAsia="宋体" w:cs="宋体"/>
                <w:spacing w:val="0"/>
                <w:kern w:val="0"/>
                <w:sz w:val="24"/>
                <w:szCs w:val="24"/>
                <w:u w:val="none" w:color="auto"/>
                <w:lang w:val="en-US" w:eastAsia="zh-CN"/>
              </w:rPr>
            </w:pPr>
            <w:r>
              <w:rPr>
                <w:rFonts w:hint="eastAsia" w:ascii="Times New Roman" w:hAnsi="Times New Roman" w:eastAsia="宋体" w:cs="宋体"/>
                <w:b/>
                <w:bCs/>
                <w:spacing w:val="0"/>
                <w:kern w:val="0"/>
                <w:sz w:val="21"/>
                <w:szCs w:val="21"/>
                <w:u w:val="none" w:color="auto"/>
                <w:lang w:val="en-US" w:eastAsia="zh-CN"/>
              </w:rPr>
              <w:t>表2-3 项目与建标符合性分析</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3167"/>
              <w:gridCol w:w="2632"/>
              <w:gridCol w:w="1000"/>
            </w:tblGrid>
            <w:tr w14:paraId="0B18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35464A5E">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序号</w:t>
                  </w:r>
                </w:p>
              </w:tc>
              <w:tc>
                <w:tcPr>
                  <w:tcW w:w="3360" w:type="dxa"/>
                  <w:vAlign w:val="center"/>
                </w:tcPr>
                <w:p w14:paraId="10100DC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标准要求</w:t>
                  </w:r>
                </w:p>
              </w:tc>
              <w:tc>
                <w:tcPr>
                  <w:tcW w:w="2784" w:type="dxa"/>
                  <w:vAlign w:val="center"/>
                </w:tcPr>
                <w:p w14:paraId="7587593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项目情况</w:t>
                  </w:r>
                </w:p>
              </w:tc>
              <w:tc>
                <w:tcPr>
                  <w:tcW w:w="1043" w:type="dxa"/>
                  <w:vAlign w:val="center"/>
                </w:tcPr>
                <w:p w14:paraId="2A61AD3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符合性</w:t>
                  </w:r>
                </w:p>
              </w:tc>
            </w:tr>
            <w:tr w14:paraId="1893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1FB4E46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1</w:t>
                  </w:r>
                </w:p>
              </w:tc>
              <w:tc>
                <w:tcPr>
                  <w:tcW w:w="3360" w:type="dxa"/>
                  <w:vAlign w:val="center"/>
                </w:tcPr>
                <w:p w14:paraId="467C9ECC">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应具备较好的工程地质条件和水文地质条件</w:t>
                  </w:r>
                </w:p>
              </w:tc>
              <w:tc>
                <w:tcPr>
                  <w:tcW w:w="2784" w:type="dxa"/>
                  <w:vAlign w:val="center"/>
                </w:tcPr>
                <w:p w14:paraId="3BE1756B">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本项目所在地具备较好的工程地质条件和水文地质条件</w:t>
                  </w:r>
                </w:p>
              </w:tc>
              <w:tc>
                <w:tcPr>
                  <w:tcW w:w="1043" w:type="dxa"/>
                  <w:vAlign w:val="center"/>
                </w:tcPr>
                <w:p w14:paraId="69F632C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符合</w:t>
                  </w:r>
                </w:p>
              </w:tc>
            </w:tr>
            <w:tr w14:paraId="1C28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0903E75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2</w:t>
                  </w:r>
                </w:p>
              </w:tc>
              <w:tc>
                <w:tcPr>
                  <w:tcW w:w="3360" w:type="dxa"/>
                  <w:vAlign w:val="center"/>
                </w:tcPr>
                <w:p w14:paraId="680C351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应方便群众，交通便利</w:t>
                  </w:r>
                </w:p>
              </w:tc>
              <w:tc>
                <w:tcPr>
                  <w:tcW w:w="2784" w:type="dxa"/>
                  <w:vAlign w:val="center"/>
                </w:tcPr>
                <w:p w14:paraId="04C00F1F">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本项目紧邻街道</w:t>
                  </w:r>
                  <w:r>
                    <w:rPr>
                      <w:rFonts w:hint="eastAsia" w:ascii="Times New Roman" w:hAnsi="Times New Roman" w:eastAsia="宋体"/>
                      <w:b w:val="0"/>
                      <w:bCs w:val="0"/>
                      <w:spacing w:val="0"/>
                      <w:sz w:val="21"/>
                      <w:szCs w:val="21"/>
                      <w:u w:val="none" w:color="auto"/>
                      <w:lang w:eastAsia="zh-CN"/>
                    </w:rPr>
                    <w:t>，</w:t>
                  </w:r>
                  <w:r>
                    <w:rPr>
                      <w:rFonts w:ascii="Times New Roman" w:hAnsi="Times New Roman" w:eastAsia="宋体"/>
                      <w:b w:val="0"/>
                      <w:bCs w:val="0"/>
                      <w:spacing w:val="0"/>
                      <w:sz w:val="21"/>
                      <w:szCs w:val="21"/>
                      <w:u w:val="none" w:color="auto"/>
                    </w:rPr>
                    <w:t>交通便利，方便当地人民就诊</w:t>
                  </w:r>
                </w:p>
              </w:tc>
              <w:tc>
                <w:tcPr>
                  <w:tcW w:w="1043" w:type="dxa"/>
                  <w:vAlign w:val="center"/>
                </w:tcPr>
                <w:p w14:paraId="7F898C82">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符合</w:t>
                  </w:r>
                </w:p>
              </w:tc>
            </w:tr>
            <w:tr w14:paraId="1FB9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4162834D">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3</w:t>
                  </w:r>
                </w:p>
              </w:tc>
              <w:tc>
                <w:tcPr>
                  <w:tcW w:w="3360" w:type="dxa"/>
                  <w:vAlign w:val="center"/>
                </w:tcPr>
                <w:p w14:paraId="71285A9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周边宜有便利的水、电、路等公用基础设施</w:t>
                  </w:r>
                </w:p>
              </w:tc>
              <w:tc>
                <w:tcPr>
                  <w:tcW w:w="2784" w:type="dxa"/>
                  <w:vAlign w:val="center"/>
                </w:tcPr>
                <w:p w14:paraId="2693DB7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cs="宋体"/>
                      <w:b w:val="0"/>
                      <w:bCs w:val="0"/>
                      <w:spacing w:val="0"/>
                      <w:kern w:val="2"/>
                      <w:sz w:val="21"/>
                      <w:szCs w:val="21"/>
                      <w:u w:val="none" w:color="auto"/>
                      <w:lang w:val="en-US" w:eastAsia="en-US" w:bidi="ar-SA"/>
                    </w:rPr>
                    <w:t>本项目</w:t>
                  </w:r>
                  <w:r>
                    <w:rPr>
                      <w:rFonts w:hint="eastAsia" w:eastAsia="宋体" w:cs="宋体"/>
                      <w:b w:val="0"/>
                      <w:bCs w:val="0"/>
                      <w:spacing w:val="0"/>
                      <w:kern w:val="2"/>
                      <w:sz w:val="21"/>
                      <w:szCs w:val="21"/>
                      <w:u w:val="none" w:color="auto"/>
                      <w:lang w:val="en-US" w:eastAsia="zh-CN" w:bidi="ar-SA"/>
                    </w:rPr>
                    <w:t>临近356</w:t>
                  </w:r>
                  <w:r>
                    <w:rPr>
                      <w:rFonts w:hint="eastAsia" w:ascii="Times New Roman" w:hAnsi="Times New Roman" w:eastAsia="宋体" w:cs="宋体"/>
                      <w:b w:val="0"/>
                      <w:bCs w:val="0"/>
                      <w:spacing w:val="0"/>
                      <w:kern w:val="2"/>
                      <w:sz w:val="21"/>
                      <w:szCs w:val="21"/>
                      <w:u w:val="none" w:color="auto"/>
                      <w:lang w:val="en-US" w:eastAsia="zh-CN" w:bidi="ar-SA"/>
                    </w:rPr>
                    <w:t>国道附近</w:t>
                  </w:r>
                  <w:r>
                    <w:rPr>
                      <w:rFonts w:ascii="Times New Roman" w:hAnsi="Times New Roman" w:eastAsia="宋体" w:cs="宋体"/>
                      <w:b w:val="0"/>
                      <w:bCs w:val="0"/>
                      <w:spacing w:val="0"/>
                      <w:kern w:val="2"/>
                      <w:sz w:val="21"/>
                      <w:szCs w:val="21"/>
                      <w:u w:val="none" w:color="auto"/>
                      <w:lang w:val="en-US" w:eastAsia="en-US" w:bidi="ar-SA"/>
                    </w:rPr>
                    <w:t>已通水、电、路等，基础设施齐全</w:t>
                  </w:r>
                </w:p>
              </w:tc>
              <w:tc>
                <w:tcPr>
                  <w:tcW w:w="1043" w:type="dxa"/>
                  <w:vAlign w:val="center"/>
                </w:tcPr>
                <w:p w14:paraId="7BC7EB9A">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符合</w:t>
                  </w:r>
                </w:p>
              </w:tc>
            </w:tr>
            <w:tr w14:paraId="3337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2EBEF3B4">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4</w:t>
                  </w:r>
                </w:p>
              </w:tc>
              <w:tc>
                <w:tcPr>
                  <w:tcW w:w="3360" w:type="dxa"/>
                  <w:vAlign w:val="center"/>
                </w:tcPr>
                <w:p w14:paraId="5FA10236">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应环境安静、远离污染源，并与少年儿童活动密集场所有一定距离</w:t>
                  </w:r>
                </w:p>
              </w:tc>
              <w:tc>
                <w:tcPr>
                  <w:tcW w:w="2784" w:type="dxa"/>
                  <w:vAlign w:val="center"/>
                </w:tcPr>
                <w:p w14:paraId="5AA9A2D5">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环境安静、远离污染源，与少年儿童活动密集场所有一定距离</w:t>
                  </w:r>
                </w:p>
              </w:tc>
              <w:tc>
                <w:tcPr>
                  <w:tcW w:w="1043" w:type="dxa"/>
                  <w:vAlign w:val="center"/>
                </w:tcPr>
                <w:p w14:paraId="0CE29365">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符合</w:t>
                  </w:r>
                </w:p>
              </w:tc>
            </w:tr>
            <w:tr w14:paraId="49DA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14:paraId="7D4F565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5</w:t>
                  </w:r>
                </w:p>
              </w:tc>
              <w:tc>
                <w:tcPr>
                  <w:tcW w:w="3360" w:type="dxa"/>
                  <w:vAlign w:val="center"/>
                </w:tcPr>
                <w:p w14:paraId="45788EBA">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应远离易燃、易爆物品的生产和贮存区、高压线路及其设施</w:t>
                  </w:r>
                </w:p>
              </w:tc>
              <w:tc>
                <w:tcPr>
                  <w:tcW w:w="2784" w:type="dxa"/>
                  <w:vAlign w:val="center"/>
                </w:tcPr>
                <w:p w14:paraId="048A41A2">
                  <w:pPr>
                    <w:pStyle w:val="23"/>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宋体"/>
                      <w:b w:val="0"/>
                      <w:bCs w:val="0"/>
                      <w:spacing w:val="0"/>
                      <w:sz w:val="21"/>
                      <w:szCs w:val="21"/>
                      <w:u w:val="none" w:color="auto"/>
                    </w:rPr>
                  </w:pPr>
                  <w:r>
                    <w:rPr>
                      <w:rFonts w:ascii="Times New Roman" w:hAnsi="Times New Roman" w:eastAsia="宋体"/>
                      <w:b w:val="0"/>
                      <w:bCs w:val="0"/>
                      <w:spacing w:val="0"/>
                      <w:sz w:val="21"/>
                      <w:szCs w:val="21"/>
                      <w:u w:val="none" w:color="auto"/>
                    </w:rPr>
                    <w:t>本项目附近无易燃、易爆物品的生产和贮存区、高</w:t>
                  </w:r>
                </w:p>
                <w:p w14:paraId="60E947C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ascii="Times New Roman" w:hAnsi="Times New Roman" w:eastAsia="宋体"/>
                      <w:b w:val="0"/>
                      <w:bCs w:val="0"/>
                      <w:spacing w:val="0"/>
                      <w:sz w:val="21"/>
                      <w:szCs w:val="21"/>
                      <w:u w:val="none" w:color="auto"/>
                    </w:rPr>
                    <w:t>压线路及其设施</w:t>
                  </w:r>
                </w:p>
              </w:tc>
              <w:tc>
                <w:tcPr>
                  <w:tcW w:w="1043" w:type="dxa"/>
                  <w:vAlign w:val="center"/>
                </w:tcPr>
                <w:p w14:paraId="3C0AB68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color="auto"/>
                      <w:vertAlign w:val="baseline"/>
                      <w:lang w:val="en-US" w:eastAsia="zh-CN"/>
                    </w:rPr>
                  </w:pPr>
                  <w:r>
                    <w:rPr>
                      <w:rFonts w:hint="eastAsia" w:ascii="Times New Roman" w:hAnsi="Times New Roman" w:eastAsia="宋体" w:cs="宋体"/>
                      <w:b w:val="0"/>
                      <w:bCs w:val="0"/>
                      <w:spacing w:val="0"/>
                      <w:kern w:val="0"/>
                      <w:sz w:val="21"/>
                      <w:szCs w:val="21"/>
                      <w:u w:val="none" w:color="auto"/>
                      <w:vertAlign w:val="baseline"/>
                      <w:lang w:val="en-US" w:eastAsia="zh-CN"/>
                    </w:rPr>
                    <w:t>符合</w:t>
                  </w:r>
                </w:p>
              </w:tc>
            </w:tr>
          </w:tbl>
          <w:p w14:paraId="50F2394E">
            <w:pPr>
              <w:pStyle w:val="2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color="auto"/>
                <w:lang w:val="en-US" w:eastAsia="zh-CN"/>
              </w:rPr>
            </w:pPr>
            <w:r>
              <w:rPr>
                <w:rFonts w:hint="eastAsia" w:ascii="Times New Roman" w:hAnsi="Times New Roman" w:eastAsia="宋体" w:cs="宋体"/>
                <w:spacing w:val="0"/>
                <w:kern w:val="0"/>
                <w:sz w:val="24"/>
                <w:szCs w:val="24"/>
                <w:u w:val="none" w:color="auto"/>
                <w:lang w:val="en-US" w:eastAsia="zh-CN"/>
              </w:rPr>
              <w:t>综上所述，项目选址符合综合性医院的选址原则，选址是合理的。</w:t>
            </w:r>
          </w:p>
          <w:p w14:paraId="6778E223">
            <w:pPr>
              <w:pStyle w:val="23"/>
              <w:keepNext w:val="0"/>
              <w:keepLines w:val="0"/>
              <w:pageBreakBefore w:val="0"/>
              <w:numPr>
                <w:ilvl w:val="0"/>
                <w:numId w:val="3"/>
              </w:numPr>
              <w:kinsoku/>
              <w:wordWrap/>
              <w:overflowPunct/>
              <w:topLinePunct w:val="0"/>
              <w:bidi w:val="0"/>
              <w:spacing w:line="468" w:lineRule="exact"/>
              <w:ind w:left="210" w:leftChars="0" w:right="0" w:firstLineChars="0"/>
              <w:textAlignment w:val="auto"/>
              <w:rPr>
                <w:rFonts w:hint="eastAsia" w:ascii="Times New Roman" w:hAnsi="Times New Roman" w:eastAsia="宋体" w:cs="宋体"/>
                <w:b/>
                <w:bCs/>
                <w:spacing w:val="0"/>
                <w:kern w:val="0"/>
                <w:sz w:val="24"/>
                <w:szCs w:val="24"/>
                <w:u w:val="none" w:color="auto"/>
                <w:lang w:val="en-US" w:eastAsia="zh-CN"/>
              </w:rPr>
            </w:pPr>
            <w:r>
              <w:rPr>
                <w:rFonts w:hint="eastAsia" w:ascii="Times New Roman" w:hAnsi="Times New Roman" w:eastAsia="宋体" w:cs="宋体"/>
                <w:b/>
                <w:bCs/>
                <w:spacing w:val="0"/>
                <w:kern w:val="0"/>
                <w:sz w:val="24"/>
                <w:szCs w:val="24"/>
                <w:u w:val="none" w:color="auto"/>
                <w:lang w:val="en-US" w:eastAsia="zh-CN"/>
              </w:rPr>
              <w:t>平面布局合理性分析</w:t>
            </w:r>
          </w:p>
          <w:p w14:paraId="78D4C8A7">
            <w:pPr>
              <w:pStyle w:val="23"/>
              <w:keepNext w:val="0"/>
              <w:keepLines w:val="0"/>
              <w:pageBreakBefore w:val="0"/>
              <w:kinsoku/>
              <w:wordWrap/>
              <w:overflowPunct/>
              <w:topLinePunct w:val="0"/>
              <w:bidi w:val="0"/>
              <w:spacing w:line="360" w:lineRule="auto"/>
              <w:ind w:left="0" w:right="0" w:firstLine="532"/>
              <w:textAlignment w:val="auto"/>
              <w:rPr>
                <w:rFonts w:ascii="Times New Roman" w:hAnsi="Times New Roman" w:eastAsia="宋体" w:cs="Times New Roman"/>
                <w:spacing w:val="0"/>
                <w:sz w:val="24"/>
                <w:szCs w:val="24"/>
                <w:u w:val="none" w:color="auto"/>
              </w:rPr>
            </w:pPr>
            <w:r>
              <w:rPr>
                <w:rFonts w:ascii="Times New Roman" w:hAnsi="Times New Roman" w:eastAsia="宋体"/>
                <w:spacing w:val="0"/>
                <w:sz w:val="24"/>
                <w:szCs w:val="24"/>
                <w:u w:val="none" w:color="auto"/>
              </w:rPr>
              <w:t>根据《乡镇卫生院建设标准》（建标〔</w:t>
            </w:r>
            <w:r>
              <w:rPr>
                <w:rFonts w:ascii="Times New Roman" w:hAnsi="Times New Roman" w:eastAsia="宋体" w:cs="Times New Roman"/>
                <w:spacing w:val="0"/>
                <w:sz w:val="24"/>
                <w:szCs w:val="24"/>
                <w:u w:val="none" w:color="auto"/>
              </w:rPr>
              <w:t>2008</w:t>
            </w:r>
            <w:r>
              <w:rPr>
                <w:rFonts w:ascii="Times New Roman" w:hAnsi="Times New Roman" w:eastAsia="宋体"/>
                <w:spacing w:val="0"/>
                <w:sz w:val="24"/>
                <w:szCs w:val="24"/>
                <w:u w:val="none" w:color="auto"/>
              </w:rPr>
              <w:t>〕</w:t>
            </w:r>
            <w:r>
              <w:rPr>
                <w:rFonts w:ascii="Times New Roman" w:hAnsi="Times New Roman" w:eastAsia="宋体" w:cs="Times New Roman"/>
                <w:spacing w:val="0"/>
                <w:sz w:val="24"/>
                <w:szCs w:val="24"/>
                <w:u w:val="none" w:color="auto"/>
              </w:rPr>
              <w:t>142</w:t>
            </w:r>
            <w:r>
              <w:rPr>
                <w:rFonts w:ascii="Times New Roman" w:hAnsi="Times New Roman" w:eastAsia="宋体"/>
                <w:spacing w:val="0"/>
                <w:sz w:val="24"/>
                <w:szCs w:val="24"/>
                <w:u w:val="none" w:color="auto"/>
              </w:rPr>
              <w:t>号），</w:t>
            </w:r>
            <w:r>
              <w:rPr>
                <w:rFonts w:ascii="Times New Roman" w:hAnsi="Times New Roman" w:eastAsia="宋体" w:cs="Times New Roman"/>
                <w:spacing w:val="0"/>
                <w:sz w:val="24"/>
                <w:szCs w:val="24"/>
                <w:u w:val="none" w:color="auto"/>
              </w:rPr>
              <w:t>“</w:t>
            </w:r>
            <w:r>
              <w:rPr>
                <w:rFonts w:ascii="Times New Roman" w:hAnsi="Times New Roman" w:eastAsia="宋体"/>
                <w:spacing w:val="0"/>
                <w:sz w:val="24"/>
                <w:szCs w:val="24"/>
                <w:u w:val="none" w:color="auto"/>
              </w:rPr>
              <w:t>第十七条乡镇卫生院的总平面布局，应根据功能、流程、管理、卫生等方面要求，对建筑平面、道路、管线、绿化和环境等进行综合设计。</w:t>
            </w:r>
            <w:r>
              <w:rPr>
                <w:rFonts w:ascii="Times New Roman" w:hAnsi="Times New Roman" w:eastAsia="宋体" w:cs="Times New Roman"/>
                <w:spacing w:val="0"/>
                <w:sz w:val="24"/>
                <w:szCs w:val="24"/>
                <w:u w:val="none" w:color="auto"/>
              </w:rPr>
              <w:t>”</w:t>
            </w:r>
            <w:r>
              <w:rPr>
                <w:rFonts w:ascii="Times New Roman" w:hAnsi="Times New Roman" w:eastAsia="宋体"/>
                <w:spacing w:val="0"/>
                <w:sz w:val="24"/>
                <w:szCs w:val="24"/>
                <w:u w:val="none" w:color="auto"/>
              </w:rPr>
              <w:t>和</w:t>
            </w:r>
            <w:r>
              <w:rPr>
                <w:rFonts w:ascii="Times New Roman" w:hAnsi="Times New Roman" w:eastAsia="宋体" w:cs="Times New Roman"/>
                <w:spacing w:val="0"/>
                <w:sz w:val="24"/>
                <w:szCs w:val="24"/>
                <w:u w:val="none" w:color="auto"/>
              </w:rPr>
              <w:t>“</w:t>
            </w:r>
            <w:r>
              <w:rPr>
                <w:rFonts w:ascii="Times New Roman" w:hAnsi="Times New Roman" w:eastAsia="宋体"/>
                <w:spacing w:val="0"/>
                <w:sz w:val="24"/>
                <w:szCs w:val="24"/>
                <w:u w:val="none" w:color="auto"/>
              </w:rPr>
              <w:t>第十八条乡镇卫生院的总体布局应符合下列要求：一、功能分区合理，洁污流线清楚，避免或减少交叉感染。二、布局紧凑，交通便捷，管理方便。三、住院、手术、功能检查等用房应处于相对安静的位置。四、病房、诊疗室等主要医疗用房应有适宜的朝向。五、有良好的自然通风，多风沙地区应有防风害侵袭措施。</w:t>
            </w:r>
            <w:r>
              <w:rPr>
                <w:rFonts w:ascii="Times New Roman" w:hAnsi="Times New Roman" w:eastAsia="宋体" w:cs="Times New Roman"/>
                <w:spacing w:val="0"/>
                <w:sz w:val="24"/>
                <w:szCs w:val="24"/>
                <w:u w:val="none" w:color="auto"/>
              </w:rPr>
              <w:t>”</w:t>
            </w:r>
          </w:p>
          <w:p w14:paraId="64F9EB70">
            <w:pPr>
              <w:pStyle w:val="23"/>
              <w:keepNext w:val="0"/>
              <w:keepLines w:val="0"/>
              <w:pageBreakBefore w:val="0"/>
              <w:kinsoku/>
              <w:wordWrap/>
              <w:overflowPunct/>
              <w:topLinePunct w:val="0"/>
              <w:bidi w:val="0"/>
              <w:spacing w:line="360" w:lineRule="auto"/>
              <w:ind w:left="0" w:right="0" w:firstLine="483"/>
              <w:textAlignment w:val="auto"/>
              <w:rPr>
                <w:rFonts w:hint="default" w:ascii="Times New Roman" w:hAnsi="Times New Roman" w:eastAsia="宋体"/>
                <w:color w:val="auto"/>
                <w:spacing w:val="0"/>
                <w:sz w:val="24"/>
                <w:szCs w:val="24"/>
                <w:u w:val="none" w:color="auto"/>
                <w:lang w:val="en-US" w:eastAsia="zh-CN"/>
              </w:rPr>
            </w:pPr>
            <w:r>
              <w:rPr>
                <w:rFonts w:ascii="Times New Roman" w:hAnsi="Times New Roman" w:eastAsia="宋体"/>
                <w:color w:val="auto"/>
                <w:spacing w:val="0"/>
                <w:sz w:val="24"/>
                <w:szCs w:val="24"/>
                <w:u w:val="none" w:color="auto"/>
              </w:rPr>
              <w:t>卫生院出口位于</w:t>
            </w:r>
            <w:r>
              <w:rPr>
                <w:rFonts w:hint="eastAsia" w:ascii="Times New Roman" w:hAnsi="Times New Roman"/>
                <w:color w:val="auto"/>
                <w:spacing w:val="0"/>
                <w:sz w:val="24"/>
                <w:szCs w:val="24"/>
                <w:u w:val="none" w:color="auto"/>
                <w:lang w:val="en-US" w:eastAsia="zh-CN"/>
              </w:rPr>
              <w:t>西</w:t>
            </w:r>
            <w:r>
              <w:rPr>
                <w:rFonts w:ascii="Times New Roman" w:hAnsi="Times New Roman" w:eastAsia="宋体"/>
                <w:color w:val="auto"/>
                <w:spacing w:val="0"/>
                <w:sz w:val="24"/>
                <w:szCs w:val="24"/>
                <w:u w:val="none" w:color="auto"/>
              </w:rPr>
              <w:t>侧临近</w:t>
            </w:r>
            <w:r>
              <w:rPr>
                <w:rFonts w:hint="eastAsia" w:ascii="Times New Roman" w:hAnsi="Times New Roman"/>
                <w:color w:val="auto"/>
                <w:spacing w:val="0"/>
                <w:sz w:val="24"/>
                <w:szCs w:val="24"/>
                <w:u w:val="none" w:color="auto"/>
                <w:lang w:val="en-US" w:eastAsia="zh-CN"/>
              </w:rPr>
              <w:t>356国道</w:t>
            </w:r>
            <w:r>
              <w:rPr>
                <w:rFonts w:ascii="Times New Roman" w:hAnsi="Times New Roman" w:eastAsia="宋体"/>
                <w:color w:val="auto"/>
                <w:spacing w:val="0"/>
                <w:sz w:val="24"/>
                <w:szCs w:val="24"/>
                <w:u w:val="none" w:color="auto"/>
              </w:rPr>
              <w:t>，</w:t>
            </w:r>
            <w:r>
              <w:rPr>
                <w:rFonts w:hint="eastAsia" w:ascii="Times New Roman" w:hAnsi="Times New Roman"/>
                <w:color w:val="auto"/>
                <w:spacing w:val="0"/>
                <w:sz w:val="24"/>
                <w:szCs w:val="24"/>
                <w:u w:val="none" w:color="auto"/>
                <w:lang w:val="en-US" w:eastAsia="zh-CN"/>
              </w:rPr>
              <w:t>综合楼位于</w:t>
            </w:r>
            <w:r>
              <w:rPr>
                <w:rFonts w:ascii="Times New Roman" w:hAnsi="Times New Roman" w:eastAsia="宋体"/>
                <w:color w:val="auto"/>
                <w:spacing w:val="0"/>
                <w:sz w:val="24"/>
                <w:szCs w:val="24"/>
                <w:u w:val="none" w:color="auto"/>
              </w:rPr>
              <w:t>院区</w:t>
            </w:r>
            <w:r>
              <w:rPr>
                <w:rFonts w:hint="eastAsia" w:ascii="Times New Roman" w:hAnsi="Times New Roman"/>
                <w:color w:val="auto"/>
                <w:spacing w:val="0"/>
                <w:sz w:val="24"/>
                <w:szCs w:val="24"/>
                <w:u w:val="none" w:color="auto"/>
                <w:lang w:val="en-US" w:eastAsia="zh-CN"/>
              </w:rPr>
              <w:t>西</w:t>
            </w:r>
            <w:r>
              <w:rPr>
                <w:rFonts w:ascii="Times New Roman" w:hAnsi="Times New Roman" w:eastAsia="宋体"/>
                <w:color w:val="auto"/>
                <w:spacing w:val="0"/>
                <w:sz w:val="24"/>
                <w:szCs w:val="24"/>
                <w:u w:val="none" w:color="auto"/>
              </w:rPr>
              <w:t>侧</w:t>
            </w:r>
            <w:r>
              <w:rPr>
                <w:rFonts w:hint="eastAsia" w:ascii="Times New Roman" w:hAnsi="Times New Roman"/>
                <w:color w:val="auto"/>
                <w:spacing w:val="0"/>
                <w:sz w:val="24"/>
                <w:szCs w:val="24"/>
                <w:u w:val="none" w:color="auto"/>
                <w:lang w:eastAsia="zh-CN"/>
              </w:rPr>
              <w:t>，</w:t>
            </w:r>
            <w:r>
              <w:rPr>
                <w:rFonts w:hint="eastAsia" w:ascii="Times New Roman" w:hAnsi="Times New Roman"/>
                <w:color w:val="auto"/>
                <w:spacing w:val="0"/>
                <w:sz w:val="24"/>
                <w:szCs w:val="24"/>
                <w:u w:val="none" w:color="auto"/>
                <w:lang w:val="en-US" w:eastAsia="zh-CN"/>
              </w:rPr>
              <w:t>住院部位于</w:t>
            </w:r>
            <w:r>
              <w:rPr>
                <w:rFonts w:ascii="Times New Roman" w:hAnsi="Times New Roman" w:eastAsia="宋体"/>
                <w:color w:val="auto"/>
                <w:spacing w:val="0"/>
                <w:sz w:val="24"/>
                <w:szCs w:val="24"/>
                <w:u w:val="none" w:color="auto"/>
              </w:rPr>
              <w:t>院区</w:t>
            </w:r>
            <w:r>
              <w:rPr>
                <w:rFonts w:hint="eastAsia" w:ascii="Times New Roman" w:hAnsi="Times New Roman"/>
                <w:color w:val="auto"/>
                <w:spacing w:val="0"/>
                <w:sz w:val="24"/>
                <w:szCs w:val="24"/>
                <w:u w:val="none" w:color="auto"/>
                <w:lang w:val="en-US" w:eastAsia="zh-CN"/>
              </w:rPr>
              <w:t>北</w:t>
            </w:r>
            <w:r>
              <w:rPr>
                <w:rFonts w:ascii="Times New Roman" w:hAnsi="Times New Roman" w:eastAsia="宋体"/>
                <w:color w:val="auto"/>
                <w:spacing w:val="0"/>
                <w:sz w:val="24"/>
                <w:szCs w:val="24"/>
                <w:u w:val="none" w:color="auto"/>
              </w:rPr>
              <w:t>侧，医疗废物暂存间</w:t>
            </w:r>
            <w:r>
              <w:rPr>
                <w:rFonts w:hint="eastAsia" w:ascii="Times New Roman" w:hAnsi="Times New Roman"/>
                <w:color w:val="auto"/>
                <w:spacing w:val="0"/>
                <w:sz w:val="24"/>
                <w:szCs w:val="24"/>
                <w:u w:val="none" w:color="auto"/>
                <w:lang w:eastAsia="zh-CN"/>
              </w:rPr>
              <w:t>，</w:t>
            </w:r>
            <w:r>
              <w:rPr>
                <w:rFonts w:hint="eastAsia" w:ascii="Times New Roman" w:hAnsi="Times New Roman"/>
                <w:color w:val="auto"/>
                <w:spacing w:val="0"/>
                <w:sz w:val="24"/>
                <w:szCs w:val="24"/>
                <w:u w:val="none" w:color="auto"/>
                <w:lang w:val="en-US" w:eastAsia="zh-CN"/>
              </w:rPr>
              <w:t>消毒室以及调节提升泵</w:t>
            </w:r>
            <w:r>
              <w:rPr>
                <w:rFonts w:ascii="Times New Roman" w:hAnsi="Times New Roman" w:eastAsia="宋体"/>
                <w:color w:val="auto"/>
                <w:spacing w:val="0"/>
                <w:sz w:val="24"/>
                <w:szCs w:val="24"/>
                <w:u w:val="none" w:color="auto"/>
              </w:rPr>
              <w:t>位于</w:t>
            </w:r>
            <w:r>
              <w:rPr>
                <w:rFonts w:hint="eastAsia" w:ascii="Times New Roman" w:hAnsi="Times New Roman"/>
                <w:color w:val="auto"/>
                <w:spacing w:val="0"/>
                <w:sz w:val="24"/>
                <w:szCs w:val="24"/>
                <w:u w:val="none" w:color="auto"/>
                <w:lang w:val="en-US" w:eastAsia="zh-CN"/>
              </w:rPr>
              <w:t>东北</w:t>
            </w:r>
            <w:r>
              <w:rPr>
                <w:rFonts w:ascii="Times New Roman" w:hAnsi="Times New Roman" w:eastAsia="宋体"/>
                <w:color w:val="auto"/>
                <w:spacing w:val="0"/>
                <w:sz w:val="24"/>
                <w:szCs w:val="24"/>
                <w:u w:val="none" w:color="auto"/>
              </w:rPr>
              <w:t>侧</w:t>
            </w:r>
            <w:r>
              <w:rPr>
                <w:rFonts w:hint="eastAsia" w:ascii="Times New Roman" w:hAnsi="Times New Roman"/>
                <w:color w:val="auto"/>
                <w:spacing w:val="0"/>
                <w:sz w:val="24"/>
                <w:szCs w:val="24"/>
                <w:u w:val="none" w:color="auto"/>
                <w:lang w:eastAsia="zh-CN"/>
              </w:rPr>
              <w:t>，公卫</w:t>
            </w:r>
            <w:r>
              <w:rPr>
                <w:rFonts w:hint="eastAsia" w:ascii="Times New Roman" w:hAnsi="Times New Roman"/>
                <w:color w:val="auto"/>
                <w:spacing w:val="0"/>
                <w:sz w:val="24"/>
                <w:szCs w:val="24"/>
                <w:u w:val="none" w:color="auto"/>
                <w:lang w:val="en-US" w:eastAsia="zh-CN"/>
              </w:rPr>
              <w:t>办公</w:t>
            </w:r>
            <w:r>
              <w:rPr>
                <w:rFonts w:hint="eastAsia" w:ascii="Times New Roman" w:hAnsi="Times New Roman"/>
                <w:color w:val="auto"/>
                <w:spacing w:val="0"/>
                <w:sz w:val="24"/>
                <w:szCs w:val="24"/>
                <w:u w:val="none" w:color="auto"/>
                <w:lang w:eastAsia="zh-CN"/>
              </w:rPr>
              <w:t>楼</w:t>
            </w:r>
            <w:r>
              <w:rPr>
                <w:rFonts w:hint="eastAsia" w:ascii="Times New Roman" w:hAnsi="Times New Roman"/>
                <w:color w:val="auto"/>
                <w:spacing w:val="0"/>
                <w:sz w:val="24"/>
                <w:szCs w:val="24"/>
                <w:u w:val="none" w:color="auto"/>
                <w:lang w:val="en-US" w:eastAsia="zh-CN"/>
              </w:rPr>
              <w:t>以及</w:t>
            </w:r>
            <w:r>
              <w:rPr>
                <w:rFonts w:hint="default" w:ascii="Times New Roman" w:hAnsi="Times New Roman"/>
                <w:color w:val="auto"/>
                <w:spacing w:val="0"/>
                <w:sz w:val="24"/>
                <w:szCs w:val="24"/>
                <w:u w:val="none" w:color="auto"/>
                <w:lang w:val="en-US" w:eastAsia="zh-CN"/>
              </w:rPr>
              <w:t>AO</w:t>
            </w:r>
            <w:r>
              <w:rPr>
                <w:rFonts w:hint="eastAsia" w:ascii="Times New Roman" w:hAnsi="Times New Roman"/>
                <w:color w:val="auto"/>
                <w:spacing w:val="0"/>
                <w:sz w:val="24"/>
                <w:szCs w:val="24"/>
                <w:u w:val="none" w:color="auto"/>
                <w:lang w:val="en-US" w:eastAsia="zh-CN"/>
              </w:rPr>
              <w:t>一体化装置</w:t>
            </w:r>
            <w:r>
              <w:rPr>
                <w:rFonts w:hint="eastAsia" w:ascii="Times New Roman" w:hAnsi="Times New Roman"/>
                <w:color w:val="auto"/>
                <w:spacing w:val="0"/>
                <w:sz w:val="24"/>
                <w:szCs w:val="24"/>
                <w:u w:val="none" w:color="auto"/>
                <w:lang w:eastAsia="zh-CN"/>
              </w:rPr>
              <w:t>位于东侧</w:t>
            </w:r>
            <w:r>
              <w:rPr>
                <w:rFonts w:ascii="Times New Roman" w:hAnsi="Times New Roman" w:eastAsia="宋体"/>
                <w:color w:val="auto"/>
                <w:spacing w:val="0"/>
                <w:sz w:val="24"/>
                <w:szCs w:val="24"/>
                <w:u w:val="none" w:color="auto"/>
              </w:rPr>
              <w:t>。医疗废物暂存间不在医院主要通道和人流聚集区，且在暂存间周围设置警示牌并进行定期消毒处理后，对周围环境影响较小。</w:t>
            </w:r>
            <w:r>
              <w:rPr>
                <w:rFonts w:hint="eastAsia" w:ascii="Times New Roman" w:hAnsi="Times New Roman"/>
                <w:color w:val="auto"/>
                <w:spacing w:val="0"/>
                <w:sz w:val="24"/>
                <w:szCs w:val="24"/>
                <w:u w:val="none" w:color="auto"/>
                <w:lang w:val="en-US" w:eastAsia="zh-CN"/>
              </w:rPr>
              <w:t>废水有完整清晰的处理线路，总排口位于东北侧。</w:t>
            </w:r>
          </w:p>
          <w:p w14:paraId="3DA2DC62">
            <w:pPr>
              <w:pStyle w:val="23"/>
              <w:keepNext w:val="0"/>
              <w:keepLines w:val="0"/>
              <w:pageBreakBefore w:val="0"/>
              <w:widowControl w:val="0"/>
              <w:kinsoku/>
              <w:wordWrap/>
              <w:overflowPunct/>
              <w:topLinePunct w:val="0"/>
              <w:autoSpaceDE/>
              <w:autoSpaceDN/>
              <w:bidi w:val="0"/>
              <w:adjustRightInd/>
              <w:snapToGrid/>
              <w:spacing w:line="360" w:lineRule="auto"/>
              <w:ind w:left="0" w:right="0" w:firstLine="482"/>
              <w:textAlignment w:val="auto"/>
              <w:rPr>
                <w:rFonts w:hint="eastAsia" w:ascii="Times New Roman" w:hAnsi="Times New Roman" w:eastAsia="宋体"/>
                <w:spacing w:val="0"/>
                <w:sz w:val="24"/>
                <w:szCs w:val="24"/>
                <w:u w:val="none" w:color="auto"/>
                <w:lang w:val="en-US" w:eastAsia="zh-CN"/>
              </w:rPr>
            </w:pPr>
            <w:r>
              <w:rPr>
                <w:rFonts w:ascii="Times New Roman" w:hAnsi="Times New Roman" w:eastAsia="宋体"/>
                <w:spacing w:val="0"/>
                <w:sz w:val="24"/>
                <w:szCs w:val="24"/>
                <w:u w:val="none" w:color="auto"/>
              </w:rPr>
              <w:t>从平面布置和周边环境保护目标分布情况，结合项目布局及环评要求，项目污水处理站及医疗废物运输对周边环境保护目标影响较小，不会改变区域功能区划，布局及运输线路较为合理。</w:t>
            </w:r>
            <w:r>
              <w:rPr>
                <w:rFonts w:hint="eastAsia" w:ascii="Times New Roman" w:hAnsi="Times New Roman" w:eastAsia="宋体"/>
                <w:spacing w:val="0"/>
                <w:sz w:val="24"/>
                <w:szCs w:val="24"/>
                <w:u w:val="none" w:color="auto"/>
                <w:lang w:eastAsia="zh-CN"/>
              </w:rPr>
              <w:t>同时项目每层分区规划布置合理，平面布置基本合理。平面布局</w:t>
            </w:r>
            <w:r>
              <w:rPr>
                <w:rFonts w:hint="eastAsia" w:ascii="Times New Roman" w:hAnsi="Times New Roman"/>
                <w:spacing w:val="0"/>
                <w:sz w:val="24"/>
                <w:szCs w:val="24"/>
                <w:u w:val="none" w:color="auto"/>
                <w:lang w:val="en-US" w:eastAsia="zh-CN"/>
              </w:rPr>
              <w:t>示意图及雨污流向图</w:t>
            </w:r>
            <w:r>
              <w:rPr>
                <w:rFonts w:hint="eastAsia" w:ascii="Times New Roman" w:hAnsi="Times New Roman" w:eastAsia="宋体"/>
                <w:spacing w:val="0"/>
                <w:sz w:val="24"/>
                <w:szCs w:val="24"/>
                <w:u w:val="none" w:color="auto"/>
                <w:lang w:eastAsia="zh-CN"/>
              </w:rPr>
              <w:t>见</w:t>
            </w:r>
            <w:r>
              <w:rPr>
                <w:rFonts w:hint="eastAsia" w:ascii="Times New Roman" w:hAnsi="Times New Roman" w:eastAsia="宋体"/>
                <w:color w:val="auto"/>
                <w:spacing w:val="0"/>
                <w:sz w:val="24"/>
                <w:szCs w:val="24"/>
                <w:u w:val="none" w:color="auto"/>
                <w:lang w:eastAsia="zh-CN"/>
              </w:rPr>
              <w:t>附图</w:t>
            </w:r>
            <w:r>
              <w:rPr>
                <w:rFonts w:hint="eastAsia" w:ascii="Times New Roman" w:hAnsi="Times New Roman"/>
                <w:color w:val="auto"/>
                <w:spacing w:val="0"/>
                <w:sz w:val="24"/>
                <w:szCs w:val="24"/>
                <w:u w:val="none" w:color="auto"/>
                <w:lang w:val="en-US" w:eastAsia="zh-CN"/>
              </w:rPr>
              <w:t>2</w:t>
            </w:r>
            <w:r>
              <w:rPr>
                <w:rFonts w:hint="eastAsia" w:ascii="Times New Roman" w:hAnsi="Times New Roman" w:eastAsia="宋体"/>
                <w:color w:val="auto"/>
                <w:spacing w:val="0"/>
                <w:sz w:val="24"/>
                <w:szCs w:val="24"/>
                <w:u w:val="none" w:color="auto"/>
                <w:lang w:val="en-US" w:eastAsia="zh-CN"/>
              </w:rPr>
              <w:t>。</w:t>
            </w:r>
          </w:p>
          <w:p w14:paraId="47753A1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none" w:color="auto"/>
                <w:lang w:val="en-US" w:eastAsia="zh-CN" w:bidi="ar-SA"/>
              </w:rPr>
            </w:pPr>
            <w:r>
              <w:rPr>
                <w:rFonts w:hint="eastAsia" w:cs="Times New Roman"/>
                <w:b/>
                <w:bCs/>
                <w:color w:val="auto"/>
                <w:kern w:val="0"/>
                <w:sz w:val="24"/>
                <w:szCs w:val="24"/>
                <w:u w:val="none" w:color="auto"/>
                <w:lang w:val="en-US" w:eastAsia="zh-CN" w:bidi="ar-SA"/>
              </w:rPr>
              <w:t>6</w:t>
            </w:r>
            <w:r>
              <w:rPr>
                <w:rFonts w:hint="eastAsia" w:ascii="Times New Roman" w:hAnsi="Times New Roman" w:eastAsia="宋体" w:cs="Times New Roman"/>
                <w:b/>
                <w:bCs/>
                <w:color w:val="auto"/>
                <w:kern w:val="0"/>
                <w:sz w:val="24"/>
                <w:szCs w:val="24"/>
                <w:u w:val="none" w:color="auto"/>
                <w:lang w:val="en-US" w:eastAsia="zh-CN" w:bidi="ar-SA"/>
              </w:rPr>
              <w:t>、与《湖南省湘江保护条例》(2023年5月31日修正</w:t>
            </w:r>
            <w:r>
              <w:rPr>
                <w:rFonts w:hint="eastAsia" w:cs="Times New Roman"/>
                <w:b/>
                <w:bCs/>
                <w:color w:val="auto"/>
                <w:kern w:val="0"/>
                <w:sz w:val="24"/>
                <w:szCs w:val="24"/>
                <w:u w:val="none" w:color="auto"/>
                <w:lang w:val="en-US" w:eastAsia="zh-CN" w:bidi="ar-SA"/>
              </w:rPr>
              <w:t>）</w:t>
            </w:r>
            <w:r>
              <w:rPr>
                <w:rFonts w:hint="eastAsia" w:ascii="Times New Roman" w:hAnsi="Times New Roman" w:eastAsia="宋体" w:cs="Times New Roman"/>
                <w:b/>
                <w:bCs/>
                <w:color w:val="auto"/>
                <w:kern w:val="0"/>
                <w:sz w:val="24"/>
                <w:szCs w:val="24"/>
                <w:u w:val="none" w:color="auto"/>
                <w:lang w:val="en-US" w:eastAsia="zh-CN" w:bidi="ar-SA"/>
              </w:rPr>
              <w:t>符合性</w:t>
            </w:r>
          </w:p>
          <w:p w14:paraId="3A3E919E">
            <w:pPr>
              <w:pStyle w:val="23"/>
              <w:keepNext w:val="0"/>
              <w:keepLines w:val="0"/>
              <w:pageBreakBefore w:val="0"/>
              <w:kinsoku/>
              <w:wordWrap/>
              <w:overflowPunct/>
              <w:topLinePunct w:val="0"/>
              <w:bidi w:val="0"/>
              <w:spacing w:line="360" w:lineRule="auto"/>
              <w:ind w:left="0" w:right="0" w:firstLine="532"/>
              <w:textAlignment w:val="auto"/>
              <w:rPr>
                <w:rFonts w:ascii="Times New Roman" w:hAnsi="Times New Roman" w:eastAsia="宋体" w:cs="宋体"/>
                <w:spacing w:val="0"/>
                <w:sz w:val="24"/>
                <w:szCs w:val="24"/>
                <w:u w:val="none" w:color="auto"/>
              </w:rPr>
            </w:pPr>
            <w:r>
              <w:rPr>
                <w:rFonts w:hint="eastAsia" w:ascii="Times New Roman" w:hAnsi="Times New Roman" w:eastAsia="宋体" w:cs="Times New Roman"/>
                <w:b w:val="0"/>
                <w:bCs w:val="0"/>
                <w:color w:val="auto"/>
                <w:kern w:val="0"/>
                <w:sz w:val="24"/>
                <w:szCs w:val="24"/>
                <w:u w:val="none" w:color="auto"/>
                <w:lang w:val="en-US" w:eastAsia="zh-CN" w:bidi="ar-SA"/>
              </w:rPr>
              <w:t>根据《湖南省湘江保护条例》</w:t>
            </w:r>
            <w:r>
              <w:rPr>
                <w:rFonts w:hint="eastAsia" w:ascii="Times New Roman" w:hAnsi="Times New Roman" w:eastAsia="宋体" w:cs="宋体"/>
                <w:spacing w:val="0"/>
                <w:sz w:val="24"/>
                <w:szCs w:val="24"/>
                <w:u w:val="none" w:color="auto"/>
                <w:lang w:val="en-US" w:eastAsia="zh-CN"/>
              </w:rPr>
              <w:t>(2023年5月31日修正）</w:t>
            </w:r>
            <w:r>
              <w:rPr>
                <w:rFonts w:hint="eastAsia" w:ascii="Times New Roman" w:hAnsi="Times New Roman" w:eastAsia="宋体" w:cs="宋体"/>
                <w:spacing w:val="0"/>
                <w:sz w:val="24"/>
                <w:szCs w:val="24"/>
                <w:u w:val="none" w:color="auto"/>
              </w:rPr>
              <w:t xml:space="preserve">第四十九条 </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省人民政府应当组织发展和改革、工业和信息化、生态环境、有色金属工业等部门</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编制湘江流域产业发展规划。禁止在湘江干流岸线一公里范围内新建、扩建化工园区和化工项目。禁止在湘江干流岸线一公里范围内新建、改建、扩建尾矿库；但是以提升安全、生态环境保护水平为目的的改建除外。湘江流域县级以上人民政府应当严格执行湘江流域产业发展规划</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逐步淘汰不符合规划的产业项目。</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第五十条</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湘江流域县级以上人民政府应当按照统筹规划、防治结合、综合治理的原则</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加强化工、有色金属、造纸、制革、采矿等行业污染治理</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确保湘江流域污染源得到全面治理和控制。</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第五十一条</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湘江流域县级以上人民政府及其有关部门应当推进涉重金属企业向工业园区集中</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加强对工业园区企业共性污染物的处理</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确保工业园区污染物达标排放。</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第五十二条</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湘江流域设区的市、县（市、区）人民政府应当依法关闭非法设立或者不符合国家产业政策的涉重金属企业。湘江流域县级以上人民政府及其生态环境等有关部门应当组织开展重金属固体废物、重金属污染土壤、重金属污染水体底泥治理</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并实施环境修复</w:t>
            </w:r>
            <w:r>
              <w:rPr>
                <w:rFonts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rPr>
              <w:t>逐步治理历史遗留重金属污染。</w:t>
            </w:r>
          </w:p>
          <w:p w14:paraId="502DDAF0">
            <w:pPr>
              <w:pStyle w:val="23"/>
              <w:keepNext w:val="0"/>
              <w:keepLines w:val="0"/>
              <w:pageBreakBefore w:val="0"/>
              <w:kinsoku/>
              <w:wordWrap/>
              <w:overflowPunct/>
              <w:topLinePunct w:val="0"/>
              <w:bidi w:val="0"/>
              <w:spacing w:line="360" w:lineRule="auto"/>
              <w:ind w:left="0" w:right="0" w:firstLine="532"/>
              <w:textAlignment w:val="auto"/>
              <w:rPr>
                <w:rFonts w:hint="eastAsia" w:ascii="Times New Roman" w:hAnsi="Times New Roman" w:eastAsia="宋体" w:cs="宋体"/>
                <w:spacing w:val="0"/>
                <w:sz w:val="24"/>
                <w:szCs w:val="24"/>
                <w:u w:val="none" w:color="auto"/>
                <w:lang w:val="en-US" w:eastAsia="zh-CN"/>
              </w:rPr>
            </w:pPr>
            <w:r>
              <w:rPr>
                <w:rFonts w:hint="eastAsia" w:ascii="Times New Roman" w:hAnsi="Times New Roman" w:eastAsia="宋体" w:cs="宋体"/>
                <w:spacing w:val="0"/>
                <w:sz w:val="24"/>
                <w:szCs w:val="24"/>
                <w:u w:val="none" w:color="auto"/>
                <w:lang w:val="en-US" w:eastAsia="zh-CN"/>
              </w:rPr>
              <w:t>本项目不属于</w:t>
            </w:r>
            <w:r>
              <w:rPr>
                <w:rFonts w:hint="eastAsia" w:ascii="Times New Roman" w:hAnsi="Times New Roman" w:eastAsia="宋体" w:cs="宋体"/>
                <w:spacing w:val="0"/>
                <w:sz w:val="24"/>
                <w:szCs w:val="24"/>
                <w:u w:val="none" w:color="auto"/>
              </w:rPr>
              <w:t>新建、扩建化工园区</w:t>
            </w:r>
            <w:r>
              <w:rPr>
                <w:rFonts w:hint="default" w:ascii="Times New Roman" w:hAnsi="Times New Roman" w:eastAsia="宋体" w:cs="宋体"/>
                <w:spacing w:val="0"/>
                <w:sz w:val="24"/>
                <w:szCs w:val="24"/>
                <w:u w:val="none" w:color="auto"/>
                <w:lang w:val="en-US"/>
              </w:rPr>
              <w:t>,</w:t>
            </w:r>
            <w:r>
              <w:rPr>
                <w:rFonts w:hint="eastAsia" w:ascii="Times New Roman" w:hAnsi="Times New Roman" w:eastAsia="宋体" w:cs="宋体"/>
                <w:spacing w:val="0"/>
                <w:sz w:val="24"/>
                <w:szCs w:val="24"/>
                <w:u w:val="none" w:color="auto"/>
              </w:rPr>
              <w:t>化工项目</w:t>
            </w:r>
            <w:r>
              <w:rPr>
                <w:rFonts w:hint="eastAsia" w:ascii="Times New Roman" w:hAnsi="Times New Roman" w:eastAsia="宋体" w:cs="宋体"/>
                <w:spacing w:val="0"/>
                <w:sz w:val="24"/>
                <w:szCs w:val="24"/>
                <w:u w:val="none" w:color="auto"/>
                <w:lang w:val="en-US" w:eastAsia="zh-CN"/>
              </w:rPr>
              <w:t>和新建</w:t>
            </w:r>
            <w:r>
              <w:rPr>
                <w:rFonts w:hint="eastAsia"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lang w:val="en-US" w:eastAsia="zh-CN"/>
              </w:rPr>
              <w:t>改建</w:t>
            </w:r>
            <w:r>
              <w:rPr>
                <w:rFonts w:hint="eastAsia" w:ascii="Times New Roman" w:hAnsi="Times New Roman" w:eastAsia="宋体" w:cs="宋体"/>
                <w:spacing w:val="0"/>
                <w:sz w:val="24"/>
                <w:szCs w:val="24"/>
                <w:u w:val="none" w:color="auto"/>
              </w:rPr>
              <w:t>、</w:t>
            </w:r>
            <w:r>
              <w:rPr>
                <w:rFonts w:hint="eastAsia" w:ascii="Times New Roman" w:hAnsi="Times New Roman" w:eastAsia="宋体" w:cs="宋体"/>
                <w:spacing w:val="0"/>
                <w:sz w:val="24"/>
                <w:szCs w:val="24"/>
                <w:u w:val="none" w:color="auto"/>
                <w:lang w:val="en-US" w:eastAsia="zh-CN"/>
              </w:rPr>
              <w:t>扩建尾矿库，不属于</w:t>
            </w:r>
            <w:r>
              <w:rPr>
                <w:rFonts w:hint="eastAsia" w:ascii="Times New Roman" w:hAnsi="Times New Roman" w:eastAsia="宋体" w:cs="宋体"/>
                <w:spacing w:val="0"/>
                <w:sz w:val="24"/>
                <w:szCs w:val="24"/>
                <w:u w:val="none" w:color="auto"/>
              </w:rPr>
              <w:t>化工、有色金属、造纸、制革、采矿等行业</w:t>
            </w:r>
            <w:r>
              <w:rPr>
                <w:rFonts w:hint="eastAsia" w:ascii="Times New Roman" w:hAnsi="Times New Roman" w:eastAsia="宋体" w:cs="宋体"/>
                <w:spacing w:val="0"/>
                <w:sz w:val="24"/>
                <w:szCs w:val="24"/>
                <w:u w:val="none" w:color="auto"/>
                <w:lang w:eastAsia="zh-CN"/>
              </w:rPr>
              <w:t>，</w:t>
            </w:r>
            <w:r>
              <w:rPr>
                <w:rFonts w:hint="eastAsia" w:ascii="Times New Roman" w:hAnsi="Times New Roman" w:eastAsia="宋体" w:cs="宋体"/>
                <w:spacing w:val="0"/>
                <w:sz w:val="24"/>
                <w:szCs w:val="24"/>
                <w:u w:val="none" w:color="auto"/>
                <w:lang w:val="en-US" w:eastAsia="zh-CN"/>
              </w:rPr>
              <w:t>外排废水中不涉及重金属，符合《湖南省湘江保护条例》(2023年5月31日修正）的相关规定。</w:t>
            </w:r>
          </w:p>
          <w:p w14:paraId="7516C3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none" w:color="auto"/>
                <w:lang w:val="en-US" w:eastAsia="zh-CN" w:bidi="ar-SA"/>
              </w:rPr>
            </w:pPr>
            <w:r>
              <w:rPr>
                <w:rFonts w:hint="eastAsia" w:cs="Times New Roman"/>
                <w:b/>
                <w:bCs/>
                <w:color w:val="auto"/>
                <w:kern w:val="0"/>
                <w:sz w:val="24"/>
                <w:szCs w:val="24"/>
                <w:u w:val="none" w:color="auto"/>
                <w:lang w:val="en-US" w:eastAsia="zh-CN" w:bidi="ar-SA"/>
              </w:rPr>
              <w:t>7</w:t>
            </w:r>
            <w:r>
              <w:rPr>
                <w:rFonts w:hint="eastAsia" w:ascii="Times New Roman" w:hAnsi="Times New Roman" w:eastAsia="宋体" w:cs="Times New Roman"/>
                <w:b/>
                <w:bCs/>
                <w:color w:val="auto"/>
                <w:kern w:val="0"/>
                <w:sz w:val="24"/>
                <w:szCs w:val="24"/>
                <w:u w:val="none" w:color="auto"/>
                <w:lang w:val="en-US" w:eastAsia="zh-CN" w:bidi="ar-SA"/>
              </w:rPr>
              <w:t>、</w:t>
            </w:r>
            <w:r>
              <w:rPr>
                <w:rFonts w:hint="eastAsia"/>
                <w:b/>
                <w:bCs/>
                <w:u w:val="none" w:color="auto"/>
                <w:lang w:val="en-US" w:eastAsia="zh-CN"/>
              </w:rPr>
              <w:t>与株洲市公共健康与医疗卫生设施布局国土空间专项规划（2022-2035）相符性</w:t>
            </w:r>
            <w:r>
              <w:rPr>
                <w:rFonts w:hint="default" w:ascii="Times New Roman" w:hAnsi="Times New Roman" w:eastAsia="宋体" w:cs="Times New Roman"/>
                <w:b/>
                <w:bCs/>
                <w:kern w:val="0"/>
                <w:sz w:val="24"/>
                <w:szCs w:val="24"/>
                <w:u w:val="none" w:color="auto"/>
                <w:lang w:val="en-US" w:eastAsia="zh-CN" w:bidi="ar-SA"/>
              </w:rPr>
              <w:t>分析</w:t>
            </w:r>
          </w:p>
          <w:p w14:paraId="3D3203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u w:val="none" w:color="auto"/>
                <w:lang w:val="en-US" w:eastAsia="zh-CN"/>
              </w:rPr>
            </w:pPr>
            <w:r>
              <w:rPr>
                <w:rFonts w:hint="eastAsia" w:ascii="微软雅黑" w:hAnsi="微软雅黑" w:eastAsia="微软雅黑" w:cs="微软雅黑"/>
                <w:i w:val="0"/>
                <w:iCs w:val="0"/>
                <w:caps w:val="0"/>
                <w:color w:val="333333"/>
                <w:spacing w:val="0"/>
                <w:sz w:val="21"/>
                <w:szCs w:val="21"/>
                <w:u w:val="none" w:color="auto"/>
                <w:shd w:val="clear" w:color="auto" w:fill="FFFFFF"/>
              </w:rPr>
              <w:t> </w:t>
            </w:r>
            <w:r>
              <w:rPr>
                <w:rFonts w:hint="eastAsia" w:ascii="Times New Roman" w:hAnsi="Times New Roman" w:eastAsia="宋体" w:cs="Times New Roman"/>
                <w:color w:val="000000"/>
                <w:kern w:val="0"/>
                <w:sz w:val="24"/>
                <w:szCs w:val="24"/>
                <w:u w:val="none" w:color="auto"/>
                <w:lang w:val="en-US" w:eastAsia="zh-CN" w:bidi="ar"/>
              </w:rPr>
              <w:t>在符合株洲市国土空间总体规划的前提下，科学确定</w:t>
            </w:r>
            <w:r>
              <w:rPr>
                <w:rFonts w:hint="eastAsia" w:eastAsia="宋体" w:cs="Times New Roman"/>
                <w:color w:val="000000"/>
                <w:kern w:val="0"/>
                <w:sz w:val="24"/>
                <w:szCs w:val="24"/>
                <w:u w:val="none" w:color="auto"/>
                <w:lang w:val="en-US" w:eastAsia="zh-CN" w:bidi="ar"/>
              </w:rPr>
              <w:t>株洲</w:t>
            </w:r>
            <w:r>
              <w:rPr>
                <w:rFonts w:hint="eastAsia" w:ascii="Times New Roman" w:hAnsi="Times New Roman" w:eastAsia="宋体" w:cs="Times New Roman"/>
                <w:color w:val="000000"/>
                <w:kern w:val="0"/>
                <w:sz w:val="24"/>
                <w:szCs w:val="24"/>
                <w:u w:val="none" w:color="auto"/>
                <w:lang w:val="en-US" w:eastAsia="zh-CN" w:bidi="ar"/>
              </w:rPr>
              <w:t>市公共健康及医疗卫生设施的资源配置，优化公共健康及医疗卫生设施的空间布局，提升株洲市公共健康与医疗卫生的整体服务水平。构建以综合医院（专科医院、中医医院）为中心，社区卫生服务机构（乡镇卫生院）为基础的两级医疗服务体系；建设“15分钟健康服务圈”；完善妇幼保健、疾病预防控制、卫生监督执法、专科疾病防治、供采血、急救等六大专业公共卫生体系；构建“医养结合”、“医育结合”公共健康服务设施体系。本项目属于乡镇卫生院项目，可</w:t>
            </w:r>
            <w:r>
              <w:rPr>
                <w:rFonts w:hint="eastAsia" w:cs="Times New Roman"/>
                <w:sz w:val="24"/>
                <w:szCs w:val="24"/>
                <w:u w:val="none" w:color="auto"/>
                <w:lang w:val="en-US" w:eastAsia="zh-CN"/>
              </w:rPr>
              <w:t>为浣溪湖口镇</w:t>
            </w:r>
            <w:r>
              <w:rPr>
                <w:rFonts w:hint="eastAsia" w:ascii="Times New Roman" w:hAnsi="Times New Roman" w:eastAsia="宋体" w:cs="Times New Roman"/>
                <w:color w:val="000000"/>
                <w:kern w:val="0"/>
                <w:sz w:val="24"/>
                <w:szCs w:val="24"/>
                <w:u w:val="none" w:color="auto"/>
                <w:lang w:val="en-US" w:eastAsia="zh-CN" w:bidi="ar"/>
              </w:rPr>
              <w:t>居民服务</w:t>
            </w:r>
            <w:r>
              <w:rPr>
                <w:rFonts w:hint="eastAsia" w:cs="Times New Roman"/>
                <w:color w:val="000000"/>
                <w:kern w:val="0"/>
                <w:sz w:val="24"/>
                <w:szCs w:val="24"/>
                <w:u w:val="none" w:color="auto"/>
                <w:lang w:val="en-US" w:eastAsia="zh-CN" w:bidi="ar"/>
              </w:rPr>
              <w:t>，已取得医疗机构许可证（附件3）</w:t>
            </w:r>
            <w:r>
              <w:rPr>
                <w:rFonts w:hint="eastAsia" w:ascii="Times New Roman" w:hAnsi="Times New Roman" w:eastAsia="宋体" w:cs="Times New Roman"/>
                <w:color w:val="000000"/>
                <w:kern w:val="0"/>
                <w:sz w:val="24"/>
                <w:szCs w:val="24"/>
                <w:u w:val="none" w:color="auto"/>
                <w:lang w:val="en-US" w:eastAsia="zh-CN" w:bidi="ar"/>
              </w:rPr>
              <w:t>。符合株洲市公共健康与医疗卫生设施布局国土空间专项规划</w:t>
            </w:r>
            <w:r>
              <w:rPr>
                <w:rFonts w:hint="eastAsia"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2022-2035)。</w:t>
            </w:r>
          </w:p>
          <w:p w14:paraId="7EEE48FE">
            <w:pPr>
              <w:pStyle w:val="23"/>
              <w:keepNext w:val="0"/>
              <w:keepLines w:val="0"/>
              <w:pageBreakBefore w:val="0"/>
              <w:kinsoku/>
              <w:wordWrap/>
              <w:overflowPunct/>
              <w:topLinePunct w:val="0"/>
              <w:bidi w:val="0"/>
              <w:spacing w:line="360" w:lineRule="auto"/>
              <w:ind w:left="0" w:right="0" w:firstLine="481"/>
              <w:textAlignment w:val="auto"/>
              <w:rPr>
                <w:rFonts w:hint="default" w:cs="宋体"/>
                <w:kern w:val="0"/>
                <w:sz w:val="24"/>
                <w:szCs w:val="24"/>
                <w:u w:val="none" w:color="auto"/>
                <w:lang w:val="en-US" w:eastAsia="zh-CN"/>
              </w:rPr>
            </w:pPr>
          </w:p>
        </w:tc>
      </w:tr>
    </w:tbl>
    <w:p w14:paraId="3F92FAC4">
      <w:pPr>
        <w:rPr>
          <w:rFonts w:hint="eastAsia" w:ascii="Times New Roman" w:hAnsi="Times New Roman" w:eastAsia="黑体"/>
          <w:snapToGrid w:val="0"/>
          <w:color w:val="000000" w:themeColor="text1"/>
          <w:sz w:val="30"/>
          <w:szCs w:val="30"/>
          <w14:textFill>
            <w14:solidFill>
              <w14:schemeClr w14:val="tx1"/>
            </w14:solidFill>
          </w14:textFill>
        </w:rPr>
      </w:pPr>
      <w:bookmarkStart w:id="9" w:name="_Toc5319"/>
      <w:bookmarkStart w:id="10" w:name="_Toc132899965"/>
      <w:bookmarkStart w:id="11" w:name="_Toc27231"/>
      <w:r>
        <w:rPr>
          <w:rFonts w:hint="eastAsia" w:ascii="Times New Roman" w:hAnsi="Times New Roman" w:eastAsia="黑体"/>
          <w:snapToGrid w:val="0"/>
          <w:color w:val="000000" w:themeColor="text1"/>
          <w:sz w:val="30"/>
          <w:szCs w:val="30"/>
          <w14:textFill>
            <w14:solidFill>
              <w14:schemeClr w14:val="tx1"/>
            </w14:solidFill>
          </w14:textFill>
        </w:rPr>
        <w:br w:type="page"/>
      </w:r>
    </w:p>
    <w:p w14:paraId="10C4CB20">
      <w:pPr>
        <w:pStyle w:val="2"/>
        <w:bidi w:val="0"/>
        <w:jc w:val="center"/>
        <w:rPr>
          <w:rFonts w:hint="eastAsia" w:ascii="黑体" w:hAnsi="黑体" w:eastAsia="黑体" w:cs="黑体"/>
          <w:b w:val="0"/>
          <w:bCs/>
          <w:sz w:val="30"/>
          <w:szCs w:val="30"/>
        </w:rPr>
      </w:pPr>
      <w:bookmarkStart w:id="12" w:name="_Toc29358"/>
      <w:r>
        <w:rPr>
          <w:rFonts w:hint="eastAsia" w:ascii="黑体" w:hAnsi="黑体" w:eastAsia="黑体" w:cs="黑体"/>
          <w:b w:val="0"/>
          <w:bCs/>
          <w:sz w:val="30"/>
          <w:szCs w:val="30"/>
        </w:rPr>
        <w:t>二、建设项目工程分析</w:t>
      </w:r>
      <w:bookmarkEnd w:id="9"/>
      <w:bookmarkEnd w:id="10"/>
      <w:bookmarkEnd w:id="11"/>
      <w:bookmarkEnd w:id="12"/>
    </w:p>
    <w:tbl>
      <w:tblPr>
        <w:tblStyle w:val="16"/>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407"/>
      </w:tblGrid>
      <w:tr w14:paraId="718F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14:paraId="55FF7C0F">
            <w:pPr>
              <w:pStyle w:val="14"/>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建设内容</w:t>
            </w:r>
          </w:p>
        </w:tc>
        <w:tc>
          <w:tcPr>
            <w:tcW w:w="8407" w:type="dxa"/>
            <w:shd w:val="clear" w:color="auto" w:fill="auto"/>
            <w:vAlign w:val="top"/>
          </w:tcPr>
          <w:p w14:paraId="3020C27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本项目内涉及放射性医疗设备需委托有资质的单位另行评价，本次评价不包括放射性评价内容。</w:t>
            </w:r>
          </w:p>
          <w:p w14:paraId="41BB4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t>1、项目由来</w:t>
            </w:r>
          </w:p>
          <w:p w14:paraId="4787DA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kern w:val="2"/>
                <w:sz w:val="24"/>
                <w:szCs w:val="24"/>
                <w:highlight w:val="none"/>
                <w:lang w:val="en-US" w:eastAsia="zh-CN" w:bidi="ar-SA"/>
              </w:rPr>
            </w:pPr>
            <w:r>
              <w:rPr>
                <w:rFonts w:hint="eastAsia"/>
                <w:sz w:val="24"/>
                <w:szCs w:val="24"/>
                <w:lang w:eastAsia="zh-CN"/>
              </w:rPr>
              <w:t>茶陵县</w:t>
            </w:r>
            <w:r>
              <w:rPr>
                <w:rFonts w:hint="eastAsia" w:cs="Times New Roman"/>
                <w:b w:val="0"/>
                <w:bCs w:val="0"/>
                <w:color w:val="auto"/>
                <w:sz w:val="24"/>
                <w:szCs w:val="24"/>
                <w:lang w:val="en-US" w:eastAsia="zh-CN"/>
              </w:rPr>
              <w:t>浣溪</w:t>
            </w:r>
            <w:r>
              <w:rPr>
                <w:rFonts w:hint="eastAsia" w:ascii="Times New Roman" w:hAnsi="Times New Roman" w:eastAsia="宋体" w:cs="Times New Roman"/>
                <w:b w:val="0"/>
                <w:bCs w:val="0"/>
                <w:color w:val="auto"/>
                <w:sz w:val="24"/>
                <w:szCs w:val="24"/>
                <w:lang w:eastAsia="zh-CN"/>
              </w:rPr>
              <w:t>卫生</w:t>
            </w:r>
            <w:r>
              <w:rPr>
                <w:rFonts w:hint="eastAsia" w:cs="Times New Roman"/>
                <w:b w:val="0"/>
                <w:bCs w:val="0"/>
                <w:color w:val="auto"/>
                <w:sz w:val="24"/>
                <w:szCs w:val="24"/>
                <w:lang w:val="en-US" w:eastAsia="zh-CN"/>
              </w:rPr>
              <w:t>院</w:t>
            </w:r>
            <w:r>
              <w:rPr>
                <w:sz w:val="24"/>
                <w:szCs w:val="24"/>
              </w:rPr>
              <w:t>位于</w:t>
            </w:r>
            <w:r>
              <w:rPr>
                <w:rFonts w:hint="eastAsia" w:ascii="Times New Roman" w:hAnsi="Times New Roman" w:eastAsia="宋体" w:cs="Times New Roman"/>
                <w:kern w:val="2"/>
                <w:sz w:val="24"/>
                <w:szCs w:val="24"/>
                <w:highlight w:val="none"/>
                <w:lang w:val="en-US" w:eastAsia="zh-CN" w:bidi="ar-SA"/>
              </w:rPr>
              <w:t>茶陵县</w:t>
            </w:r>
            <w:r>
              <w:rPr>
                <w:rFonts w:hint="eastAsia" w:cs="Times New Roman"/>
                <w:kern w:val="2"/>
                <w:sz w:val="24"/>
                <w:szCs w:val="24"/>
                <w:highlight w:val="none"/>
                <w:lang w:val="en-US" w:eastAsia="zh-CN" w:bidi="ar-SA"/>
              </w:rPr>
              <w:t>浣溪镇（原湖口镇）</w:t>
            </w:r>
            <w:r>
              <w:rPr>
                <w:rFonts w:hint="eastAsia" w:ascii="Times New Roman" w:hAnsi="Times New Roman" w:eastAsia="宋体" w:cs="Times New Roman"/>
                <w:kern w:val="2"/>
                <w:sz w:val="24"/>
                <w:szCs w:val="24"/>
                <w:highlight w:val="none"/>
                <w:lang w:val="en-US" w:eastAsia="zh-CN" w:bidi="ar-SA"/>
              </w:rPr>
              <w:t>由义村1组圩上106国道附近</w:t>
            </w:r>
            <w:r>
              <w:rPr>
                <w:sz w:val="24"/>
                <w:szCs w:val="24"/>
              </w:rPr>
              <w:t>，建</w:t>
            </w:r>
            <w:r>
              <w:rPr>
                <w:rFonts w:hint="eastAsia"/>
                <w:sz w:val="24"/>
                <w:szCs w:val="24"/>
                <w:lang w:val="en-US" w:eastAsia="zh-CN"/>
              </w:rPr>
              <w:t>成</w:t>
            </w:r>
            <w:r>
              <w:rPr>
                <w:sz w:val="24"/>
                <w:szCs w:val="24"/>
              </w:rPr>
              <w:t>于</w:t>
            </w:r>
            <w:r>
              <w:rPr>
                <w:rFonts w:hint="eastAsia"/>
                <w:sz w:val="24"/>
                <w:szCs w:val="24"/>
                <w:lang w:val="en-US" w:eastAsia="zh-CN"/>
              </w:rPr>
              <w:t>1958</w:t>
            </w:r>
            <w:r>
              <w:rPr>
                <w:sz w:val="24"/>
                <w:szCs w:val="24"/>
              </w:rPr>
              <w:t>年</w:t>
            </w:r>
            <w:r>
              <w:rPr>
                <w:rFonts w:hint="eastAsia"/>
                <w:sz w:val="24"/>
                <w:szCs w:val="24"/>
                <w:lang w:val="en-US" w:eastAsia="zh-CN"/>
              </w:rPr>
              <w:t>并</w:t>
            </w:r>
            <w:r>
              <w:rPr>
                <w:rFonts w:hint="eastAsia"/>
                <w:sz w:val="24"/>
                <w:szCs w:val="24"/>
                <w:lang w:eastAsia="zh-CN"/>
              </w:rPr>
              <w:t>投入使用；</w:t>
            </w:r>
            <w:r>
              <w:rPr>
                <w:rFonts w:hint="eastAsia"/>
                <w:sz w:val="24"/>
                <w:szCs w:val="24"/>
                <w:lang w:val="en-US" w:eastAsia="zh-CN"/>
              </w:rPr>
              <w:t>门诊楼于1997年10月29日建成，新增放射科、妇检科、儿检室、犬伤门诊等；住院部于2000年10月29日建成，新增门诊输液室、化验室、高血压糖尿病门诊等；</w:t>
            </w:r>
            <w:r>
              <w:rPr>
                <w:rFonts w:hint="eastAsia"/>
                <w:sz w:val="24"/>
                <w:szCs w:val="24"/>
                <w:lang w:eastAsia="zh-CN"/>
              </w:rPr>
              <w:t>2021年7月23</w:t>
            </w:r>
            <w:r>
              <w:rPr>
                <w:rFonts w:hint="eastAsia"/>
                <w:sz w:val="24"/>
                <w:szCs w:val="24"/>
                <w:lang w:val="en-US" w:eastAsia="zh-CN"/>
              </w:rPr>
              <w:t>日</w:t>
            </w:r>
            <w:r>
              <w:rPr>
                <w:rFonts w:hint="eastAsia"/>
                <w:sz w:val="24"/>
                <w:szCs w:val="24"/>
                <w:lang w:eastAsia="zh-CN"/>
              </w:rPr>
              <w:t>新</w:t>
            </w:r>
            <w:r>
              <w:rPr>
                <w:rFonts w:hint="eastAsia"/>
                <w:sz w:val="24"/>
                <w:szCs w:val="24"/>
                <w:lang w:val="en-US" w:eastAsia="zh-CN"/>
              </w:rPr>
              <w:t>建</w:t>
            </w:r>
            <w:r>
              <w:rPr>
                <w:rFonts w:hint="eastAsia"/>
                <w:sz w:val="24"/>
                <w:szCs w:val="24"/>
                <w:lang w:eastAsia="zh-CN"/>
              </w:rPr>
              <w:t>公</w:t>
            </w:r>
            <w:r>
              <w:rPr>
                <w:rFonts w:hint="eastAsia"/>
                <w:sz w:val="24"/>
                <w:szCs w:val="24"/>
                <w:lang w:val="en-US" w:eastAsia="zh-CN"/>
              </w:rPr>
              <w:t>卫</w:t>
            </w:r>
            <w:r>
              <w:rPr>
                <w:rFonts w:hint="eastAsia"/>
                <w:sz w:val="24"/>
                <w:szCs w:val="24"/>
                <w:lang w:eastAsia="zh-CN"/>
              </w:rPr>
              <w:t>楼，</w:t>
            </w:r>
            <w:r>
              <w:rPr>
                <w:rFonts w:hint="eastAsia"/>
                <w:sz w:val="24"/>
                <w:szCs w:val="24"/>
                <w:lang w:val="en-US" w:eastAsia="zh-CN"/>
              </w:rPr>
              <w:t>新增预防保健科、接种室、公卫办、妇保办等。本项目地址自建起从未搬迁，</w:t>
            </w:r>
            <w:r>
              <w:rPr>
                <w:rFonts w:hint="eastAsia" w:cs="Times New Roman"/>
                <w:color w:val="auto"/>
                <w:kern w:val="2"/>
                <w:sz w:val="24"/>
                <w:szCs w:val="24"/>
                <w:highlight w:val="none"/>
                <w:lang w:val="en-US" w:eastAsia="zh-CN" w:bidi="ar-SA"/>
              </w:rPr>
              <w:t>不存在搬迁、重建等事项。</w:t>
            </w:r>
            <w:r>
              <w:rPr>
                <w:rFonts w:hint="eastAsia" w:ascii="Times New Roman" w:hAnsi="Times New Roman" w:eastAsia="宋体" w:cs="Times New Roman"/>
                <w:kern w:val="2"/>
                <w:sz w:val="24"/>
                <w:szCs w:val="24"/>
                <w:highlight w:val="none"/>
                <w:lang w:val="en-US" w:eastAsia="zh-CN" w:bidi="ar-SA"/>
              </w:rPr>
              <w:t>本项目是政府主办的非营利性乡镇卫生院，是一家集医疗、保健、公共卫生为一体的公立性医院，肩负全镇及相邻乡镇群众的医疗卫生及预防保健工作。</w:t>
            </w:r>
          </w:p>
          <w:p w14:paraId="6974D7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经现场勘查发现，该项目已投入生产运营两年以上。根据《关于加强“未批先建”建设项目环境影响评价管理工作的通知》（环境保护部办公厅文件环办环评〔</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18</w:t>
            </w:r>
            <w:r>
              <w:rPr>
                <w:rFonts w:hint="eastAsia" w:ascii="Times New Roman" w:hAnsi="Times New Roman" w:eastAsia="宋体" w:cs="Times New Roman"/>
                <w:kern w:val="2"/>
                <w:sz w:val="24"/>
                <w:szCs w:val="24"/>
                <w:highlight w:val="none"/>
                <w:lang w:val="en-US" w:eastAsia="zh-CN" w:bidi="ar-SA"/>
              </w:rPr>
              <w:t>号）内容：“未批先建”违法行为自建设行为终了之日起二年内未被发现的，依法不予行政处罚。结合《建设项目“未批先建”违法行为法律适用问题的意见》（环政法函〔</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 xml:space="preserve">31 </w:t>
            </w:r>
            <w:r>
              <w:rPr>
                <w:rFonts w:hint="eastAsia" w:ascii="Times New Roman" w:hAnsi="Times New Roman" w:eastAsia="宋体" w:cs="Times New Roman"/>
                <w:kern w:val="2"/>
                <w:sz w:val="24"/>
                <w:szCs w:val="24"/>
                <w:highlight w:val="none"/>
                <w:lang w:val="en-US" w:eastAsia="zh-CN" w:bidi="ar-SA"/>
              </w:rPr>
              <w:t>号）文件精神及株洲市卫生健康委员会和株洲市生态环境局联合发文“关于做好一级医疗机构污水处理问题排查整治工作的通知”内容和株洲市茶陵县卫生健康局“一级医疗机构污水处理排查问题清单”，本项目属于茶陵县污水处理排查问题清单中的20张床位以上的一级医疗机构，需依法补办环保相关手续。</w:t>
            </w:r>
          </w:p>
          <w:p w14:paraId="334BC8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根据《中华人民共和国环境影响评价法》、国务院《建设项目环境保护管理条例》规定，茶陵县浣溪卫生院委托湖南精威环保科技有限公司承担该项目的环境影响评价工作。根据《建设项目环境影响评价分类管理名录》（</w:t>
            </w:r>
            <w:r>
              <w:rPr>
                <w:rFonts w:hint="default" w:ascii="Times New Roman" w:hAnsi="Times New Roman" w:eastAsia="宋体" w:cs="Times New Roman"/>
                <w:kern w:val="2"/>
                <w:sz w:val="24"/>
                <w:szCs w:val="24"/>
                <w:highlight w:val="none"/>
                <w:lang w:val="en-US" w:eastAsia="zh-CN" w:bidi="ar-SA"/>
              </w:rPr>
              <w:t xml:space="preserve">2021 </w:t>
            </w:r>
            <w:r>
              <w:rPr>
                <w:rFonts w:hint="eastAsia" w:ascii="Times New Roman" w:hAnsi="Times New Roman" w:eastAsia="宋体" w:cs="Times New Roman"/>
                <w:kern w:val="2"/>
                <w:sz w:val="24"/>
                <w:szCs w:val="24"/>
                <w:highlight w:val="none"/>
                <w:lang w:val="en-US" w:eastAsia="zh-CN" w:bidi="ar-SA"/>
              </w:rPr>
              <w:t xml:space="preserve">年版），本项目属于“四十九、卫生84、基层医疗卫生服务 </w:t>
            </w:r>
            <w:r>
              <w:rPr>
                <w:rFonts w:hint="default" w:ascii="Times New Roman" w:hAnsi="Times New Roman" w:eastAsia="宋体" w:cs="Times New Roman"/>
                <w:kern w:val="2"/>
                <w:sz w:val="24"/>
                <w:szCs w:val="24"/>
                <w:highlight w:val="none"/>
                <w:lang w:val="en-US" w:eastAsia="zh-CN" w:bidi="ar-SA"/>
              </w:rPr>
              <w:t>842</w:t>
            </w:r>
            <w:r>
              <w:rPr>
                <w:rFonts w:hint="eastAsia" w:ascii="Times New Roman" w:hAnsi="Times New Roman" w:eastAsia="宋体" w:cs="Times New Roman"/>
                <w:kern w:val="2"/>
                <w:sz w:val="24"/>
                <w:szCs w:val="24"/>
                <w:highlight w:val="none"/>
                <w:lang w:val="en-US" w:eastAsia="zh-CN" w:bidi="ar-SA"/>
              </w:rPr>
              <w:t>－其他（住院床位20张以下的除外）”，应编制环境影响报告表。我单位接受委托后，组织有关技术人员到项目所在地进行了现场踏勘和收集资料，并结合本项目环境特点和工程特征，依据《建设项目环境影响报告表编制指南（污染影响类</w:t>
            </w:r>
            <w:r>
              <w:rPr>
                <w:rFonts w:hint="eastAsia"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》等有关规范、标准要求，编制完成了《茶陵县浣溪卫生院建设项目环境影响报告表》并交建设单位呈生态环境部门审查。</w:t>
            </w:r>
          </w:p>
          <w:p w14:paraId="66D16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000000" w:themeColor="text1"/>
                <w:spacing w:val="0"/>
                <w:sz w:val="24"/>
                <w:szCs w:val="24"/>
                <w:lang w:eastAsia="zh-CN"/>
                <w14:textFill>
                  <w14:solidFill>
                    <w14:schemeClr w14:val="tx1"/>
                  </w14:solidFill>
                </w14:textFill>
              </w:rPr>
            </w:pPr>
            <w:r>
              <w:rPr>
                <w:rFonts w:hint="eastAsia" w:ascii="宋体" w:hAnsi="宋体" w:cs="Times New Roman"/>
                <w:color w:val="000000" w:themeColor="text1"/>
                <w:spacing w:val="0"/>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w:t>
            </w:r>
            <w:r>
              <w:rPr>
                <w:rFonts w:hint="eastAsia" w:ascii="宋体" w:hAnsi="宋体" w:eastAsia="宋体"/>
                <w:color w:val="000000" w:themeColor="text1"/>
                <w:spacing w:val="0"/>
                <w:sz w:val="24"/>
                <w:szCs w:val="24"/>
                <w:lang w:eastAsia="zh-CN"/>
                <w14:textFill>
                  <w14:solidFill>
                    <w14:schemeClr w14:val="tx1"/>
                  </w14:solidFill>
                </w14:textFill>
              </w:rPr>
              <w:t>项目基本情况</w:t>
            </w:r>
          </w:p>
          <w:p w14:paraId="3308641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ascii="宋体" w:hAnsi="宋体" w:eastAsia="宋体" w:cs="宋体"/>
                <w:spacing w:val="0"/>
                <w:sz w:val="24"/>
                <w:szCs w:val="24"/>
              </w:rPr>
              <w:t>项目名称：</w:t>
            </w:r>
            <w:r>
              <w:rPr>
                <w:rFonts w:hint="eastAsia" w:ascii="Times New Roman" w:hAnsi="Times New Roman" w:eastAsia="宋体" w:cs="Times New Roman"/>
                <w:kern w:val="2"/>
                <w:sz w:val="24"/>
                <w:szCs w:val="24"/>
                <w:highlight w:val="none"/>
                <w:lang w:val="en-US" w:eastAsia="zh-CN" w:bidi="ar-SA"/>
              </w:rPr>
              <w:t>茶陵县浣溪卫生院建设项目</w:t>
            </w:r>
          </w:p>
          <w:p w14:paraId="1CE3DEF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pacing w:val="0"/>
                <w:sz w:val="24"/>
                <w:szCs w:val="24"/>
                <w:lang w:val="en-US" w:eastAsia="zh-CN"/>
              </w:rPr>
            </w:pPr>
            <w:r>
              <w:rPr>
                <w:rFonts w:ascii="宋体" w:hAnsi="宋体" w:eastAsia="宋体" w:cs="宋体"/>
                <w:spacing w:val="0"/>
                <w:sz w:val="24"/>
                <w:szCs w:val="24"/>
              </w:rPr>
              <w:t>建设单位：</w:t>
            </w:r>
            <w:r>
              <w:rPr>
                <w:rFonts w:hint="eastAsia" w:ascii="Times New Roman" w:hAnsi="Times New Roman" w:eastAsia="宋体" w:cs="Times New Roman"/>
                <w:b w:val="0"/>
                <w:bCs w:val="0"/>
                <w:color w:val="auto"/>
                <w:sz w:val="24"/>
                <w:szCs w:val="24"/>
                <w:lang w:eastAsia="zh-CN"/>
              </w:rPr>
              <w:t>茶陵县</w:t>
            </w:r>
            <w:r>
              <w:rPr>
                <w:rFonts w:hint="eastAsia" w:cs="Times New Roman"/>
                <w:b w:val="0"/>
                <w:bCs w:val="0"/>
                <w:color w:val="auto"/>
                <w:sz w:val="24"/>
                <w:szCs w:val="24"/>
                <w:lang w:val="en-US" w:eastAsia="zh-CN"/>
              </w:rPr>
              <w:t>浣溪卫生院</w:t>
            </w:r>
          </w:p>
          <w:p w14:paraId="221FF97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3</w:t>
            </w:r>
            <w:r>
              <w:rPr>
                <w:rFonts w:hint="eastAsia" w:ascii="宋体" w:hAnsi="宋体" w:cs="Times New Roman"/>
                <w:spacing w:val="0"/>
                <w:sz w:val="24"/>
                <w:szCs w:val="24"/>
                <w:lang w:eastAsia="zh-CN"/>
              </w:rPr>
              <w:t>）</w:t>
            </w:r>
            <w:r>
              <w:rPr>
                <w:rFonts w:ascii="宋体" w:hAnsi="宋体" w:eastAsia="宋体" w:cs="宋体"/>
                <w:spacing w:val="0"/>
                <w:sz w:val="24"/>
                <w:szCs w:val="24"/>
              </w:rPr>
              <w:t>建设性质：</w:t>
            </w:r>
            <w:r>
              <w:rPr>
                <w:rFonts w:hint="eastAsia" w:ascii="宋体" w:hAnsi="宋体" w:cs="宋体"/>
                <w:spacing w:val="0"/>
                <w:sz w:val="24"/>
                <w:szCs w:val="24"/>
                <w:lang w:eastAsia="zh-CN"/>
              </w:rPr>
              <w:t>新建（补办）</w:t>
            </w:r>
          </w:p>
          <w:p w14:paraId="622D3E8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cs="宋体"/>
                <w:b w:val="0"/>
                <w:bCs w:val="0"/>
                <w:color w:val="000000"/>
                <w:sz w:val="24"/>
                <w:szCs w:val="24"/>
                <w:highlight w:val="none"/>
                <w:lang w:val="en-US"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4</w:t>
            </w:r>
            <w:r>
              <w:rPr>
                <w:rFonts w:hint="eastAsia" w:ascii="宋体" w:hAnsi="宋体" w:cs="Times New Roman"/>
                <w:spacing w:val="0"/>
                <w:sz w:val="24"/>
                <w:szCs w:val="24"/>
                <w:lang w:eastAsia="zh-CN"/>
              </w:rPr>
              <w:t>）</w:t>
            </w:r>
            <w:r>
              <w:rPr>
                <w:rFonts w:ascii="宋体" w:hAnsi="宋体" w:eastAsia="宋体" w:cs="宋体"/>
                <w:spacing w:val="0"/>
                <w:sz w:val="24"/>
                <w:szCs w:val="24"/>
              </w:rPr>
              <w:t>建设地址：</w:t>
            </w:r>
            <w:r>
              <w:rPr>
                <w:rFonts w:hint="eastAsia" w:ascii="宋体" w:hAnsi="宋体" w:cs="宋体"/>
                <w:b w:val="0"/>
                <w:bCs w:val="0"/>
                <w:color w:val="000000"/>
                <w:sz w:val="24"/>
                <w:szCs w:val="24"/>
                <w:highlight w:val="none"/>
                <w:lang w:eastAsia="zh-CN"/>
              </w:rPr>
              <w:t>茶陵县</w:t>
            </w:r>
            <w:r>
              <w:rPr>
                <w:rFonts w:hint="eastAsia" w:ascii="宋体" w:hAnsi="宋体" w:cs="宋体"/>
                <w:b w:val="0"/>
                <w:bCs w:val="0"/>
                <w:color w:val="000000"/>
                <w:sz w:val="24"/>
                <w:szCs w:val="24"/>
                <w:highlight w:val="none"/>
                <w:lang w:val="en-US" w:eastAsia="zh-CN"/>
              </w:rPr>
              <w:t>浣溪镇（原湖口镇）由义村</w:t>
            </w:r>
          </w:p>
          <w:p w14:paraId="264E1C8B">
            <w:pPr>
              <w:pStyle w:val="6"/>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eastAsia="宋体"/>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eastAsia="zh-CN"/>
              </w:rPr>
              <w:t>床位设置：</w:t>
            </w:r>
            <w:r>
              <w:rPr>
                <w:rFonts w:hint="eastAsia" w:ascii="宋体" w:hAnsi="宋体" w:eastAsia="宋体" w:cs="宋体"/>
                <w:spacing w:val="0"/>
                <w:sz w:val="24"/>
                <w:szCs w:val="24"/>
                <w:lang w:val="en-US" w:eastAsia="zh-CN"/>
              </w:rPr>
              <w:t>3</w:t>
            </w:r>
            <w:r>
              <w:rPr>
                <w:rFonts w:hint="eastAsia" w:ascii="宋体" w:hAnsi="宋体" w:cs="宋体"/>
                <w:spacing w:val="0"/>
                <w:sz w:val="24"/>
                <w:szCs w:val="24"/>
                <w:lang w:val="en-US" w:eastAsia="zh-CN"/>
              </w:rPr>
              <w:t>0</w:t>
            </w:r>
            <w:r>
              <w:rPr>
                <w:rFonts w:hint="eastAsia" w:ascii="宋体" w:hAnsi="宋体" w:eastAsia="宋体" w:cs="宋体"/>
                <w:spacing w:val="0"/>
                <w:sz w:val="24"/>
                <w:szCs w:val="24"/>
                <w:lang w:val="en-US" w:eastAsia="zh-CN"/>
              </w:rPr>
              <w:t>张住院床位</w:t>
            </w:r>
          </w:p>
          <w:p w14:paraId="535134B7">
            <w:pPr>
              <w:keepNext w:val="0"/>
              <w:keepLines w:val="0"/>
              <w:pageBreakBefore w:val="0"/>
              <w:widowControl w:val="0"/>
              <w:kinsoku/>
              <w:wordWrap/>
              <w:overflowPunct/>
              <w:topLinePunct w:val="0"/>
              <w:autoSpaceDE/>
              <w:autoSpaceDN/>
              <w:bidi w:val="0"/>
              <w:adjustRightInd/>
              <w:snapToGrid w:val="0"/>
              <w:spacing w:line="360" w:lineRule="auto"/>
              <w:ind w:right="0"/>
              <w:textAlignment w:val="auto"/>
              <w:rPr>
                <w:rFonts w:hint="eastAsia" w:ascii="Times New Roman" w:hAnsi="Times New Roman" w:eastAsia="宋体" w:cs="宋体"/>
                <w:color w:val="000000" w:themeColor="text1"/>
                <w:spacing w:val="0"/>
                <w:position w:val="0"/>
                <w:sz w:val="24"/>
                <w:szCs w:val="24"/>
                <w14:textFill>
                  <w14:solidFill>
                    <w14:schemeClr w14:val="tx1"/>
                  </w14:solidFill>
                </w14:textFill>
              </w:rPr>
            </w:pPr>
            <w:r>
              <w:rPr>
                <w:rFonts w:hint="eastAsia" w:ascii="宋体" w:hAnsi="宋体"/>
                <w:color w:val="000000" w:themeColor="text1"/>
                <w:spacing w:val="0"/>
                <w:position w:val="0"/>
                <w:sz w:val="24"/>
                <w:szCs w:val="24"/>
                <w:lang w:val="en-US" w:eastAsia="zh-CN"/>
                <w14:textFill>
                  <w14:solidFill>
                    <w14:schemeClr w14:val="tx1"/>
                  </w14:solidFill>
                </w14:textFill>
              </w:rPr>
              <w:t>3</w:t>
            </w:r>
            <w:r>
              <w:rPr>
                <w:rFonts w:hint="eastAsia" w:ascii="Times New Roman" w:hAnsi="Times New Roman" w:eastAsia="宋体" w:cs="宋体"/>
                <w:color w:val="000000" w:themeColor="text1"/>
                <w:spacing w:val="0"/>
                <w:position w:val="0"/>
                <w:sz w:val="24"/>
                <w:szCs w:val="24"/>
                <w14:textFill>
                  <w14:solidFill>
                    <w14:schemeClr w14:val="tx1"/>
                  </w14:solidFill>
                </w14:textFill>
              </w:rPr>
              <w:t>、主要建设内容</w:t>
            </w:r>
          </w:p>
          <w:p w14:paraId="0BAC2F0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b/>
                <w:color w:val="000000" w:themeColor="text1"/>
                <w:spacing w:val="5"/>
                <w:sz w:val="21"/>
                <w:szCs w:val="21"/>
                <w14:textFill>
                  <w14:solidFill>
                    <w14:schemeClr w14:val="tx1"/>
                  </w14:solidFill>
                </w14:textFill>
              </w:rPr>
            </w:pPr>
            <w:r>
              <w:rPr>
                <w:rFonts w:ascii="宋体" w:hAnsi="宋体" w:eastAsia="宋体" w:cs="宋体"/>
                <w:b/>
                <w:color w:val="000000" w:themeColor="text1"/>
                <w:spacing w:val="7"/>
                <w:sz w:val="21"/>
                <w:szCs w:val="21"/>
                <w14:textFill>
                  <w14:solidFill>
                    <w14:schemeClr w14:val="tx1"/>
                  </w14:solidFill>
                </w14:textFill>
              </w:rPr>
              <w:t>表</w:t>
            </w:r>
            <w:r>
              <w:rPr>
                <w:rFonts w:ascii="宋体" w:hAnsi="宋体" w:eastAsia="宋体"/>
                <w:b/>
                <w:bCs/>
                <w:color w:val="000000" w:themeColor="text1"/>
                <w:spacing w:val="5"/>
                <w:sz w:val="21"/>
                <w:szCs w:val="21"/>
                <w14:textFill>
                  <w14:solidFill>
                    <w14:schemeClr w14:val="tx1"/>
                  </w14:solidFill>
                </w14:textFill>
              </w:rPr>
              <w:t>2-1</w:t>
            </w:r>
            <w:r>
              <w:rPr>
                <w:rFonts w:ascii="宋体" w:hAnsi="宋体" w:eastAsia="宋体" w:cs="宋体"/>
                <w:b/>
                <w:color w:val="000000" w:themeColor="text1"/>
                <w:spacing w:val="5"/>
                <w:sz w:val="21"/>
                <w:szCs w:val="21"/>
                <w14:textFill>
                  <w14:solidFill>
                    <w14:schemeClr w14:val="tx1"/>
                  </w14:solidFill>
                </w14:textFill>
              </w:rPr>
              <w:t>项目主要建设内容一览表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379"/>
              <w:gridCol w:w="5952"/>
            </w:tblGrid>
            <w:tr w14:paraId="3920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noWrap w:val="0"/>
                  <w:vAlign w:val="center"/>
                </w:tcPr>
                <w:p w14:paraId="356E4A08">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spacing w:val="0"/>
                      <w:position w:val="0"/>
                      <w:sz w:val="21"/>
                      <w:szCs w:val="21"/>
                      <w:u w:val="none" w:color="auto"/>
                    </w:rPr>
                  </w:pPr>
                  <w:r>
                    <w:rPr>
                      <w:rFonts w:ascii="Times New Roman" w:hAnsi="Times New Roman" w:eastAsia="宋体" w:cs="宋体"/>
                      <w:b w:val="0"/>
                      <w:bCs/>
                      <w:color w:val="000000"/>
                      <w:spacing w:val="0"/>
                      <w:position w:val="0"/>
                      <w:sz w:val="21"/>
                      <w:szCs w:val="21"/>
                      <w:u w:val="none" w:color="auto"/>
                    </w:rPr>
                    <w:t>工程</w:t>
                  </w:r>
                </w:p>
                <w:p w14:paraId="04FB5B5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spacing w:val="0"/>
                      <w:position w:val="0"/>
                      <w:sz w:val="21"/>
                      <w:szCs w:val="21"/>
                      <w:u w:val="none" w:color="auto"/>
                    </w:rPr>
                    <w:t>类别</w:t>
                  </w:r>
                </w:p>
              </w:tc>
              <w:tc>
                <w:tcPr>
                  <w:tcW w:w="843" w:type="pct"/>
                  <w:noWrap w:val="0"/>
                  <w:vAlign w:val="center"/>
                </w:tcPr>
                <w:p w14:paraId="5D665A85">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spacing w:val="0"/>
                      <w:position w:val="0"/>
                      <w:sz w:val="21"/>
                      <w:szCs w:val="21"/>
                      <w:u w:val="none" w:color="auto"/>
                    </w:rPr>
                    <w:t>工程名称</w:t>
                  </w:r>
                </w:p>
              </w:tc>
              <w:tc>
                <w:tcPr>
                  <w:tcW w:w="3638" w:type="pct"/>
                  <w:noWrap w:val="0"/>
                  <w:vAlign w:val="center"/>
                </w:tcPr>
                <w:p w14:paraId="3768C52B">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position w:val="0"/>
                      <w:sz w:val="21"/>
                      <w:szCs w:val="21"/>
                      <w:u w:val="none" w:color="auto"/>
                    </w:rPr>
                    <w:t>工程内容</w:t>
                  </w:r>
                </w:p>
              </w:tc>
            </w:tr>
            <w:tr w14:paraId="4A81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vMerge w:val="restart"/>
                  <w:noWrap w:val="0"/>
                  <w:vAlign w:val="center"/>
                </w:tcPr>
                <w:p w14:paraId="2594101B">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spacing w:val="0"/>
                      <w:position w:val="0"/>
                      <w:sz w:val="21"/>
                      <w:szCs w:val="21"/>
                      <w:highlight w:val="none"/>
                      <w:u w:val="none" w:color="auto"/>
                    </w:rPr>
                  </w:pPr>
                  <w:r>
                    <w:rPr>
                      <w:rFonts w:ascii="Times New Roman" w:hAnsi="Times New Roman" w:eastAsia="宋体" w:cs="宋体"/>
                      <w:b w:val="0"/>
                      <w:bCs/>
                      <w:color w:val="000000"/>
                      <w:spacing w:val="0"/>
                      <w:position w:val="0"/>
                      <w:sz w:val="21"/>
                      <w:szCs w:val="21"/>
                      <w:highlight w:val="none"/>
                      <w:u w:val="none" w:color="auto"/>
                    </w:rPr>
                    <w:t>主体</w:t>
                  </w:r>
                </w:p>
                <w:p w14:paraId="31B8A167">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highlight w:val="yellow"/>
                      <w:vertAlign w:val="baseline"/>
                    </w:rPr>
                  </w:pPr>
                  <w:r>
                    <w:rPr>
                      <w:rFonts w:ascii="Times New Roman" w:hAnsi="Times New Roman" w:eastAsia="宋体" w:cs="宋体"/>
                      <w:b w:val="0"/>
                      <w:bCs/>
                      <w:color w:val="000000"/>
                      <w:spacing w:val="0"/>
                      <w:position w:val="0"/>
                      <w:sz w:val="21"/>
                      <w:szCs w:val="21"/>
                      <w:highlight w:val="none"/>
                      <w:u w:val="none" w:color="auto"/>
                    </w:rPr>
                    <w:t>工程</w:t>
                  </w:r>
                </w:p>
              </w:tc>
              <w:tc>
                <w:tcPr>
                  <w:tcW w:w="843" w:type="pct"/>
                  <w:noWrap w:val="0"/>
                  <w:vAlign w:val="center"/>
                </w:tcPr>
                <w:p w14:paraId="6970D775">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eastAsia="zh-CN"/>
                    </w:rPr>
                  </w:pPr>
                  <w:r>
                    <w:rPr>
                      <w:rFonts w:hint="eastAsia"/>
                      <w:b w:val="0"/>
                      <w:bCs/>
                      <w:spacing w:val="0"/>
                      <w:sz w:val="21"/>
                      <w:szCs w:val="21"/>
                      <w:vertAlign w:val="baseline"/>
                      <w:lang w:val="en-US" w:eastAsia="zh-CN"/>
                    </w:rPr>
                    <w:t>公卫办公楼</w:t>
                  </w:r>
                </w:p>
              </w:tc>
              <w:tc>
                <w:tcPr>
                  <w:tcW w:w="3638" w:type="pct"/>
                  <w:noWrap w:val="0"/>
                  <w:vAlign w:val="center"/>
                </w:tcPr>
                <w:p w14:paraId="6BB7DE2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eastAsia" w:ascii="Times New Roman" w:hAnsi="Times New Roman" w:eastAsia="宋体" w:cs="宋体"/>
                      <w:b w:val="0"/>
                      <w:bCs/>
                      <w:color w:val="0000FF"/>
                      <w:spacing w:val="0"/>
                      <w:sz w:val="21"/>
                      <w:szCs w:val="21"/>
                      <w:highlight w:val="none"/>
                      <w:u w:val="none"/>
                      <w:vertAlign w:val="baseline"/>
                      <w:lang w:val="en-US" w:eastAsia="zh-CN"/>
                    </w:rPr>
                  </w:pPr>
                  <w:r>
                    <w:rPr>
                      <w:rFonts w:hint="eastAsia" w:ascii="Times New Roman" w:hAnsi="Times New Roman" w:eastAsia="宋体"/>
                      <w:b w:val="0"/>
                      <w:bCs/>
                      <w:spacing w:val="0"/>
                      <w:sz w:val="21"/>
                      <w:szCs w:val="21"/>
                      <w:highlight w:val="none"/>
                      <w:vertAlign w:val="baseline"/>
                      <w:lang w:eastAsia="zh-CN"/>
                    </w:rPr>
                    <w:t>占地面积约</w:t>
                  </w:r>
                  <w:r>
                    <w:rPr>
                      <w:rFonts w:hint="eastAsia"/>
                      <w:b w:val="0"/>
                      <w:bCs/>
                      <w:spacing w:val="0"/>
                      <w:sz w:val="21"/>
                      <w:szCs w:val="21"/>
                      <w:highlight w:val="none"/>
                      <w:vertAlign w:val="baseline"/>
                      <w:lang w:val="en-US" w:eastAsia="zh-CN"/>
                    </w:rPr>
                    <w:t>600</w:t>
                  </w:r>
                  <w:r>
                    <w:rPr>
                      <w:rFonts w:hint="eastAsia" w:ascii="Times New Roman" w:hAnsi="Times New Roman" w:eastAsia="宋体" w:cs="宋体"/>
                      <w:b w:val="0"/>
                      <w:bCs/>
                      <w:spacing w:val="0"/>
                      <w:sz w:val="21"/>
                      <w:szCs w:val="21"/>
                      <w:highlight w:val="none"/>
                      <w:u w:val="none"/>
                    </w:rPr>
                    <w:t>m</w:t>
                  </w:r>
                  <w:r>
                    <w:rPr>
                      <w:rFonts w:hint="eastAsia" w:ascii="Times New Roman" w:hAnsi="Times New Roman" w:eastAsia="宋体" w:cs="宋体"/>
                      <w:b w:val="0"/>
                      <w:bCs/>
                      <w:spacing w:val="0"/>
                      <w:sz w:val="21"/>
                      <w:szCs w:val="21"/>
                      <w:highlight w:val="none"/>
                      <w:u w:val="none"/>
                      <w:vertAlign w:val="superscript"/>
                    </w:rPr>
                    <w:t>2</w:t>
                  </w:r>
                  <w:r>
                    <w:rPr>
                      <w:rFonts w:hint="eastAsia" w:ascii="Times New Roman" w:hAnsi="Times New Roman" w:eastAsia="宋体" w:cs="宋体"/>
                      <w:b w:val="0"/>
                      <w:bCs/>
                      <w:spacing w:val="0"/>
                      <w:sz w:val="21"/>
                      <w:szCs w:val="21"/>
                      <w:highlight w:val="none"/>
                      <w:u w:val="none"/>
                      <w:vertAlign w:val="baseline"/>
                      <w:lang w:eastAsia="zh-CN"/>
                    </w:rPr>
                    <w:t>，砖混结构，共</w:t>
                  </w:r>
                  <w:r>
                    <w:rPr>
                      <w:rFonts w:hint="eastAsia" w:cs="宋体"/>
                      <w:b w:val="0"/>
                      <w:bCs/>
                      <w:spacing w:val="0"/>
                      <w:sz w:val="21"/>
                      <w:szCs w:val="21"/>
                      <w:highlight w:val="none"/>
                      <w:u w:val="none"/>
                      <w:vertAlign w:val="baseline"/>
                      <w:lang w:val="en-US" w:eastAsia="zh-CN"/>
                    </w:rPr>
                    <w:t>2</w:t>
                  </w:r>
                  <w:r>
                    <w:rPr>
                      <w:rFonts w:hint="eastAsia" w:ascii="Times New Roman" w:hAnsi="Times New Roman" w:eastAsia="宋体" w:cs="宋体"/>
                      <w:b w:val="0"/>
                      <w:bCs/>
                      <w:spacing w:val="0"/>
                      <w:sz w:val="21"/>
                      <w:szCs w:val="21"/>
                      <w:highlight w:val="none"/>
                      <w:u w:val="none"/>
                      <w:vertAlign w:val="baseline"/>
                      <w:lang w:val="en-US" w:eastAsia="zh-CN"/>
                    </w:rPr>
                    <w:t>层</w:t>
                  </w:r>
                </w:p>
                <w:p w14:paraId="237CB8D8">
                  <w:pPr>
                    <w:spacing w:line="260" w:lineRule="exact"/>
                    <w:jc w:val="left"/>
                    <w:rPr>
                      <w:rFonts w:hint="eastAsia" w:ascii="Times New Roman" w:hAnsi="Times New Roman" w:eastAsia="宋体" w:cs="Times New Roman"/>
                      <w:snapToGrid/>
                      <w:color w:val="000000"/>
                      <w:kern w:val="2"/>
                      <w:sz w:val="21"/>
                      <w:szCs w:val="21"/>
                      <w:highlight w:val="none"/>
                      <w:u w:val="none"/>
                      <w:lang w:val="en-US" w:eastAsia="zh-CN" w:bidi="ar-SA"/>
                    </w:rPr>
                  </w:pPr>
                  <w:r>
                    <w:rPr>
                      <w:rFonts w:hint="default" w:ascii="Times New Roman" w:hAnsi="Times New Roman" w:eastAsia="宋体" w:cs="Times New Roman"/>
                      <w:snapToGrid/>
                      <w:color w:val="000000"/>
                      <w:kern w:val="2"/>
                      <w:sz w:val="21"/>
                      <w:szCs w:val="21"/>
                      <w:highlight w:val="none"/>
                      <w:u w:val="none"/>
                      <w:lang w:val="en-US" w:eastAsia="zh-CN" w:bidi="ar-SA"/>
                    </w:rPr>
                    <w:t>1F</w:t>
                  </w:r>
                  <w:r>
                    <w:rPr>
                      <w:rFonts w:hint="eastAsia" w:ascii="Times New Roman" w:hAnsi="Times New Roman" w:eastAsia="宋体" w:cs="Times New Roman"/>
                      <w:snapToGrid/>
                      <w:color w:val="000000"/>
                      <w:kern w:val="2"/>
                      <w:sz w:val="21"/>
                      <w:szCs w:val="21"/>
                      <w:highlight w:val="none"/>
                      <w:u w:val="none"/>
                      <w:lang w:val="en-US" w:eastAsia="zh-CN" w:bidi="ar-SA"/>
                    </w:rPr>
                    <w:t>为预防保健科、接种室、儿科、公卫办、妇保办、医疗废物暂存间</w:t>
                  </w:r>
                  <w:r>
                    <w:rPr>
                      <w:rFonts w:hint="default" w:ascii="Times New Roman" w:hAnsi="Times New Roman" w:eastAsia="宋体" w:cs="Times New Roman"/>
                      <w:snapToGrid/>
                      <w:color w:val="000000"/>
                      <w:kern w:val="2"/>
                      <w:sz w:val="21"/>
                      <w:szCs w:val="21"/>
                      <w:highlight w:val="none"/>
                      <w:u w:val="none"/>
                      <w:lang w:val="en-US" w:eastAsia="zh-CN" w:bidi="ar-SA"/>
                    </w:rPr>
                    <w:t>等</w:t>
                  </w:r>
                  <w:r>
                    <w:rPr>
                      <w:rFonts w:hint="eastAsia" w:ascii="Times New Roman" w:hAnsi="Times New Roman" w:eastAsia="宋体" w:cs="Times New Roman"/>
                      <w:snapToGrid/>
                      <w:color w:val="000000"/>
                      <w:kern w:val="2"/>
                      <w:sz w:val="21"/>
                      <w:szCs w:val="21"/>
                      <w:highlight w:val="none"/>
                      <w:u w:val="none"/>
                      <w:lang w:val="en-US" w:eastAsia="zh-CN" w:bidi="ar-SA"/>
                    </w:rPr>
                    <w:t>；</w:t>
                  </w:r>
                </w:p>
                <w:p w14:paraId="6EE8534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宋体" w:cs="宋体"/>
                      <w:b w:val="0"/>
                      <w:bCs/>
                      <w:spacing w:val="0"/>
                      <w:sz w:val="21"/>
                      <w:szCs w:val="21"/>
                      <w:u w:val="none"/>
                      <w:lang w:val="en-US" w:eastAsia="zh-CN"/>
                    </w:rPr>
                  </w:pPr>
                  <w:r>
                    <w:rPr>
                      <w:rFonts w:hint="default" w:ascii="Times New Roman" w:hAnsi="Times New Roman" w:eastAsia="宋体" w:cs="Times New Roman"/>
                      <w:snapToGrid/>
                      <w:color w:val="000000"/>
                      <w:kern w:val="2"/>
                      <w:sz w:val="21"/>
                      <w:szCs w:val="21"/>
                      <w:highlight w:val="none"/>
                      <w:u w:val="none"/>
                      <w:lang w:val="en-US" w:eastAsia="zh-CN" w:bidi="ar-SA"/>
                    </w:rPr>
                    <w:t>2F</w:t>
                  </w:r>
                  <w:r>
                    <w:rPr>
                      <w:rFonts w:hint="eastAsia" w:ascii="Times New Roman" w:hAnsi="Times New Roman" w:eastAsia="宋体" w:cs="Times New Roman"/>
                      <w:snapToGrid/>
                      <w:color w:val="000000"/>
                      <w:kern w:val="2"/>
                      <w:sz w:val="21"/>
                      <w:szCs w:val="21"/>
                      <w:highlight w:val="none"/>
                      <w:u w:val="none"/>
                      <w:lang w:val="en-US" w:eastAsia="zh-CN" w:bidi="ar-SA"/>
                    </w:rPr>
                    <w:t>为病房</w:t>
                  </w:r>
                  <w:r>
                    <w:rPr>
                      <w:rFonts w:hint="default" w:ascii="Times New Roman" w:hAnsi="Times New Roman" w:eastAsia="宋体" w:cs="Times New Roman"/>
                      <w:snapToGrid/>
                      <w:color w:val="000000"/>
                      <w:kern w:val="2"/>
                      <w:sz w:val="21"/>
                      <w:szCs w:val="21"/>
                      <w:highlight w:val="none"/>
                      <w:u w:val="none"/>
                      <w:lang w:val="en-US" w:eastAsia="zh-CN" w:bidi="ar-SA"/>
                    </w:rPr>
                    <w:t>。</w:t>
                  </w:r>
                  <w:r>
                    <w:rPr>
                      <w:rFonts w:hint="default" w:ascii="Times New Roman" w:hAnsi="Times New Roman" w:eastAsia="宋体" w:cs="Times New Roman"/>
                      <w:color w:val="000000"/>
                      <w:sz w:val="21"/>
                      <w:szCs w:val="21"/>
                      <w:u w:val="none"/>
                      <w:lang w:val="en-US" w:eastAsia="zh-CN"/>
                    </w:rPr>
                    <w:t>设</w:t>
                  </w:r>
                  <w:r>
                    <w:rPr>
                      <w:rFonts w:hint="eastAsia" w:ascii="Times New Roman" w:hAnsi="Times New Roman" w:eastAsia="宋体" w:cs="Times New Roman"/>
                      <w:color w:val="000000"/>
                      <w:sz w:val="21"/>
                      <w:szCs w:val="21"/>
                      <w:u w:val="none"/>
                      <w:lang w:val="en-US" w:eastAsia="zh-CN"/>
                    </w:rPr>
                    <w:t>10</w:t>
                  </w:r>
                  <w:r>
                    <w:rPr>
                      <w:rFonts w:hint="default" w:ascii="Times New Roman" w:hAnsi="Times New Roman" w:eastAsia="宋体" w:cs="Times New Roman"/>
                      <w:color w:val="000000"/>
                      <w:sz w:val="21"/>
                      <w:szCs w:val="21"/>
                      <w:u w:val="none"/>
                      <w:lang w:val="en-US" w:eastAsia="zh-CN"/>
                    </w:rPr>
                    <w:t>张病床。</w:t>
                  </w:r>
                </w:p>
              </w:tc>
            </w:tr>
            <w:tr w14:paraId="3DD7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18" w:type="pct"/>
                  <w:vMerge w:val="continue"/>
                  <w:noWrap w:val="0"/>
                  <w:vAlign w:val="center"/>
                </w:tcPr>
                <w:p w14:paraId="3233381C">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highlight w:val="yellow"/>
                      <w:vertAlign w:val="baseline"/>
                    </w:rPr>
                  </w:pPr>
                </w:p>
              </w:tc>
              <w:tc>
                <w:tcPr>
                  <w:tcW w:w="843" w:type="pct"/>
                  <w:noWrap w:val="0"/>
                  <w:vAlign w:val="center"/>
                </w:tcPr>
                <w:p w14:paraId="1B4FC55E">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color w:val="000000"/>
                      <w:spacing w:val="0"/>
                      <w:kern w:val="2"/>
                      <w:position w:val="0"/>
                      <w:sz w:val="21"/>
                      <w:szCs w:val="21"/>
                      <w:u w:val="none" w:color="auto"/>
                      <w:lang w:val="en-US" w:eastAsia="zh-CN" w:bidi="ar-SA"/>
                    </w:rPr>
                  </w:pPr>
                  <w:r>
                    <w:rPr>
                      <w:rFonts w:hint="eastAsia" w:cs="宋体"/>
                      <w:b w:val="0"/>
                      <w:bCs/>
                      <w:color w:val="000000"/>
                      <w:spacing w:val="0"/>
                      <w:kern w:val="2"/>
                      <w:position w:val="0"/>
                      <w:sz w:val="21"/>
                      <w:szCs w:val="21"/>
                      <w:u w:val="none" w:color="auto"/>
                      <w:lang w:val="en-US" w:eastAsia="zh-CN" w:bidi="ar-SA"/>
                    </w:rPr>
                    <w:t>住院楼</w:t>
                  </w:r>
                </w:p>
              </w:tc>
              <w:tc>
                <w:tcPr>
                  <w:tcW w:w="3638" w:type="pct"/>
                  <w:noWrap w:val="0"/>
                  <w:vAlign w:val="center"/>
                </w:tcPr>
                <w:p w14:paraId="78C2B49A">
                  <w:pPr>
                    <w:keepNext w:val="0"/>
                    <w:keepLines w:val="0"/>
                    <w:pageBreakBefore w:val="0"/>
                    <w:kinsoku/>
                    <w:wordWrap/>
                    <w:overflowPunct/>
                    <w:topLinePunct w:val="0"/>
                    <w:autoSpaceDE/>
                    <w:autoSpaceDN/>
                    <w:bidi w:val="0"/>
                    <w:adjustRightInd/>
                    <w:snapToGrid/>
                    <w:spacing w:line="240" w:lineRule="auto"/>
                    <w:ind w:right="0" w:rightChars="0"/>
                    <w:jc w:val="left"/>
                    <w:textAlignment w:val="auto"/>
                    <w:rPr>
                      <w:rFonts w:hint="eastAsia" w:ascii="Times New Roman" w:hAnsi="Times New Roman" w:eastAsia="宋体" w:cs="宋体"/>
                      <w:b w:val="0"/>
                      <w:bCs/>
                      <w:spacing w:val="0"/>
                      <w:position w:val="0"/>
                      <w:sz w:val="21"/>
                      <w:szCs w:val="21"/>
                      <w:u w:val="none" w:color="auto"/>
                      <w:vertAlign w:val="baseline"/>
                      <w:lang w:val="en-US" w:eastAsia="zh-CN"/>
                    </w:rPr>
                  </w:pPr>
                  <w:r>
                    <w:rPr>
                      <w:rFonts w:hint="eastAsia" w:ascii="Times New Roman" w:hAnsi="Times New Roman" w:eastAsia="宋体" w:cs="宋体"/>
                      <w:b w:val="0"/>
                      <w:bCs/>
                      <w:spacing w:val="0"/>
                      <w:position w:val="0"/>
                      <w:sz w:val="21"/>
                      <w:szCs w:val="21"/>
                      <w:highlight w:val="none"/>
                      <w:u w:val="none" w:color="auto"/>
                      <w:lang w:val="en-US" w:eastAsia="zh-CN"/>
                    </w:rPr>
                    <w:t>占地面积约</w:t>
                  </w:r>
                  <w:r>
                    <w:rPr>
                      <w:rFonts w:hint="eastAsia" w:cs="宋体"/>
                      <w:b w:val="0"/>
                      <w:bCs/>
                      <w:spacing w:val="0"/>
                      <w:position w:val="0"/>
                      <w:sz w:val="21"/>
                      <w:szCs w:val="21"/>
                      <w:highlight w:val="none"/>
                      <w:u w:val="none" w:color="auto"/>
                      <w:lang w:val="en-US" w:eastAsia="zh-CN"/>
                    </w:rPr>
                    <w:t>800</w:t>
                  </w:r>
                  <w:r>
                    <w:rPr>
                      <w:rFonts w:hint="eastAsia" w:ascii="Times New Roman" w:hAnsi="Times New Roman" w:eastAsia="宋体" w:cs="宋体"/>
                      <w:b w:val="0"/>
                      <w:bCs/>
                      <w:spacing w:val="0"/>
                      <w:position w:val="0"/>
                      <w:sz w:val="21"/>
                      <w:szCs w:val="21"/>
                      <w:highlight w:val="none"/>
                      <w:u w:val="none" w:color="auto"/>
                      <w:lang w:val="en-US" w:eastAsia="zh-CN"/>
                    </w:rPr>
                    <w:t>m</w:t>
                  </w:r>
                  <w:r>
                    <w:rPr>
                      <w:rFonts w:hint="eastAsia" w:ascii="Times New Roman" w:hAnsi="Times New Roman" w:eastAsia="宋体" w:cs="宋体"/>
                      <w:b w:val="0"/>
                      <w:bCs/>
                      <w:spacing w:val="0"/>
                      <w:position w:val="0"/>
                      <w:sz w:val="21"/>
                      <w:szCs w:val="21"/>
                      <w:highlight w:val="none"/>
                      <w:u w:val="none" w:color="auto"/>
                      <w:vertAlign w:val="superscript"/>
                      <w:lang w:val="en-US" w:eastAsia="zh-CN"/>
                    </w:rPr>
                    <w:t>2</w:t>
                  </w:r>
                  <w:r>
                    <w:rPr>
                      <w:rFonts w:hint="eastAsia" w:ascii="Times New Roman" w:hAnsi="Times New Roman" w:eastAsia="宋体" w:cs="宋体"/>
                      <w:b w:val="0"/>
                      <w:bCs/>
                      <w:spacing w:val="0"/>
                      <w:position w:val="0"/>
                      <w:sz w:val="21"/>
                      <w:szCs w:val="21"/>
                      <w:highlight w:val="none"/>
                      <w:u w:val="none" w:color="auto"/>
                      <w:vertAlign w:val="baseline"/>
                      <w:lang w:val="en-US" w:eastAsia="zh-CN"/>
                    </w:rPr>
                    <w:t>，砖混结构，</w:t>
                  </w:r>
                  <w:r>
                    <w:rPr>
                      <w:rFonts w:hint="eastAsia" w:ascii="Times New Roman" w:hAnsi="Times New Roman" w:eastAsia="宋体" w:cs="宋体"/>
                      <w:b w:val="0"/>
                      <w:bCs/>
                      <w:spacing w:val="0"/>
                      <w:position w:val="0"/>
                      <w:sz w:val="21"/>
                      <w:szCs w:val="21"/>
                      <w:u w:val="none" w:color="auto"/>
                      <w:vertAlign w:val="baseline"/>
                      <w:lang w:val="en-US" w:eastAsia="zh-CN"/>
                    </w:rPr>
                    <w:t>共</w:t>
                  </w:r>
                  <w:r>
                    <w:rPr>
                      <w:rFonts w:hint="eastAsia" w:cs="宋体"/>
                      <w:b w:val="0"/>
                      <w:bCs/>
                      <w:spacing w:val="0"/>
                      <w:position w:val="0"/>
                      <w:sz w:val="21"/>
                      <w:szCs w:val="21"/>
                      <w:u w:val="none" w:color="auto"/>
                      <w:vertAlign w:val="baseline"/>
                      <w:lang w:val="en-US" w:eastAsia="zh-CN"/>
                    </w:rPr>
                    <w:t>5</w:t>
                  </w:r>
                  <w:r>
                    <w:rPr>
                      <w:rFonts w:hint="eastAsia" w:ascii="Times New Roman" w:hAnsi="Times New Roman" w:eastAsia="宋体" w:cs="宋体"/>
                      <w:b w:val="0"/>
                      <w:bCs/>
                      <w:spacing w:val="0"/>
                      <w:position w:val="0"/>
                      <w:sz w:val="21"/>
                      <w:szCs w:val="21"/>
                      <w:u w:val="none" w:color="auto"/>
                      <w:vertAlign w:val="baseline"/>
                      <w:lang w:val="en-US" w:eastAsia="zh-CN"/>
                    </w:rPr>
                    <w:t>层</w:t>
                  </w:r>
                </w:p>
                <w:p w14:paraId="1E411E91">
                  <w:pPr>
                    <w:spacing w:line="260" w:lineRule="exact"/>
                    <w:jc w:val="left"/>
                    <w:rPr>
                      <w:rFonts w:hint="eastAsia" w:ascii="Times New Roman" w:hAnsi="Times New Roman" w:eastAsia="宋体" w:cs="Times New Roman"/>
                      <w:snapToGrid/>
                      <w:kern w:val="2"/>
                      <w:sz w:val="21"/>
                      <w:szCs w:val="21"/>
                      <w:highlight w:val="none"/>
                      <w:u w:val="none"/>
                      <w:lang w:val="en-US" w:eastAsia="zh-CN" w:bidi="ar-SA"/>
                    </w:rPr>
                  </w:pPr>
                  <w:r>
                    <w:rPr>
                      <w:rFonts w:hint="default" w:ascii="Times New Roman" w:hAnsi="Times New Roman" w:eastAsia="宋体" w:cs="Times New Roman"/>
                      <w:snapToGrid/>
                      <w:kern w:val="2"/>
                      <w:sz w:val="21"/>
                      <w:szCs w:val="21"/>
                      <w:highlight w:val="none"/>
                      <w:u w:val="none"/>
                      <w:lang w:val="en-US" w:eastAsia="zh-CN" w:bidi="ar-SA"/>
                    </w:rPr>
                    <w:t>1F为</w:t>
                  </w:r>
                  <w:r>
                    <w:rPr>
                      <w:rFonts w:hint="eastAsia" w:ascii="Times New Roman" w:hAnsi="Times New Roman" w:eastAsia="宋体" w:cs="Times New Roman"/>
                      <w:snapToGrid/>
                      <w:kern w:val="2"/>
                      <w:sz w:val="21"/>
                      <w:szCs w:val="21"/>
                      <w:highlight w:val="none"/>
                      <w:u w:val="none"/>
                      <w:lang w:val="en-US" w:eastAsia="zh-CN" w:bidi="ar-SA"/>
                    </w:rPr>
                    <w:t>药房、抢救室、护士办公室、治疗室、门诊输液室；</w:t>
                  </w:r>
                </w:p>
                <w:p w14:paraId="7A9EE930">
                  <w:pPr>
                    <w:spacing w:line="260" w:lineRule="exact"/>
                    <w:jc w:val="left"/>
                    <w:rPr>
                      <w:rFonts w:hint="default" w:ascii="Times New Roman" w:hAnsi="Times New Roman" w:eastAsia="宋体" w:cs="Times New Roman"/>
                      <w:snapToGrid/>
                      <w:kern w:val="2"/>
                      <w:sz w:val="21"/>
                      <w:szCs w:val="21"/>
                      <w:highlight w:val="none"/>
                      <w:u w:val="none"/>
                      <w:lang w:val="en-US" w:eastAsia="zh-CN" w:bidi="ar-SA"/>
                    </w:rPr>
                  </w:pPr>
                  <w:r>
                    <w:rPr>
                      <w:rFonts w:hint="default" w:ascii="Times New Roman" w:hAnsi="Times New Roman" w:eastAsia="宋体" w:cs="Times New Roman"/>
                      <w:snapToGrid/>
                      <w:kern w:val="2"/>
                      <w:sz w:val="21"/>
                      <w:szCs w:val="21"/>
                      <w:highlight w:val="none"/>
                      <w:u w:val="none"/>
                      <w:lang w:val="en-US" w:eastAsia="zh-CN" w:bidi="ar-SA"/>
                    </w:rPr>
                    <w:t>2F</w:t>
                  </w:r>
                  <w:r>
                    <w:rPr>
                      <w:rFonts w:hint="eastAsia" w:ascii="Times New Roman" w:hAnsi="Times New Roman" w:eastAsia="宋体" w:cs="Times New Roman"/>
                      <w:snapToGrid/>
                      <w:kern w:val="2"/>
                      <w:sz w:val="21"/>
                      <w:szCs w:val="21"/>
                      <w:highlight w:val="none"/>
                      <w:u w:val="none"/>
                      <w:lang w:val="en-US" w:eastAsia="zh-CN" w:bidi="ar-SA"/>
                    </w:rPr>
                    <w:t>为B超心电图室、医保、医保库房、公卫科、内科门诊、化验室、高血压糖尿病门诊</w:t>
                  </w:r>
                  <w:r>
                    <w:rPr>
                      <w:rFonts w:hint="default" w:ascii="Times New Roman" w:hAnsi="Times New Roman" w:eastAsia="宋体" w:cs="Times New Roman"/>
                      <w:snapToGrid/>
                      <w:kern w:val="2"/>
                      <w:sz w:val="21"/>
                      <w:szCs w:val="21"/>
                      <w:highlight w:val="none"/>
                      <w:u w:val="none"/>
                      <w:lang w:val="en-US" w:eastAsia="zh-CN" w:bidi="ar-SA"/>
                    </w:rPr>
                    <w:t>等</w:t>
                  </w:r>
                  <w:r>
                    <w:rPr>
                      <w:rFonts w:hint="eastAsia" w:ascii="Times New Roman" w:hAnsi="Times New Roman" w:eastAsia="宋体" w:cs="Times New Roman"/>
                      <w:snapToGrid/>
                      <w:kern w:val="2"/>
                      <w:sz w:val="21"/>
                      <w:szCs w:val="21"/>
                      <w:highlight w:val="none"/>
                      <w:u w:val="none"/>
                      <w:lang w:val="en-US" w:eastAsia="zh-CN" w:bidi="ar-SA"/>
                    </w:rPr>
                    <w:t>；</w:t>
                  </w:r>
                  <w:r>
                    <w:rPr>
                      <w:rFonts w:hint="default" w:ascii="Times New Roman" w:hAnsi="Times New Roman" w:eastAsia="宋体" w:cs="Times New Roman"/>
                      <w:color w:val="000000"/>
                      <w:sz w:val="21"/>
                      <w:szCs w:val="21"/>
                      <w:u w:val="none"/>
                      <w:lang w:val="en-US" w:eastAsia="zh-CN"/>
                    </w:rPr>
                    <w:t>设</w:t>
                  </w:r>
                  <w:r>
                    <w:rPr>
                      <w:rFonts w:hint="eastAsia" w:ascii="Times New Roman" w:hAnsi="Times New Roman" w:eastAsia="宋体" w:cs="Times New Roman"/>
                      <w:color w:val="000000"/>
                      <w:sz w:val="21"/>
                      <w:szCs w:val="21"/>
                      <w:u w:val="none"/>
                      <w:lang w:val="en-US" w:eastAsia="zh-CN"/>
                    </w:rPr>
                    <w:t>20</w:t>
                  </w:r>
                  <w:r>
                    <w:rPr>
                      <w:rFonts w:hint="default" w:ascii="Times New Roman" w:hAnsi="Times New Roman" w:eastAsia="宋体" w:cs="Times New Roman"/>
                      <w:color w:val="000000"/>
                      <w:sz w:val="21"/>
                      <w:szCs w:val="21"/>
                      <w:u w:val="none"/>
                      <w:lang w:val="en-US" w:eastAsia="zh-CN"/>
                    </w:rPr>
                    <w:t>张病床</w:t>
                  </w:r>
                  <w:r>
                    <w:rPr>
                      <w:rFonts w:hint="eastAsia" w:ascii="Times New Roman" w:hAnsi="Times New Roman" w:eastAsia="宋体" w:cs="Times New Roman"/>
                      <w:color w:val="000000"/>
                      <w:sz w:val="21"/>
                      <w:szCs w:val="21"/>
                      <w:u w:val="none"/>
                      <w:lang w:val="en-US" w:eastAsia="zh-CN"/>
                    </w:rPr>
                    <w:t>；</w:t>
                  </w:r>
                </w:p>
                <w:p w14:paraId="48F5B9E3">
                  <w:pPr>
                    <w:spacing w:line="260" w:lineRule="exact"/>
                    <w:jc w:val="left"/>
                    <w:rPr>
                      <w:rFonts w:hint="eastAsia" w:ascii="Times New Roman" w:hAnsi="Times New Roman" w:eastAsia="宋体" w:cs="Times New Roman"/>
                      <w:snapToGrid/>
                      <w:kern w:val="2"/>
                      <w:sz w:val="21"/>
                      <w:szCs w:val="21"/>
                      <w:highlight w:val="none"/>
                      <w:u w:val="none"/>
                      <w:lang w:val="en-US" w:eastAsia="zh-CN" w:bidi="ar-SA"/>
                    </w:rPr>
                  </w:pPr>
                  <w:r>
                    <w:rPr>
                      <w:rFonts w:hint="default" w:ascii="Times New Roman" w:hAnsi="Times New Roman" w:eastAsia="宋体" w:cs="Times New Roman"/>
                      <w:snapToGrid/>
                      <w:kern w:val="2"/>
                      <w:sz w:val="21"/>
                      <w:szCs w:val="21"/>
                      <w:highlight w:val="none"/>
                      <w:u w:val="none"/>
                      <w:lang w:val="en-US" w:eastAsia="zh-CN" w:bidi="ar-SA"/>
                    </w:rPr>
                    <w:t>3F为</w:t>
                  </w:r>
                  <w:r>
                    <w:rPr>
                      <w:rFonts w:hint="eastAsia" w:ascii="Times New Roman" w:hAnsi="Times New Roman" w:eastAsia="宋体" w:cs="Times New Roman"/>
                      <w:snapToGrid/>
                      <w:kern w:val="2"/>
                      <w:sz w:val="21"/>
                      <w:szCs w:val="21"/>
                      <w:highlight w:val="none"/>
                      <w:u w:val="none"/>
                      <w:lang w:val="en-US" w:eastAsia="zh-CN" w:bidi="ar-SA"/>
                    </w:rPr>
                    <w:t>中医馆、中药室、熏蒸室、牵引室、推拿室、中医治疗室等；</w:t>
                  </w:r>
                </w:p>
                <w:p w14:paraId="6DFF3B29">
                  <w:pPr>
                    <w:spacing w:line="260" w:lineRule="exact"/>
                    <w:jc w:val="left"/>
                    <w:rPr>
                      <w:rFonts w:hint="eastAsia" w:ascii="Times New Roman" w:hAnsi="Times New Roman" w:eastAsia="宋体" w:cs="Times New Roman"/>
                      <w:snapToGrid/>
                      <w:kern w:val="2"/>
                      <w:sz w:val="21"/>
                      <w:szCs w:val="21"/>
                      <w:highlight w:val="none"/>
                      <w:u w:val="none"/>
                      <w:lang w:val="en-US" w:eastAsia="zh-CN" w:bidi="ar-SA"/>
                    </w:rPr>
                  </w:pPr>
                  <w:r>
                    <w:rPr>
                      <w:rFonts w:hint="eastAsia" w:ascii="Times New Roman" w:hAnsi="Times New Roman" w:eastAsia="宋体" w:cs="Times New Roman"/>
                      <w:snapToGrid/>
                      <w:kern w:val="2"/>
                      <w:sz w:val="21"/>
                      <w:szCs w:val="21"/>
                      <w:highlight w:val="none"/>
                      <w:u w:val="none"/>
                      <w:lang w:val="en-US" w:eastAsia="zh-CN" w:bidi="ar-SA"/>
                    </w:rPr>
                    <w:t>4</w:t>
                  </w:r>
                  <w:r>
                    <w:rPr>
                      <w:rFonts w:hint="default" w:ascii="Times New Roman" w:hAnsi="Times New Roman" w:eastAsia="宋体" w:cs="Times New Roman"/>
                      <w:snapToGrid/>
                      <w:kern w:val="2"/>
                      <w:sz w:val="21"/>
                      <w:szCs w:val="21"/>
                      <w:highlight w:val="none"/>
                      <w:u w:val="none"/>
                      <w:lang w:val="en-US" w:eastAsia="zh-CN" w:bidi="ar-SA"/>
                    </w:rPr>
                    <w:t>F</w:t>
                  </w:r>
                  <w:r>
                    <w:rPr>
                      <w:rFonts w:hint="eastAsia" w:ascii="Times New Roman" w:hAnsi="Times New Roman" w:eastAsia="宋体" w:cs="Times New Roman"/>
                      <w:snapToGrid/>
                      <w:kern w:val="2"/>
                      <w:sz w:val="21"/>
                      <w:szCs w:val="21"/>
                      <w:highlight w:val="none"/>
                      <w:u w:val="none"/>
                      <w:lang w:val="en-US" w:eastAsia="zh-CN" w:bidi="ar-SA"/>
                    </w:rPr>
                    <w:t>为医院行政办公室；</w:t>
                  </w:r>
                </w:p>
                <w:p w14:paraId="12E77790">
                  <w:pPr>
                    <w:pStyle w:val="6"/>
                    <w:jc w:val="left"/>
                    <w:rPr>
                      <w:rFonts w:hint="default"/>
                      <w:lang w:val="en-US" w:eastAsia="zh-CN"/>
                    </w:rPr>
                  </w:pPr>
                  <w:r>
                    <w:rPr>
                      <w:rFonts w:hint="eastAsia" w:ascii="Times New Roman" w:hAnsi="Times New Roman" w:eastAsia="宋体" w:cs="Times New Roman"/>
                      <w:snapToGrid/>
                      <w:kern w:val="2"/>
                      <w:sz w:val="21"/>
                      <w:szCs w:val="21"/>
                      <w:highlight w:val="none"/>
                      <w:u w:val="none"/>
                      <w:lang w:val="en-US" w:eastAsia="zh-CN" w:bidi="ar-SA"/>
                    </w:rPr>
                    <w:t>5F</w:t>
                  </w:r>
                  <w:r>
                    <w:rPr>
                      <w:rFonts w:hint="default" w:ascii="Times New Roman" w:hAnsi="Times New Roman" w:eastAsia="宋体" w:cs="Times New Roman"/>
                      <w:snapToGrid/>
                      <w:kern w:val="2"/>
                      <w:sz w:val="21"/>
                      <w:szCs w:val="21"/>
                      <w:highlight w:val="none"/>
                      <w:u w:val="none"/>
                      <w:lang w:val="en-US" w:eastAsia="zh-CN" w:bidi="ar-SA"/>
                    </w:rPr>
                    <w:t>为</w:t>
                  </w:r>
                  <w:r>
                    <w:rPr>
                      <w:rFonts w:hint="eastAsia" w:ascii="Times New Roman" w:hAnsi="Times New Roman" w:eastAsia="宋体" w:cs="Times New Roman"/>
                      <w:snapToGrid/>
                      <w:kern w:val="2"/>
                      <w:sz w:val="21"/>
                      <w:szCs w:val="21"/>
                      <w:highlight w:val="none"/>
                      <w:u w:val="none"/>
                      <w:lang w:val="en-US" w:eastAsia="zh-CN" w:bidi="ar-SA"/>
                    </w:rPr>
                    <w:t>会议室</w:t>
                  </w:r>
                  <w:r>
                    <w:rPr>
                      <w:rFonts w:hint="default" w:ascii="Times New Roman" w:hAnsi="Times New Roman" w:eastAsia="宋体" w:cs="Times New Roman"/>
                      <w:snapToGrid/>
                      <w:kern w:val="2"/>
                      <w:sz w:val="21"/>
                      <w:szCs w:val="21"/>
                      <w:highlight w:val="none"/>
                      <w:u w:val="none"/>
                      <w:lang w:val="en-US" w:eastAsia="zh-CN" w:bidi="ar-SA"/>
                    </w:rPr>
                    <w:t>。</w:t>
                  </w:r>
                </w:p>
              </w:tc>
            </w:tr>
            <w:tr w14:paraId="269B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8" w:type="pct"/>
                  <w:vMerge w:val="continue"/>
                  <w:noWrap w:val="0"/>
                  <w:vAlign w:val="center"/>
                </w:tcPr>
                <w:p w14:paraId="5CC68BA2">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highlight w:val="yellow"/>
                      <w:vertAlign w:val="baseline"/>
                    </w:rPr>
                  </w:pPr>
                </w:p>
              </w:tc>
              <w:tc>
                <w:tcPr>
                  <w:tcW w:w="843" w:type="pct"/>
                  <w:noWrap w:val="0"/>
                  <w:vAlign w:val="center"/>
                </w:tcPr>
                <w:p w14:paraId="2CBCF974">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eastAsia="zh-CN"/>
                    </w:rPr>
                  </w:pPr>
                  <w:r>
                    <w:rPr>
                      <w:rFonts w:hint="eastAsia"/>
                      <w:b w:val="0"/>
                      <w:bCs/>
                      <w:spacing w:val="0"/>
                      <w:sz w:val="21"/>
                      <w:szCs w:val="21"/>
                      <w:vertAlign w:val="baseline"/>
                      <w:lang w:val="en-US" w:eastAsia="zh-CN"/>
                    </w:rPr>
                    <w:t>综合楼</w:t>
                  </w:r>
                </w:p>
              </w:tc>
              <w:tc>
                <w:tcPr>
                  <w:tcW w:w="3638" w:type="pct"/>
                  <w:noWrap w:val="0"/>
                  <w:vAlign w:val="center"/>
                </w:tcPr>
                <w:p w14:paraId="549FEA3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eastAsia" w:ascii="Times New Roman" w:hAnsi="Times New Roman" w:eastAsia="宋体" w:cs="宋体"/>
                      <w:b w:val="0"/>
                      <w:bCs/>
                      <w:color w:val="000000"/>
                      <w:spacing w:val="0"/>
                      <w:kern w:val="0"/>
                      <w:position w:val="0"/>
                      <w:sz w:val="21"/>
                      <w:szCs w:val="21"/>
                      <w:u w:val="none" w:color="auto"/>
                      <w:lang w:val="en-US" w:eastAsia="zh-CN" w:bidi="ar"/>
                    </w:rPr>
                  </w:pP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占地面积约</w:t>
                  </w:r>
                  <w:r>
                    <w:rPr>
                      <w:rFonts w:hint="eastAsia" w:cs="宋体"/>
                      <w:b w:val="0"/>
                      <w:bCs/>
                      <w:color w:val="000000"/>
                      <w:spacing w:val="0"/>
                      <w:kern w:val="0"/>
                      <w:position w:val="0"/>
                      <w:sz w:val="21"/>
                      <w:szCs w:val="21"/>
                      <w:highlight w:val="none"/>
                      <w:u w:val="none" w:color="auto"/>
                      <w:lang w:val="en-US" w:eastAsia="zh-CN" w:bidi="ar"/>
                    </w:rPr>
                    <w:t>777.30</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m</w:t>
                  </w:r>
                  <w:r>
                    <w:rPr>
                      <w:rFonts w:hint="eastAsia" w:ascii="Times New Roman" w:hAnsi="Times New Roman" w:eastAsia="宋体" w:cs="宋体"/>
                      <w:b w:val="0"/>
                      <w:bCs/>
                      <w:color w:val="000000"/>
                      <w:spacing w:val="0"/>
                      <w:kern w:val="0"/>
                      <w:position w:val="0"/>
                      <w:sz w:val="21"/>
                      <w:szCs w:val="21"/>
                      <w:highlight w:val="none"/>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highlight w:val="none"/>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砖混结构，</w:t>
                  </w:r>
                  <w:r>
                    <w:rPr>
                      <w:rFonts w:hint="eastAsia" w:ascii="Times New Roman" w:hAnsi="Times New Roman" w:eastAsia="宋体" w:cs="宋体"/>
                      <w:b w:val="0"/>
                      <w:bCs/>
                      <w:color w:val="000000"/>
                      <w:spacing w:val="0"/>
                      <w:kern w:val="0"/>
                      <w:position w:val="0"/>
                      <w:sz w:val="21"/>
                      <w:szCs w:val="21"/>
                      <w:u w:val="none" w:color="auto"/>
                      <w:lang w:val="en-US" w:eastAsia="zh-CN" w:bidi="ar"/>
                    </w:rPr>
                    <w:t>共</w:t>
                  </w:r>
                  <w:r>
                    <w:rPr>
                      <w:rFonts w:hint="eastAsia" w:cs="宋体"/>
                      <w:b w:val="0"/>
                      <w:bCs/>
                      <w:color w:val="000000"/>
                      <w:spacing w:val="0"/>
                      <w:kern w:val="0"/>
                      <w:position w:val="0"/>
                      <w:sz w:val="21"/>
                      <w:szCs w:val="21"/>
                      <w:u w:val="none" w:color="auto"/>
                      <w:lang w:val="en-US" w:eastAsia="zh-CN" w:bidi="ar"/>
                    </w:rPr>
                    <w:t>3</w:t>
                  </w:r>
                  <w:r>
                    <w:rPr>
                      <w:rFonts w:hint="eastAsia" w:ascii="Times New Roman" w:hAnsi="Times New Roman" w:eastAsia="宋体" w:cs="宋体"/>
                      <w:b w:val="0"/>
                      <w:bCs/>
                      <w:color w:val="000000"/>
                      <w:spacing w:val="0"/>
                      <w:kern w:val="0"/>
                      <w:position w:val="0"/>
                      <w:sz w:val="21"/>
                      <w:szCs w:val="21"/>
                      <w:u w:val="none" w:color="auto"/>
                      <w:lang w:val="en-US" w:eastAsia="zh-CN" w:bidi="ar"/>
                    </w:rPr>
                    <w:t>层</w:t>
                  </w:r>
                </w:p>
                <w:p w14:paraId="3E904FFE">
                  <w:pPr>
                    <w:spacing w:line="240" w:lineRule="auto"/>
                    <w:jc w:val="left"/>
                    <w:rPr>
                      <w:rFonts w:hint="eastAsia" w:ascii="Times New Roman" w:hAnsi="Times New Roman" w:eastAsia="宋体" w:cs="Times New Roman"/>
                      <w:snapToGrid/>
                      <w:color w:val="000000"/>
                      <w:kern w:val="2"/>
                      <w:sz w:val="21"/>
                      <w:szCs w:val="21"/>
                      <w:highlight w:val="none"/>
                      <w:u w:val="none"/>
                      <w:lang w:val="en-US" w:eastAsia="zh-CN" w:bidi="ar-SA"/>
                    </w:rPr>
                  </w:pPr>
                  <w:r>
                    <w:rPr>
                      <w:rFonts w:hint="default" w:ascii="Times New Roman" w:hAnsi="Times New Roman" w:eastAsia="宋体" w:cs="Times New Roman"/>
                      <w:snapToGrid/>
                      <w:color w:val="000000"/>
                      <w:kern w:val="2"/>
                      <w:sz w:val="21"/>
                      <w:szCs w:val="21"/>
                      <w:highlight w:val="none"/>
                      <w:u w:val="none"/>
                      <w:lang w:val="en-US" w:eastAsia="zh-CN" w:bidi="ar-SA"/>
                    </w:rPr>
                    <w:t>1F</w:t>
                  </w:r>
                  <w:r>
                    <w:rPr>
                      <w:rFonts w:hint="eastAsia" w:ascii="Times New Roman" w:hAnsi="Times New Roman" w:eastAsia="宋体" w:cs="Times New Roman"/>
                      <w:snapToGrid/>
                      <w:color w:val="000000"/>
                      <w:kern w:val="2"/>
                      <w:sz w:val="21"/>
                      <w:szCs w:val="21"/>
                      <w:highlight w:val="none"/>
                      <w:u w:val="none"/>
                      <w:lang w:val="en-US" w:eastAsia="zh-CN" w:bidi="ar-SA"/>
                    </w:rPr>
                    <w:t>为放射科、妇检室、营养贮存室；</w:t>
                  </w:r>
                </w:p>
                <w:p w14:paraId="5D91E806">
                  <w:pPr>
                    <w:spacing w:line="240" w:lineRule="auto"/>
                    <w:jc w:val="left"/>
                    <w:rPr>
                      <w:rFonts w:hint="eastAsia" w:ascii="Times New Roman" w:hAnsi="Times New Roman" w:eastAsia="宋体" w:cs="Times New Roman"/>
                      <w:snapToGrid/>
                      <w:color w:val="000000"/>
                      <w:kern w:val="2"/>
                      <w:sz w:val="21"/>
                      <w:szCs w:val="21"/>
                      <w:highlight w:val="none"/>
                      <w:u w:val="none"/>
                      <w:lang w:val="en-US" w:eastAsia="zh-CN" w:bidi="ar-SA"/>
                    </w:rPr>
                  </w:pPr>
                  <w:r>
                    <w:rPr>
                      <w:rFonts w:hint="default" w:ascii="Times New Roman" w:hAnsi="Times New Roman" w:eastAsia="宋体" w:cs="Times New Roman"/>
                      <w:snapToGrid/>
                      <w:color w:val="000000"/>
                      <w:kern w:val="2"/>
                      <w:sz w:val="21"/>
                      <w:szCs w:val="21"/>
                      <w:highlight w:val="none"/>
                      <w:u w:val="none"/>
                      <w:lang w:val="en-US" w:eastAsia="zh-CN" w:bidi="ar-SA"/>
                    </w:rPr>
                    <w:t>2F为</w:t>
                  </w:r>
                  <w:r>
                    <w:rPr>
                      <w:rFonts w:hint="eastAsia" w:ascii="Times New Roman" w:hAnsi="Times New Roman" w:eastAsia="宋体" w:cs="Times New Roman"/>
                      <w:snapToGrid/>
                      <w:color w:val="000000"/>
                      <w:kern w:val="2"/>
                      <w:sz w:val="21"/>
                      <w:szCs w:val="21"/>
                      <w:highlight w:val="none"/>
                      <w:u w:val="none"/>
                      <w:lang w:val="en-US" w:eastAsia="zh-CN" w:bidi="ar-SA"/>
                    </w:rPr>
                    <w:t>妇保儿保办公室、儿检室、犬伤门诊、公卫、预防接种登记室、接种室、留观室</w:t>
                  </w:r>
                  <w:r>
                    <w:rPr>
                      <w:rFonts w:hint="default" w:ascii="Times New Roman" w:hAnsi="Times New Roman" w:eastAsia="宋体" w:cs="Times New Roman"/>
                      <w:snapToGrid/>
                      <w:color w:val="000000"/>
                      <w:kern w:val="2"/>
                      <w:sz w:val="21"/>
                      <w:szCs w:val="21"/>
                      <w:highlight w:val="none"/>
                      <w:u w:val="none"/>
                      <w:lang w:val="en-US" w:eastAsia="zh-CN" w:bidi="ar-SA"/>
                    </w:rPr>
                    <w:t>等</w:t>
                  </w:r>
                  <w:r>
                    <w:rPr>
                      <w:rFonts w:hint="eastAsia" w:ascii="Times New Roman" w:hAnsi="Times New Roman" w:eastAsia="宋体" w:cs="Times New Roman"/>
                      <w:snapToGrid/>
                      <w:color w:val="000000"/>
                      <w:kern w:val="2"/>
                      <w:sz w:val="21"/>
                      <w:szCs w:val="21"/>
                      <w:highlight w:val="none"/>
                      <w:u w:val="none"/>
                      <w:lang w:val="en-US" w:eastAsia="zh-CN" w:bidi="ar-SA"/>
                    </w:rPr>
                    <w:t>；</w:t>
                  </w:r>
                </w:p>
                <w:p w14:paraId="76AA2CF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default" w:ascii="Times New Roman" w:hAnsi="Times New Roman" w:eastAsia="宋体"/>
                      <w:b w:val="0"/>
                      <w:bCs/>
                      <w:spacing w:val="0"/>
                      <w:sz w:val="21"/>
                      <w:szCs w:val="21"/>
                      <w:vertAlign w:val="baseline"/>
                      <w:lang w:val="en-US"/>
                    </w:rPr>
                  </w:pPr>
                  <w:r>
                    <w:rPr>
                      <w:rFonts w:hint="eastAsia" w:ascii="Times New Roman" w:hAnsi="Times New Roman" w:eastAsia="宋体" w:cs="Times New Roman"/>
                      <w:snapToGrid/>
                      <w:color w:val="000000"/>
                      <w:kern w:val="2"/>
                      <w:sz w:val="21"/>
                      <w:szCs w:val="21"/>
                      <w:highlight w:val="none"/>
                      <w:u w:val="none"/>
                      <w:lang w:val="en-US" w:eastAsia="zh-CN" w:bidi="ar-SA"/>
                    </w:rPr>
                    <w:t>3F未用</w:t>
                  </w:r>
                </w:p>
              </w:tc>
            </w:tr>
            <w:tr w14:paraId="790A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vMerge w:val="restart"/>
                  <w:noWrap w:val="0"/>
                  <w:vAlign w:val="center"/>
                </w:tcPr>
                <w:p w14:paraId="2E1F127B">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spacing w:val="0"/>
                      <w:position w:val="0"/>
                      <w:sz w:val="21"/>
                      <w:szCs w:val="21"/>
                      <w:u w:val="none" w:color="auto"/>
                    </w:rPr>
                  </w:pPr>
                  <w:r>
                    <w:rPr>
                      <w:rFonts w:ascii="Times New Roman" w:hAnsi="Times New Roman" w:eastAsia="宋体" w:cs="宋体"/>
                      <w:b w:val="0"/>
                      <w:bCs/>
                      <w:color w:val="000000"/>
                      <w:spacing w:val="0"/>
                      <w:position w:val="0"/>
                      <w:sz w:val="21"/>
                      <w:szCs w:val="21"/>
                      <w:u w:val="none" w:color="auto"/>
                    </w:rPr>
                    <w:t>公用</w:t>
                  </w:r>
                </w:p>
                <w:p w14:paraId="6085D7ED">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spacing w:val="0"/>
                      <w:position w:val="0"/>
                      <w:sz w:val="21"/>
                      <w:szCs w:val="21"/>
                      <w:u w:val="none" w:color="auto"/>
                    </w:rPr>
                    <w:t>工程</w:t>
                  </w:r>
                </w:p>
              </w:tc>
              <w:tc>
                <w:tcPr>
                  <w:tcW w:w="843" w:type="pct"/>
                  <w:noWrap w:val="0"/>
                  <w:vAlign w:val="center"/>
                </w:tcPr>
                <w:p w14:paraId="01713B59">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position w:val="0"/>
                      <w:sz w:val="21"/>
                      <w:szCs w:val="21"/>
                      <w:u w:val="none" w:color="auto"/>
                      <w:lang w:eastAsia="zh-CN"/>
                    </w:rPr>
                    <w:t>供水工程</w:t>
                  </w:r>
                </w:p>
              </w:tc>
              <w:tc>
                <w:tcPr>
                  <w:tcW w:w="3638" w:type="pct"/>
                  <w:noWrap w:val="0"/>
                  <w:vAlign w:val="center"/>
                </w:tcPr>
                <w:p w14:paraId="0A7906CD">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position w:val="0"/>
                      <w:sz w:val="21"/>
                      <w:szCs w:val="21"/>
                      <w:u w:val="none" w:color="auto"/>
                      <w:lang w:eastAsia="zh-CN"/>
                    </w:rPr>
                    <w:t>依托市政自来水</w:t>
                  </w:r>
                </w:p>
              </w:tc>
            </w:tr>
            <w:tr w14:paraId="7DCB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vMerge w:val="continue"/>
                  <w:noWrap w:val="0"/>
                  <w:vAlign w:val="center"/>
                </w:tcPr>
                <w:p w14:paraId="4E13A21F">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843" w:type="pct"/>
                  <w:noWrap w:val="0"/>
                  <w:vAlign w:val="center"/>
                </w:tcPr>
                <w:p w14:paraId="045F3183">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spacing w:val="0"/>
                      <w:kern w:val="2"/>
                      <w:position w:val="0"/>
                      <w:sz w:val="21"/>
                      <w:szCs w:val="21"/>
                      <w:u w:val="none" w:color="auto"/>
                      <w:lang w:val="en-US" w:eastAsia="zh-CN" w:bidi="ar-SA"/>
                    </w:rPr>
                  </w:pPr>
                  <w:r>
                    <w:rPr>
                      <w:rFonts w:hint="eastAsia" w:ascii="Times New Roman" w:hAnsi="Times New Roman" w:eastAsia="宋体" w:cs="宋体"/>
                      <w:b w:val="0"/>
                      <w:bCs/>
                      <w:color w:val="000000"/>
                      <w:spacing w:val="0"/>
                      <w:position w:val="0"/>
                      <w:sz w:val="21"/>
                      <w:szCs w:val="21"/>
                      <w:u w:val="none" w:color="auto"/>
                      <w:lang w:eastAsia="zh-CN"/>
                    </w:rPr>
                    <w:t>排水工程</w:t>
                  </w:r>
                </w:p>
              </w:tc>
              <w:tc>
                <w:tcPr>
                  <w:tcW w:w="3638" w:type="pct"/>
                  <w:noWrap w:val="0"/>
                  <w:vAlign w:val="center"/>
                </w:tcPr>
                <w:p w14:paraId="1879ACF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color w:val="000000"/>
                      <w:spacing w:val="0"/>
                      <w:kern w:val="2"/>
                      <w:position w:val="0"/>
                      <w:sz w:val="21"/>
                      <w:szCs w:val="21"/>
                      <w:u w:val="none" w:color="auto"/>
                      <w:lang w:val="en-US" w:eastAsia="zh-CN" w:bidi="ar-SA"/>
                    </w:rPr>
                  </w:pPr>
                  <w:r>
                    <w:rPr>
                      <w:rFonts w:ascii="Times New Roman" w:hAnsi="Times New Roman" w:eastAsia="宋体"/>
                      <w:b w:val="0"/>
                      <w:bCs/>
                      <w:spacing w:val="0"/>
                      <w:sz w:val="21"/>
                      <w:szCs w:val="21"/>
                    </w:rPr>
                    <w:t>实行雨污分流</w:t>
                  </w:r>
                  <w:r>
                    <w:rPr>
                      <w:rFonts w:hint="eastAsia"/>
                      <w:b w:val="0"/>
                      <w:bCs/>
                      <w:spacing w:val="0"/>
                      <w:sz w:val="21"/>
                      <w:szCs w:val="21"/>
                      <w:lang w:eastAsia="zh-CN"/>
                    </w:rPr>
                    <w:t>。</w:t>
                  </w:r>
                  <w:r>
                    <w:rPr>
                      <w:rFonts w:hint="eastAsia"/>
                      <w:color w:val="auto"/>
                      <w:highlight w:val="none"/>
                      <w:lang w:val="en-US" w:eastAsia="zh-CN"/>
                    </w:rPr>
                    <w:t>本项目食堂废水、生活污水和医疗废水一起进入院内污水处理站，医疗废水经预处理+调节池+一体化设备</w:t>
                  </w:r>
                  <w:r>
                    <w:rPr>
                      <w:rFonts w:hint="eastAsia" w:ascii="Times New Roman" w:cs="Times New Roman"/>
                      <w:color w:val="auto"/>
                      <w:sz w:val="21"/>
                      <w:szCs w:val="21"/>
                      <w:vertAlign w:val="baseline"/>
                      <w:lang w:val="en-US" w:eastAsia="zh-CN"/>
                    </w:rPr>
                    <w:t>处理后达标排入</w:t>
                  </w:r>
                  <w:r>
                    <w:rPr>
                      <w:rFonts w:hint="eastAsia" w:ascii="Times New Roman" w:cs="Times New Roman"/>
                      <w:sz w:val="21"/>
                      <w:szCs w:val="21"/>
                      <w:u w:val="none"/>
                      <w:vertAlign w:val="baseline"/>
                      <w:lang w:val="en-US" w:eastAsia="zh-CN"/>
                    </w:rPr>
                    <w:t>东侧的洣水，最终汇入洣水</w:t>
                  </w:r>
                  <w:r>
                    <w:rPr>
                      <w:rFonts w:hint="eastAsia"/>
                      <w:color w:val="auto"/>
                      <w:highlight w:val="none"/>
                      <w:lang w:val="en-US" w:eastAsia="zh-CN"/>
                    </w:rPr>
                    <w:t>。</w:t>
                  </w:r>
                </w:p>
              </w:tc>
            </w:tr>
            <w:tr w14:paraId="7895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vMerge w:val="continue"/>
                  <w:noWrap w:val="0"/>
                  <w:vAlign w:val="center"/>
                </w:tcPr>
                <w:p w14:paraId="68511D24">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843" w:type="pct"/>
                  <w:noWrap w:val="0"/>
                  <w:vAlign w:val="center"/>
                </w:tcPr>
                <w:p w14:paraId="66B0EF37">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position w:val="0"/>
                      <w:sz w:val="21"/>
                      <w:szCs w:val="21"/>
                      <w:u w:val="none" w:color="auto"/>
                      <w:lang w:eastAsia="zh-CN"/>
                    </w:rPr>
                    <w:t>供电工程</w:t>
                  </w:r>
                </w:p>
              </w:tc>
              <w:tc>
                <w:tcPr>
                  <w:tcW w:w="3638" w:type="pct"/>
                  <w:noWrap w:val="0"/>
                  <w:vAlign w:val="center"/>
                </w:tcPr>
                <w:p w14:paraId="7D11B95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市政供电</w:t>
                  </w:r>
                </w:p>
              </w:tc>
            </w:tr>
            <w:tr w14:paraId="0A36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vMerge w:val="restart"/>
                  <w:noWrap w:val="0"/>
                  <w:vAlign w:val="center"/>
                </w:tcPr>
                <w:p w14:paraId="3DCFAD0B">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spacing w:val="0"/>
                      <w:position w:val="0"/>
                      <w:sz w:val="21"/>
                      <w:szCs w:val="21"/>
                      <w:u w:val="none" w:color="auto"/>
                    </w:rPr>
                  </w:pPr>
                  <w:r>
                    <w:rPr>
                      <w:rFonts w:ascii="Times New Roman" w:hAnsi="Times New Roman" w:eastAsia="宋体" w:cs="宋体"/>
                      <w:b w:val="0"/>
                      <w:bCs/>
                      <w:color w:val="000000"/>
                      <w:spacing w:val="0"/>
                      <w:position w:val="0"/>
                      <w:sz w:val="21"/>
                      <w:szCs w:val="21"/>
                      <w:u w:val="none" w:color="auto"/>
                    </w:rPr>
                    <w:t>环保</w:t>
                  </w:r>
                </w:p>
                <w:p w14:paraId="56A08A69">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spacing w:val="0"/>
                      <w:position w:val="0"/>
                      <w:sz w:val="21"/>
                      <w:szCs w:val="21"/>
                      <w:u w:val="none" w:color="auto"/>
                    </w:rPr>
                    <w:t>工程</w:t>
                  </w:r>
                </w:p>
              </w:tc>
              <w:tc>
                <w:tcPr>
                  <w:tcW w:w="843" w:type="pct"/>
                  <w:noWrap w:val="0"/>
                  <w:vAlign w:val="center"/>
                </w:tcPr>
                <w:p w14:paraId="376D0954">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废气治理</w:t>
                  </w:r>
                </w:p>
              </w:tc>
              <w:tc>
                <w:tcPr>
                  <w:tcW w:w="3638" w:type="pct"/>
                  <w:noWrap w:val="0"/>
                  <w:vAlign w:val="center"/>
                </w:tcPr>
                <w:p w14:paraId="30785D36">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highlight w:val="none"/>
                      <w:lang w:eastAsia="zh-CN"/>
                    </w:rPr>
                    <w:t>医疗废气</w:t>
                  </w:r>
                  <w:r>
                    <w:rPr>
                      <w:rFonts w:ascii="Times New Roman" w:hAnsi="Times New Roman" w:eastAsia="宋体"/>
                      <w:b w:val="0"/>
                      <w:bCs/>
                      <w:spacing w:val="0"/>
                      <w:sz w:val="21"/>
                      <w:szCs w:val="21"/>
                      <w:highlight w:val="none"/>
                    </w:rPr>
                    <w:t>及药剂挥发废气通过定期消毒杀菌，加强通风进行处理。食堂油烟经油烟净化器处理后引至楼顶排放</w:t>
                  </w:r>
                  <w:r>
                    <w:rPr>
                      <w:rFonts w:hint="eastAsia"/>
                      <w:b w:val="0"/>
                      <w:bCs/>
                      <w:spacing w:val="0"/>
                      <w:sz w:val="21"/>
                      <w:szCs w:val="21"/>
                      <w:highlight w:val="none"/>
                      <w:lang w:eastAsia="zh-CN"/>
                    </w:rPr>
                    <w:t>。</w:t>
                  </w:r>
                  <w:r>
                    <w:rPr>
                      <w:rFonts w:hint="eastAsia" w:ascii="Times New Roman" w:hAnsi="Times New Roman" w:eastAsia="宋体" w:cs="Times New Roman"/>
                      <w:color w:val="auto"/>
                      <w:kern w:val="0"/>
                      <w:sz w:val="21"/>
                      <w:szCs w:val="21"/>
                      <w:highlight w:val="none"/>
                      <w:u w:val="none"/>
                      <w:lang w:val="en-US" w:eastAsia="zh-CN" w:bidi="ar-SA"/>
                    </w:rPr>
                    <w:t>污水处理站恶臭通过处理设施封闭、加盖等措施减小恶臭气体对周边环境的影响</w:t>
                  </w:r>
                  <w:r>
                    <w:rPr>
                      <w:rFonts w:hint="eastAsia" w:cs="Times New Roman"/>
                      <w:color w:val="auto"/>
                      <w:kern w:val="0"/>
                      <w:sz w:val="21"/>
                      <w:szCs w:val="21"/>
                      <w:highlight w:val="none"/>
                      <w:u w:val="none"/>
                      <w:lang w:val="en-US" w:eastAsia="zh-CN" w:bidi="ar-SA"/>
                    </w:rPr>
                    <w:t>。</w:t>
                  </w:r>
                  <w:r>
                    <w:rPr>
                      <w:rFonts w:hint="eastAsia" w:ascii="Times New Roman" w:hAnsi="Times New Roman" w:eastAsia="宋体" w:cs="Times New Roman"/>
                      <w:color w:val="auto"/>
                      <w:kern w:val="0"/>
                      <w:sz w:val="21"/>
                      <w:szCs w:val="21"/>
                      <w:u w:val="none"/>
                      <w:lang w:val="en-US" w:eastAsia="zh-CN" w:bidi="ar-SA"/>
                    </w:rPr>
                    <w:t>备用柴油发电机废气主要通过加强通风进行处理</w:t>
                  </w:r>
                </w:p>
              </w:tc>
            </w:tr>
            <w:tr w14:paraId="5242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vMerge w:val="continue"/>
                  <w:noWrap w:val="0"/>
                  <w:vAlign w:val="center"/>
                </w:tcPr>
                <w:p w14:paraId="4EFFDC67">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843" w:type="pct"/>
                  <w:noWrap w:val="0"/>
                  <w:vAlign w:val="center"/>
                </w:tcPr>
                <w:p w14:paraId="7D8E2AF6">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废水治理</w:t>
                  </w:r>
                </w:p>
              </w:tc>
              <w:tc>
                <w:tcPr>
                  <w:tcW w:w="3638" w:type="pct"/>
                  <w:noWrap w:val="0"/>
                  <w:vAlign w:val="center"/>
                </w:tcPr>
                <w:p w14:paraId="4817F6F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left"/>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color w:val="000000"/>
                      <w:spacing w:val="0"/>
                      <w:sz w:val="21"/>
                      <w:szCs w:val="21"/>
                      <w:lang w:eastAsia="zh-CN"/>
                    </w:rPr>
                    <w:t>本</w:t>
                  </w:r>
                  <w:r>
                    <w:rPr>
                      <w:rFonts w:hint="eastAsia"/>
                      <w:b w:val="0"/>
                      <w:bCs/>
                      <w:color w:val="000000"/>
                      <w:spacing w:val="0"/>
                      <w:sz w:val="21"/>
                      <w:szCs w:val="21"/>
                      <w:lang w:eastAsia="zh-CN"/>
                    </w:rPr>
                    <w:t>项目</w:t>
                  </w:r>
                  <w:r>
                    <w:rPr>
                      <w:rFonts w:ascii="Times New Roman" w:hAnsi="Times New Roman" w:eastAsia="宋体"/>
                      <w:b w:val="0"/>
                      <w:bCs/>
                      <w:spacing w:val="0"/>
                      <w:sz w:val="21"/>
                      <w:szCs w:val="21"/>
                    </w:rPr>
                    <w:t>设置一座污水处理站</w:t>
                  </w:r>
                  <w:r>
                    <w:rPr>
                      <w:rFonts w:hint="eastAsia" w:ascii="Times New Roman" w:hAnsi="Times New Roman" w:eastAsia="宋体"/>
                      <w:b w:val="0"/>
                      <w:bCs/>
                      <w:spacing w:val="0"/>
                      <w:sz w:val="21"/>
                      <w:szCs w:val="21"/>
                      <w:lang w:eastAsia="zh-CN"/>
                    </w:rPr>
                    <w:t>，处理能力为</w:t>
                  </w:r>
                  <w:r>
                    <w:rPr>
                      <w:rFonts w:hint="eastAsia"/>
                      <w:b w:val="0"/>
                      <w:bCs/>
                      <w:spacing w:val="0"/>
                      <w:sz w:val="21"/>
                      <w:szCs w:val="21"/>
                      <w:lang w:val="en-US" w:eastAsia="zh-CN"/>
                    </w:rPr>
                    <w:t>30t</w:t>
                  </w:r>
                  <w:r>
                    <w:rPr>
                      <w:rFonts w:hint="default"/>
                      <w:b w:val="0"/>
                      <w:bCs/>
                      <w:spacing w:val="0"/>
                      <w:sz w:val="21"/>
                      <w:szCs w:val="21"/>
                      <w:lang w:val="en-US" w:eastAsia="zh-CN"/>
                    </w:rPr>
                    <w:t>/</w:t>
                  </w:r>
                  <w:r>
                    <w:rPr>
                      <w:rFonts w:hint="eastAsia"/>
                      <w:b w:val="0"/>
                      <w:bCs/>
                      <w:spacing w:val="0"/>
                      <w:sz w:val="21"/>
                      <w:szCs w:val="21"/>
                      <w:lang w:val="en-US" w:eastAsia="zh-CN"/>
                    </w:rPr>
                    <w:t>d</w:t>
                  </w:r>
                  <w:r>
                    <w:rPr>
                      <w:rFonts w:hint="eastAsia" w:ascii="Times New Roman" w:hAnsi="Times New Roman" w:eastAsia="宋体"/>
                      <w:b w:val="0"/>
                      <w:bCs/>
                      <w:spacing w:val="0"/>
                      <w:sz w:val="21"/>
                      <w:szCs w:val="21"/>
                      <w:lang w:val="en-US" w:eastAsia="zh-CN"/>
                    </w:rPr>
                    <w:t>，处理工艺</w:t>
                  </w:r>
                  <w:r>
                    <w:rPr>
                      <w:rFonts w:hint="eastAsia" w:ascii="Times New Roman" w:hAnsi="Times New Roman" w:eastAsia="宋体" w:cs="Times New Roman"/>
                      <w:color w:val="auto"/>
                      <w:sz w:val="21"/>
                      <w:szCs w:val="21"/>
                      <w:u w:val="none"/>
                      <w:lang w:val="en-US" w:eastAsia="zh-CN"/>
                    </w:rPr>
                    <w:t>采用(隔栅池+调节池+AO生物接触氧化池+二沉池+活性氧消毒)，（二氧化氯消毒装置备用）。</w:t>
                  </w:r>
                  <w:r>
                    <w:rPr>
                      <w:rFonts w:ascii="Times New Roman" w:hAnsi="Times New Roman" w:eastAsia="宋体"/>
                      <w:b w:val="0"/>
                      <w:bCs/>
                      <w:spacing w:val="0"/>
                      <w:sz w:val="21"/>
                      <w:szCs w:val="21"/>
                    </w:rPr>
                    <w:t>用于院内</w:t>
                  </w:r>
                  <w:r>
                    <w:rPr>
                      <w:rFonts w:hint="eastAsia"/>
                      <w:b w:val="0"/>
                      <w:bCs/>
                      <w:spacing w:val="0"/>
                      <w:sz w:val="21"/>
                      <w:szCs w:val="21"/>
                      <w:lang w:eastAsia="zh-CN"/>
                    </w:rPr>
                    <w:t>医疗</w:t>
                  </w:r>
                  <w:r>
                    <w:rPr>
                      <w:rFonts w:ascii="Times New Roman" w:hAnsi="Times New Roman" w:eastAsia="宋体"/>
                      <w:b w:val="0"/>
                      <w:bCs/>
                      <w:spacing w:val="0"/>
                      <w:sz w:val="21"/>
                      <w:szCs w:val="21"/>
                    </w:rPr>
                    <w:t>废水的处理。</w:t>
                  </w:r>
                  <w:r>
                    <w:rPr>
                      <w:rFonts w:hint="eastAsia"/>
                      <w:color w:val="auto"/>
                      <w:highlight w:val="none"/>
                      <w:lang w:val="en-US" w:eastAsia="zh-CN"/>
                    </w:rPr>
                    <w:t>本项目食堂废水与生活污水和医疗废水一起进入院内污水处理站，医疗废水经预处理+调节池+一体化设备</w:t>
                  </w:r>
                  <w:r>
                    <w:rPr>
                      <w:rFonts w:hint="eastAsia" w:ascii="Times New Roman" w:cs="Times New Roman"/>
                      <w:color w:val="auto"/>
                      <w:sz w:val="21"/>
                      <w:szCs w:val="21"/>
                      <w:vertAlign w:val="baseline"/>
                      <w:lang w:val="en-US" w:eastAsia="zh-CN"/>
                    </w:rPr>
                    <w:t>处理后达标排入</w:t>
                  </w:r>
                  <w:r>
                    <w:rPr>
                      <w:rFonts w:hint="eastAsia" w:ascii="Times New Roman" w:cs="Times New Roman"/>
                      <w:sz w:val="21"/>
                      <w:szCs w:val="21"/>
                      <w:u w:val="none"/>
                      <w:vertAlign w:val="baseline"/>
                      <w:lang w:val="en-US" w:eastAsia="zh-CN"/>
                    </w:rPr>
                    <w:t>自建污水处理站处理后达标排入东侧的洣水，最终汇入洣水。</w:t>
                  </w:r>
                </w:p>
              </w:tc>
            </w:tr>
            <w:tr w14:paraId="623B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8" w:type="pct"/>
                  <w:vMerge w:val="continue"/>
                  <w:noWrap w:val="0"/>
                  <w:vAlign w:val="center"/>
                </w:tcPr>
                <w:p w14:paraId="4D3BB99C">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843" w:type="pct"/>
                  <w:noWrap w:val="0"/>
                  <w:vAlign w:val="center"/>
                </w:tcPr>
                <w:p w14:paraId="4DAF807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噪声治理</w:t>
                  </w:r>
                </w:p>
              </w:tc>
              <w:tc>
                <w:tcPr>
                  <w:tcW w:w="3638" w:type="pct"/>
                  <w:noWrap w:val="0"/>
                  <w:vAlign w:val="center"/>
                </w:tcPr>
                <w:p w14:paraId="6813A57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建筑隔声，加装隔声门窗，采取减振隔声措施，加强设备维护等。</w:t>
                  </w:r>
                </w:p>
              </w:tc>
            </w:tr>
            <w:tr w14:paraId="618A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18" w:type="pct"/>
                  <w:vMerge w:val="continue"/>
                  <w:noWrap w:val="0"/>
                  <w:vAlign w:val="center"/>
                </w:tcPr>
                <w:p w14:paraId="71F88A7A">
                  <w:pPr>
                    <w:pStyle w:val="6"/>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843" w:type="pct"/>
                  <w:noWrap w:val="0"/>
                  <w:vAlign w:val="center"/>
                </w:tcPr>
                <w:p w14:paraId="65F80E4B">
                  <w:pPr>
                    <w:keepNext w:val="0"/>
                    <w:keepLines w:val="0"/>
                    <w:pageBreakBefore w:val="0"/>
                    <w:tabs>
                      <w:tab w:val="left" w:pos="726"/>
                    </w:tabs>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固废治理</w:t>
                  </w:r>
                </w:p>
              </w:tc>
              <w:tc>
                <w:tcPr>
                  <w:tcW w:w="3638" w:type="pct"/>
                  <w:noWrap w:val="0"/>
                  <w:vAlign w:val="center"/>
                </w:tcPr>
                <w:p w14:paraId="3284518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default" w:ascii="Times New Roman" w:hAnsi="Times New Roman" w:eastAsia="宋体" w:cs="Times New Roman"/>
                      <w:kern w:val="2"/>
                      <w:sz w:val="21"/>
                      <w:szCs w:val="21"/>
                      <w:highlight w:val="none"/>
                      <w:u w:val="none"/>
                      <w:lang w:val="en-US" w:eastAsia="zh-CN" w:bidi="ar-SA"/>
                    </w:rPr>
                    <w:t>本</w:t>
                  </w:r>
                  <w:r>
                    <w:rPr>
                      <w:rFonts w:hint="default" w:ascii="Times New Roman" w:hAnsi="Times New Roman" w:eastAsia="宋体" w:cs="Times New Roman"/>
                      <w:sz w:val="21"/>
                      <w:szCs w:val="21"/>
                      <w:highlight w:val="none"/>
                      <w:u w:val="none"/>
                    </w:rPr>
                    <w:t>项目运营期固体废物主要是医疗废物、</w:t>
                  </w:r>
                  <w:r>
                    <w:rPr>
                      <w:rFonts w:hint="eastAsia" w:ascii="Times New Roman" w:hAnsi="Times New Roman"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废一次性输液瓶（袋）、污水处理站污泥、</w:t>
                  </w:r>
                  <w:r>
                    <w:rPr>
                      <w:rFonts w:hint="default" w:ascii="Times New Roman" w:hAnsi="Times New Roman" w:eastAsia="宋体" w:cs="Times New Roman"/>
                      <w:sz w:val="21"/>
                      <w:szCs w:val="21"/>
                      <w:highlight w:val="none"/>
                      <w:u w:val="none"/>
                      <w:lang w:eastAsia="zh-CN"/>
                    </w:rPr>
                    <w:t>格栅渣、</w:t>
                  </w:r>
                  <w:r>
                    <w:rPr>
                      <w:rFonts w:hint="default" w:ascii="Times New Roman" w:hAnsi="Times New Roman" w:eastAsia="宋体" w:cs="Times New Roman"/>
                      <w:sz w:val="21"/>
                      <w:szCs w:val="21"/>
                      <w:highlight w:val="none"/>
                      <w:u w:val="none"/>
                    </w:rPr>
                    <w:t>中西药包装及拆包过程产生的废弃包装物及生活垃圾。</w:t>
                  </w:r>
                  <w:r>
                    <w:rPr>
                      <w:rFonts w:hint="default" w:ascii="Times New Roman" w:hAnsi="Times New Roman" w:eastAsia="宋体" w:cs="Times New Roman"/>
                      <w:kern w:val="2"/>
                      <w:sz w:val="21"/>
                      <w:szCs w:val="21"/>
                      <w:highlight w:val="none"/>
                      <w:u w:val="none"/>
                      <w:lang w:val="en-US" w:eastAsia="zh-CN" w:bidi="ar-SA"/>
                    </w:rPr>
                    <w:t>项目医疗废物暂存间</w:t>
                  </w:r>
                  <w:r>
                    <w:rPr>
                      <w:rFonts w:hint="default" w:ascii="Times New Roman" w:hAnsi="Times New Roman" w:eastAsia="宋体" w:cs="Times New Roman"/>
                      <w:color w:val="000000"/>
                      <w:kern w:val="0"/>
                      <w:sz w:val="21"/>
                      <w:szCs w:val="21"/>
                      <w:highlight w:val="none"/>
                      <w:u w:val="none"/>
                      <w:lang w:eastAsia="zh-CN"/>
                    </w:rPr>
                    <w:t>位于</w:t>
                  </w:r>
                  <w:r>
                    <w:rPr>
                      <w:rFonts w:hint="eastAsia" w:cs="Times New Roman"/>
                      <w:color w:val="000000"/>
                      <w:kern w:val="0"/>
                      <w:sz w:val="21"/>
                      <w:szCs w:val="21"/>
                      <w:highlight w:val="none"/>
                      <w:u w:val="none"/>
                      <w:lang w:val="en-US" w:eastAsia="zh-CN"/>
                    </w:rPr>
                    <w:t>公卫办公楼东北侧</w:t>
                  </w:r>
                  <w:r>
                    <w:rPr>
                      <w:rFonts w:hint="default" w:ascii="Times New Roman" w:hAnsi="Times New Roman" w:eastAsia="宋体" w:cs="Times New Roman"/>
                      <w:color w:val="000000"/>
                      <w:kern w:val="0"/>
                      <w:sz w:val="21"/>
                      <w:szCs w:val="21"/>
                      <w:highlight w:val="none"/>
                      <w:u w:val="none"/>
                      <w:lang w:val="en-US" w:eastAsia="zh-CN"/>
                    </w:rPr>
                    <w:t>，建筑面积约</w:t>
                  </w:r>
                  <w:r>
                    <w:rPr>
                      <w:rFonts w:hint="eastAsia" w:cs="Times New Roman"/>
                      <w:color w:val="000000"/>
                      <w:kern w:val="0"/>
                      <w:sz w:val="21"/>
                      <w:szCs w:val="21"/>
                      <w:highlight w:val="none"/>
                      <w:u w:val="none"/>
                      <w:lang w:val="en-US" w:eastAsia="zh-CN"/>
                    </w:rPr>
                    <w:t>10</w:t>
                  </w:r>
                  <w:r>
                    <w:rPr>
                      <w:rFonts w:hint="default" w:ascii="Times New Roman" w:hAnsi="Times New Roman" w:eastAsia="宋体" w:cs="Times New Roman"/>
                      <w:color w:val="000000"/>
                      <w:kern w:val="0"/>
                      <w:sz w:val="21"/>
                      <w:szCs w:val="21"/>
                      <w:highlight w:val="none"/>
                      <w:u w:val="none"/>
                      <w:lang w:val="en-US" w:eastAsia="zh-CN"/>
                    </w:rPr>
                    <w:t>m</w:t>
                  </w:r>
                  <w:r>
                    <w:rPr>
                      <w:rFonts w:hint="default" w:ascii="Times New Roman" w:hAnsi="Times New Roman" w:eastAsia="宋体" w:cs="Times New Roman"/>
                      <w:color w:val="000000"/>
                      <w:kern w:val="0"/>
                      <w:sz w:val="21"/>
                      <w:szCs w:val="21"/>
                      <w:highlight w:val="none"/>
                      <w:u w:val="none"/>
                      <w:vertAlign w:val="superscript"/>
                      <w:lang w:val="en-US" w:eastAsia="zh-CN"/>
                    </w:rPr>
                    <w:t>2</w:t>
                  </w:r>
                  <w:r>
                    <w:rPr>
                      <w:rFonts w:hint="default" w:ascii="Times New Roman" w:hAnsi="Times New Roman" w:eastAsia="宋体" w:cs="Times New Roman"/>
                      <w:color w:val="000000"/>
                      <w:kern w:val="0"/>
                      <w:sz w:val="21"/>
                      <w:szCs w:val="21"/>
                      <w:highlight w:val="none"/>
                      <w:u w:val="none"/>
                      <w:lang w:val="en-US" w:eastAsia="zh-CN"/>
                    </w:rPr>
                    <w:t>。</w:t>
                  </w:r>
                  <w:r>
                    <w:rPr>
                      <w:rFonts w:hint="default" w:ascii="Times New Roman" w:hAnsi="Times New Roman" w:eastAsia="宋体" w:cs="Times New Roman"/>
                      <w:sz w:val="21"/>
                      <w:szCs w:val="21"/>
                      <w:highlight w:val="none"/>
                      <w:u w:val="none"/>
                    </w:rPr>
                    <w:t>医疗废物</w:t>
                  </w:r>
                  <w:r>
                    <w:rPr>
                      <w:rFonts w:hint="eastAsia" w:ascii="Times New Roman" w:hAnsi="Times New Roman"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经收集后，定期交由</w:t>
                  </w:r>
                  <w:r>
                    <w:rPr>
                      <w:rFonts w:hint="default" w:ascii="Times New Roman" w:hAnsi="Times New Roman" w:eastAsia="宋体" w:cs="Times New Roman"/>
                      <w:sz w:val="21"/>
                      <w:szCs w:val="21"/>
                      <w:highlight w:val="none"/>
                      <w:u w:val="none"/>
                      <w:lang w:eastAsia="zh-CN"/>
                    </w:rPr>
                    <w:t>株洲市医疗废物集中处置有限公司</w:t>
                  </w:r>
                  <w:r>
                    <w:rPr>
                      <w:rFonts w:hint="default" w:ascii="Times New Roman" w:hAnsi="Times New Roman" w:eastAsia="宋体" w:cs="Times New Roman"/>
                      <w:sz w:val="21"/>
                      <w:szCs w:val="21"/>
                      <w:highlight w:val="none"/>
                      <w:u w:val="none"/>
                    </w:rPr>
                    <w:t>处置</w:t>
                  </w:r>
                  <w:r>
                    <w:rPr>
                      <w:rFonts w:hint="default" w:ascii="Times New Roman" w:hAnsi="Times New Roman" w:eastAsia="宋体" w:cs="Times New Roman"/>
                      <w:color w:val="auto"/>
                      <w:sz w:val="21"/>
                      <w:szCs w:val="21"/>
                      <w:highlight w:val="none"/>
                      <w:u w:val="none"/>
                      <w:lang w:eastAsia="zh-CN"/>
                    </w:rPr>
                    <w:t>；格栅渣、</w:t>
                  </w:r>
                  <w:r>
                    <w:rPr>
                      <w:rFonts w:hint="default" w:ascii="Times New Roman" w:hAnsi="Times New Roman" w:eastAsia="宋体" w:cs="Times New Roman"/>
                      <w:color w:val="auto"/>
                      <w:sz w:val="21"/>
                      <w:szCs w:val="21"/>
                      <w:highlight w:val="none"/>
                      <w:u w:val="none"/>
                    </w:rPr>
                    <w:t>污水处理站污泥定期</w:t>
                  </w:r>
                  <w:r>
                    <w:rPr>
                      <w:rFonts w:hint="default" w:ascii="Times New Roman" w:hAnsi="Times New Roman" w:eastAsia="宋体" w:cs="Times New Roman"/>
                      <w:color w:val="auto"/>
                      <w:sz w:val="21"/>
                      <w:szCs w:val="21"/>
                      <w:highlight w:val="none"/>
                      <w:u w:val="none"/>
                      <w:lang w:eastAsia="zh-CN"/>
                    </w:rPr>
                    <w:t>交由有资质单位</w:t>
                  </w:r>
                  <w:r>
                    <w:rPr>
                      <w:rFonts w:hint="eastAsia" w:ascii="Times New Roman" w:hAnsi="Times New Roman" w:cs="Times New Roman"/>
                      <w:color w:val="auto"/>
                      <w:sz w:val="21"/>
                      <w:szCs w:val="21"/>
                      <w:highlight w:val="none"/>
                      <w:u w:val="none"/>
                      <w:lang w:eastAsia="zh-CN"/>
                    </w:rPr>
                    <w:t>清运处置，不在院内暂存</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sz w:val="21"/>
                      <w:szCs w:val="21"/>
                      <w:highlight w:val="none"/>
                      <w:u w:val="none"/>
                    </w:rPr>
                    <w:t>项目中西药包装及拆包过程产生的废弃包装物经收集后与生活垃圾一同交由环卫部门清运处</w:t>
                  </w:r>
                  <w:r>
                    <w:rPr>
                      <w:rFonts w:hint="default" w:ascii="Times New Roman" w:hAnsi="Times New Roman" w:eastAsia="宋体" w:cs="Times New Roman"/>
                      <w:color w:val="auto"/>
                      <w:sz w:val="21"/>
                      <w:szCs w:val="21"/>
                      <w:highlight w:val="none"/>
                      <w:u w:val="none"/>
                    </w:rPr>
                    <w:t>理</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废一次性输液瓶（袋）经收集后，定期交由</w:t>
                  </w:r>
                  <w:r>
                    <w:rPr>
                      <w:rFonts w:ascii="Times New Roman" w:hAnsi="Times New Roman" w:eastAsia="宋体"/>
                      <w:b w:val="0"/>
                      <w:bCs/>
                      <w:spacing w:val="0"/>
                      <w:sz w:val="21"/>
                      <w:szCs w:val="21"/>
                    </w:rPr>
                    <w:t>资质的单位处理</w:t>
                  </w:r>
                  <w:r>
                    <w:rPr>
                      <w:rFonts w:hint="eastAsia"/>
                      <w:b w:val="0"/>
                      <w:bCs/>
                      <w:spacing w:val="0"/>
                      <w:sz w:val="21"/>
                      <w:szCs w:val="21"/>
                      <w:lang w:eastAsia="zh-CN"/>
                    </w:rPr>
                    <w:t>。</w:t>
                  </w:r>
                </w:p>
              </w:tc>
            </w:tr>
            <w:tr w14:paraId="19F9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18" w:type="pct"/>
                  <w:vMerge w:val="continue"/>
                  <w:noWrap w:val="0"/>
                  <w:vAlign w:val="center"/>
                </w:tcPr>
                <w:p w14:paraId="19D6846B">
                  <w:pPr>
                    <w:keepNext w:val="0"/>
                    <w:keepLines w:val="0"/>
                    <w:pageBreakBefore w:val="0"/>
                    <w:kinsoku/>
                    <w:wordWrap/>
                    <w:overflowPunct/>
                    <w:topLinePunct w:val="0"/>
                    <w:autoSpaceDE/>
                    <w:autoSpaceDN/>
                    <w:bidi w:val="0"/>
                    <w:adjustRightInd/>
                    <w:snapToGrid/>
                    <w:spacing w:after="0"/>
                    <w:jc w:val="center"/>
                    <w:textAlignment w:val="auto"/>
                  </w:pPr>
                </w:p>
              </w:tc>
              <w:tc>
                <w:tcPr>
                  <w:tcW w:w="843" w:type="pct"/>
                  <w:noWrap w:val="0"/>
                  <w:vAlign w:val="center"/>
                </w:tcPr>
                <w:p w14:paraId="30BBFB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1"/>
                      <w:szCs w:val="21"/>
                      <w:highlight w:val="none"/>
                      <w:u w:val="none"/>
                      <w:lang w:val="en-US" w:eastAsia="zh-CN"/>
                    </w:rPr>
                  </w:pPr>
                  <w:r>
                    <w:rPr>
                      <w:rFonts w:hint="eastAsia" w:ascii="Times New Roman" w:hAnsi="Times New Roman" w:eastAsia="宋体" w:cs="Times New Roman"/>
                      <w:color w:val="000000"/>
                      <w:sz w:val="21"/>
                      <w:szCs w:val="21"/>
                      <w:highlight w:val="none"/>
                      <w:u w:val="none"/>
                      <w:lang w:val="en-US" w:eastAsia="zh-CN"/>
                    </w:rPr>
                    <w:t>环境</w:t>
                  </w:r>
                </w:p>
                <w:p w14:paraId="7047C3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风险</w:t>
                  </w:r>
                </w:p>
              </w:tc>
              <w:tc>
                <w:tcPr>
                  <w:tcW w:w="3638" w:type="pct"/>
                  <w:noWrap w:val="0"/>
                  <w:vAlign w:val="center"/>
                </w:tcPr>
                <w:p w14:paraId="034FF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事故应急池容积5m</w:t>
                  </w:r>
                  <w:r>
                    <w:rPr>
                      <w:rFonts w:hint="eastAsia" w:ascii="Times New Roman" w:hAnsi="Times New Roman" w:eastAsia="宋体" w:cs="Times New Roman"/>
                      <w:color w:val="000000"/>
                      <w:sz w:val="21"/>
                      <w:szCs w:val="21"/>
                      <w:highlight w:val="none"/>
                      <w:u w:val="none"/>
                      <w:vertAlign w:val="superscript"/>
                      <w:lang w:val="en-US" w:eastAsia="zh-CN"/>
                    </w:rPr>
                    <w:t>3</w:t>
                  </w:r>
                </w:p>
              </w:tc>
            </w:tr>
          </w:tbl>
          <w:p w14:paraId="0881CDA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b/>
                <w:color w:val="000000" w:themeColor="text1"/>
                <w:spacing w:val="5"/>
                <w:sz w:val="21"/>
                <w:szCs w:val="21"/>
                <w14:textFill>
                  <w14:solidFill>
                    <w14:schemeClr w14:val="tx1"/>
                  </w14:solidFill>
                </w14:textFill>
              </w:rPr>
            </w:pPr>
          </w:p>
          <w:p w14:paraId="518D8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hint="eastAsia" w:cs="宋体"/>
                <w:b w:val="0"/>
                <w:bCs/>
                <w:color w:val="000000" w:themeColor="text1"/>
                <w:spacing w:val="0"/>
                <w:sz w:val="24"/>
                <w:szCs w:val="24"/>
                <w:lang w:val="en-US" w:eastAsia="zh-CN"/>
                <w14:textFill>
                  <w14:solidFill>
                    <w14:schemeClr w14:val="tx1"/>
                  </w14:solidFill>
                </w14:textFill>
              </w:rPr>
              <w:t>4</w:t>
            </w:r>
            <w:r>
              <w:rPr>
                <w:rFonts w:hint="eastAsia" w:ascii="Times New Roman" w:hAnsi="Times New Roman" w:cs="宋体"/>
                <w:b w:val="0"/>
                <w:bCs/>
                <w:color w:val="000000" w:themeColor="text1"/>
                <w:spacing w:val="0"/>
                <w:sz w:val="24"/>
                <w:szCs w:val="24"/>
                <w:lang w:val="en-US" w:eastAsia="zh-CN"/>
                <w14:textFill>
                  <w14:solidFill>
                    <w14:schemeClr w14:val="tx1"/>
                  </w14:solidFill>
                </w14:textFill>
              </w:rPr>
              <w:t>、主要生产设备</w:t>
            </w:r>
          </w:p>
          <w:p w14:paraId="15AA2A83">
            <w:pPr>
              <w:pStyle w:val="2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ascii="Times New Roman" w:hAnsi="Times New Roman"/>
                <w:spacing w:val="0"/>
              </w:rPr>
              <w:t>本项目主要的设备种类和数量详见下表</w:t>
            </w:r>
            <w:r>
              <w:rPr>
                <w:rFonts w:ascii="Times New Roman" w:hAnsi="Times New Roman"/>
                <w:spacing w:val="0"/>
                <w:sz w:val="20"/>
                <w:szCs w:val="20"/>
              </w:rPr>
              <w:t>。</w:t>
            </w:r>
          </w:p>
          <w:p w14:paraId="331AE9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8"/>
                <w:sz w:val="21"/>
                <w:szCs w:val="21"/>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cs="宋体"/>
                <w:b/>
                <w:color w:val="000000" w:themeColor="text1"/>
                <w:spacing w:val="8"/>
                <w:sz w:val="21"/>
                <w:szCs w:val="21"/>
                <w:lang w:val="en-US" w:eastAsia="zh-CN"/>
                <w14:textFill>
                  <w14:solidFill>
                    <w14:schemeClr w14:val="tx1"/>
                  </w14:solidFill>
                </w14:textFill>
              </w:rPr>
              <w:t>2</w:t>
            </w:r>
            <w:r>
              <w:rPr>
                <w:rFonts w:hint="eastAsia" w:ascii="宋体" w:hAnsi="宋体" w:eastAsia="宋体" w:cs="宋体"/>
                <w:b/>
                <w:color w:val="000000" w:themeColor="text1"/>
                <w:spacing w:val="8"/>
                <w:sz w:val="21"/>
                <w:szCs w:val="21"/>
                <w14:textFill>
                  <w14:solidFill>
                    <w14:schemeClr w14:val="tx1"/>
                  </w14:solidFill>
                </w14:textFill>
              </w:rPr>
              <w:t>项目主要设备一览表</w:t>
            </w:r>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Layout w:type="fixed"/>
              <w:tblCellMar>
                <w:top w:w="0" w:type="dxa"/>
                <w:left w:w="0" w:type="dxa"/>
                <w:bottom w:w="0" w:type="dxa"/>
                <w:right w:w="0" w:type="dxa"/>
              </w:tblCellMar>
            </w:tblPr>
            <w:tblGrid>
              <w:gridCol w:w="703"/>
              <w:gridCol w:w="2593"/>
              <w:gridCol w:w="2023"/>
              <w:gridCol w:w="1429"/>
              <w:gridCol w:w="1410"/>
            </w:tblGrid>
            <w:tr w14:paraId="1B0C9028">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66F68F3C">
                  <w:pPr>
                    <w:bidi w:val="0"/>
                    <w:jc w:val="center"/>
                    <w:rPr>
                      <w:b/>
                      <w:bCs/>
                      <w:sz w:val="21"/>
                      <w:szCs w:val="21"/>
                    </w:rPr>
                  </w:pPr>
                  <w:r>
                    <w:rPr>
                      <w:b/>
                      <w:bCs/>
                      <w:sz w:val="21"/>
                      <w:szCs w:val="21"/>
                    </w:rPr>
                    <w:t>序号</w:t>
                  </w:r>
                </w:p>
              </w:tc>
              <w:tc>
                <w:tcPr>
                  <w:tcW w:w="1589" w:type="pct"/>
                  <w:tcBorders>
                    <w:tl2br w:val="nil"/>
                    <w:tr2bl w:val="nil"/>
                  </w:tcBorders>
                  <w:noWrap w:val="0"/>
                  <w:vAlign w:val="center"/>
                </w:tcPr>
                <w:p w14:paraId="4E798727">
                  <w:pPr>
                    <w:bidi w:val="0"/>
                    <w:jc w:val="center"/>
                    <w:rPr>
                      <w:b/>
                      <w:bCs/>
                      <w:sz w:val="21"/>
                      <w:szCs w:val="21"/>
                    </w:rPr>
                  </w:pPr>
                  <w:r>
                    <w:rPr>
                      <w:b/>
                      <w:bCs/>
                      <w:sz w:val="21"/>
                      <w:szCs w:val="21"/>
                    </w:rPr>
                    <w:t>设备名称</w:t>
                  </w:r>
                </w:p>
              </w:tc>
              <w:tc>
                <w:tcPr>
                  <w:tcW w:w="1239" w:type="pct"/>
                  <w:tcBorders>
                    <w:tl2br w:val="nil"/>
                    <w:tr2bl w:val="nil"/>
                  </w:tcBorders>
                  <w:noWrap w:val="0"/>
                  <w:vAlign w:val="center"/>
                </w:tcPr>
                <w:p w14:paraId="428A07B4">
                  <w:pPr>
                    <w:bidi w:val="0"/>
                    <w:jc w:val="center"/>
                    <w:rPr>
                      <w:rFonts w:hint="eastAsia" w:eastAsia="宋体"/>
                      <w:b/>
                      <w:bCs/>
                      <w:sz w:val="21"/>
                      <w:szCs w:val="21"/>
                      <w:lang w:eastAsia="zh-CN"/>
                    </w:rPr>
                  </w:pPr>
                  <w:r>
                    <w:rPr>
                      <w:rFonts w:hint="eastAsia"/>
                      <w:b/>
                      <w:bCs/>
                      <w:sz w:val="21"/>
                      <w:szCs w:val="21"/>
                      <w:lang w:val="en-US" w:eastAsia="zh-CN"/>
                    </w:rPr>
                    <w:t>数量</w:t>
                  </w:r>
                </w:p>
              </w:tc>
              <w:tc>
                <w:tcPr>
                  <w:tcW w:w="875" w:type="pct"/>
                  <w:tcBorders>
                    <w:tl2br w:val="nil"/>
                    <w:tr2bl w:val="nil"/>
                  </w:tcBorders>
                  <w:noWrap w:val="0"/>
                  <w:vAlign w:val="center"/>
                </w:tcPr>
                <w:p w14:paraId="42C9A880">
                  <w:pPr>
                    <w:bidi w:val="0"/>
                    <w:jc w:val="center"/>
                    <w:rPr>
                      <w:rFonts w:hint="eastAsia" w:eastAsia="宋体"/>
                      <w:b/>
                      <w:bCs/>
                      <w:sz w:val="21"/>
                      <w:szCs w:val="21"/>
                      <w:lang w:val="en-US" w:eastAsia="zh-CN"/>
                    </w:rPr>
                  </w:pPr>
                  <w:r>
                    <w:rPr>
                      <w:rFonts w:hint="eastAsia"/>
                      <w:b/>
                      <w:bCs/>
                      <w:sz w:val="21"/>
                      <w:szCs w:val="21"/>
                      <w:lang w:val="en-US" w:eastAsia="zh-CN"/>
                    </w:rPr>
                    <w:t>单位（台/套）</w:t>
                  </w:r>
                </w:p>
              </w:tc>
              <w:tc>
                <w:tcPr>
                  <w:tcW w:w="864" w:type="pct"/>
                  <w:tcBorders>
                    <w:tl2br w:val="nil"/>
                    <w:tr2bl w:val="nil"/>
                  </w:tcBorders>
                  <w:noWrap w:val="0"/>
                  <w:vAlign w:val="center"/>
                </w:tcPr>
                <w:p w14:paraId="4D5A2806">
                  <w:pPr>
                    <w:bidi w:val="0"/>
                    <w:jc w:val="center"/>
                    <w:rPr>
                      <w:rFonts w:hint="eastAsia" w:eastAsia="宋体"/>
                      <w:b/>
                      <w:bCs/>
                      <w:sz w:val="21"/>
                      <w:szCs w:val="21"/>
                      <w:lang w:val="en-US" w:eastAsia="zh-CN"/>
                    </w:rPr>
                  </w:pPr>
                  <w:r>
                    <w:rPr>
                      <w:rFonts w:hint="eastAsia"/>
                      <w:b/>
                      <w:bCs/>
                      <w:sz w:val="21"/>
                      <w:szCs w:val="21"/>
                      <w:lang w:val="en-US" w:eastAsia="zh-CN"/>
                    </w:rPr>
                    <w:t>备注</w:t>
                  </w:r>
                </w:p>
              </w:tc>
            </w:tr>
            <w:tr w14:paraId="4AB6F4F2">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5000" w:type="pct"/>
                  <w:gridSpan w:val="5"/>
                  <w:tcBorders>
                    <w:tl2br w:val="nil"/>
                    <w:tr2bl w:val="nil"/>
                  </w:tcBorders>
                  <w:noWrap w:val="0"/>
                  <w:vAlign w:val="center"/>
                </w:tcPr>
                <w:p w14:paraId="3EEFA6AA">
                  <w:pPr>
                    <w:bidi w:val="0"/>
                    <w:jc w:val="left"/>
                    <w:rPr>
                      <w:rFonts w:hint="eastAsia" w:eastAsia="宋体"/>
                      <w:sz w:val="21"/>
                      <w:szCs w:val="21"/>
                      <w:lang w:val="en-US" w:eastAsia="zh-CN"/>
                    </w:rPr>
                  </w:pPr>
                  <w:r>
                    <w:rPr>
                      <w:rFonts w:hint="eastAsia"/>
                      <w:b/>
                      <w:bCs/>
                      <w:color w:val="auto"/>
                      <w:sz w:val="21"/>
                      <w:szCs w:val="21"/>
                      <w:lang w:val="en-US" w:eastAsia="zh-CN"/>
                    </w:rPr>
                    <w:t>一、检验治疗设施</w:t>
                  </w:r>
                </w:p>
              </w:tc>
            </w:tr>
            <w:tr w14:paraId="164D5DFF">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67AB18B8">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w:t>
                  </w:r>
                </w:p>
              </w:tc>
              <w:tc>
                <w:tcPr>
                  <w:tcW w:w="1589" w:type="pct"/>
                  <w:tcBorders>
                    <w:tl2br w:val="nil"/>
                    <w:tr2bl w:val="nil"/>
                  </w:tcBorders>
                  <w:noWrap w:val="0"/>
                  <w:vAlign w:val="center"/>
                </w:tcPr>
                <w:p w14:paraId="3358799C">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多普勒超声诊断仪</w:t>
                  </w:r>
                </w:p>
              </w:tc>
              <w:tc>
                <w:tcPr>
                  <w:tcW w:w="1239" w:type="pct"/>
                  <w:tcBorders>
                    <w:tl2br w:val="nil"/>
                    <w:tr2bl w:val="nil"/>
                  </w:tcBorders>
                  <w:noWrap w:val="0"/>
                  <w:vAlign w:val="center"/>
                </w:tcPr>
                <w:p w14:paraId="2F8336B0">
                  <w:pPr>
                    <w:bidi w:val="0"/>
                    <w:jc w:val="center"/>
                    <w:rPr>
                      <w:rFonts w:hint="eastAsia" w:eastAsia="宋体"/>
                      <w:sz w:val="21"/>
                      <w:szCs w:val="21"/>
                      <w:lang w:eastAsia="zh-CN"/>
                    </w:rPr>
                  </w:pPr>
                  <w:r>
                    <w:rPr>
                      <w:rFonts w:hint="eastAsia"/>
                      <w:sz w:val="21"/>
                      <w:szCs w:val="21"/>
                      <w:lang w:eastAsia="zh-CN"/>
                    </w:rPr>
                    <w:t>1</w:t>
                  </w:r>
                </w:p>
              </w:tc>
              <w:tc>
                <w:tcPr>
                  <w:tcW w:w="875" w:type="pct"/>
                  <w:tcBorders>
                    <w:tl2br w:val="nil"/>
                    <w:tr2bl w:val="nil"/>
                  </w:tcBorders>
                  <w:noWrap w:val="0"/>
                  <w:vAlign w:val="center"/>
                </w:tcPr>
                <w:p w14:paraId="45087674">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344E4D39">
                  <w:pPr>
                    <w:bidi w:val="0"/>
                    <w:jc w:val="center"/>
                    <w:rPr>
                      <w:sz w:val="21"/>
                      <w:szCs w:val="21"/>
                    </w:rPr>
                  </w:pPr>
                </w:p>
              </w:tc>
            </w:tr>
            <w:tr w14:paraId="663FCEE2">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50EC8292">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w:t>
                  </w:r>
                </w:p>
              </w:tc>
              <w:tc>
                <w:tcPr>
                  <w:tcW w:w="1589" w:type="pct"/>
                  <w:tcBorders>
                    <w:tl2br w:val="nil"/>
                    <w:tr2bl w:val="nil"/>
                  </w:tcBorders>
                  <w:noWrap w:val="0"/>
                  <w:vAlign w:val="center"/>
                </w:tcPr>
                <w:p w14:paraId="59F3E79D">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熏蒸治疗仪</w:t>
                  </w:r>
                </w:p>
              </w:tc>
              <w:tc>
                <w:tcPr>
                  <w:tcW w:w="1239" w:type="pct"/>
                  <w:tcBorders>
                    <w:tl2br w:val="nil"/>
                    <w:tr2bl w:val="nil"/>
                  </w:tcBorders>
                  <w:noWrap w:val="0"/>
                  <w:vAlign w:val="center"/>
                </w:tcPr>
                <w:p w14:paraId="7C6651D2">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7F57AA54">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0F72EFBC">
                  <w:pPr>
                    <w:bidi w:val="0"/>
                    <w:jc w:val="center"/>
                    <w:rPr>
                      <w:sz w:val="21"/>
                      <w:szCs w:val="21"/>
                    </w:rPr>
                  </w:pPr>
                </w:p>
              </w:tc>
            </w:tr>
            <w:tr w14:paraId="73F3B6D5">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270AD107">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3</w:t>
                  </w:r>
                </w:p>
              </w:tc>
              <w:tc>
                <w:tcPr>
                  <w:tcW w:w="1589" w:type="pct"/>
                  <w:tcBorders>
                    <w:tl2br w:val="nil"/>
                    <w:tr2bl w:val="nil"/>
                  </w:tcBorders>
                  <w:noWrap w:val="0"/>
                  <w:vAlign w:val="center"/>
                </w:tcPr>
                <w:p w14:paraId="06794340">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按摩床</w:t>
                  </w:r>
                </w:p>
              </w:tc>
              <w:tc>
                <w:tcPr>
                  <w:tcW w:w="1239" w:type="pct"/>
                  <w:tcBorders>
                    <w:tl2br w:val="nil"/>
                    <w:tr2bl w:val="nil"/>
                  </w:tcBorders>
                  <w:noWrap w:val="0"/>
                  <w:vAlign w:val="center"/>
                </w:tcPr>
                <w:p w14:paraId="03EC7E78">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5D65A44A">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1E5CE3B2">
                  <w:pPr>
                    <w:bidi w:val="0"/>
                    <w:jc w:val="center"/>
                    <w:rPr>
                      <w:sz w:val="21"/>
                      <w:szCs w:val="21"/>
                    </w:rPr>
                  </w:pPr>
                </w:p>
              </w:tc>
            </w:tr>
            <w:tr w14:paraId="261BC782">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57036677">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4</w:t>
                  </w:r>
                </w:p>
              </w:tc>
              <w:tc>
                <w:tcPr>
                  <w:tcW w:w="1589" w:type="pct"/>
                  <w:tcBorders>
                    <w:tl2br w:val="nil"/>
                    <w:tr2bl w:val="nil"/>
                  </w:tcBorders>
                  <w:noWrap w:val="0"/>
                  <w:vAlign w:val="center"/>
                </w:tcPr>
                <w:p w14:paraId="7A7C12AA">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温热电针治疗仪</w:t>
                  </w:r>
                </w:p>
              </w:tc>
              <w:tc>
                <w:tcPr>
                  <w:tcW w:w="1239" w:type="pct"/>
                  <w:tcBorders>
                    <w:tl2br w:val="nil"/>
                    <w:tr2bl w:val="nil"/>
                  </w:tcBorders>
                  <w:noWrap w:val="0"/>
                  <w:vAlign w:val="center"/>
                </w:tcPr>
                <w:p w14:paraId="72B61955">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171D66A7">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5FDA6CB4">
                  <w:pPr>
                    <w:bidi w:val="0"/>
                    <w:jc w:val="center"/>
                    <w:rPr>
                      <w:sz w:val="21"/>
                      <w:szCs w:val="21"/>
                    </w:rPr>
                  </w:pPr>
                </w:p>
              </w:tc>
            </w:tr>
            <w:tr w14:paraId="063BA4F7">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303291B4">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5</w:t>
                  </w:r>
                </w:p>
              </w:tc>
              <w:tc>
                <w:tcPr>
                  <w:tcW w:w="1589" w:type="pct"/>
                  <w:tcBorders>
                    <w:tl2br w:val="nil"/>
                    <w:tr2bl w:val="nil"/>
                  </w:tcBorders>
                  <w:noWrap w:val="0"/>
                  <w:vAlign w:val="center"/>
                </w:tcPr>
                <w:p w14:paraId="644D1623">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手提B超机</w:t>
                  </w:r>
                </w:p>
              </w:tc>
              <w:tc>
                <w:tcPr>
                  <w:tcW w:w="1239" w:type="pct"/>
                  <w:tcBorders>
                    <w:tl2br w:val="nil"/>
                    <w:tr2bl w:val="nil"/>
                  </w:tcBorders>
                  <w:noWrap w:val="0"/>
                  <w:vAlign w:val="center"/>
                </w:tcPr>
                <w:p w14:paraId="46D23779">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4E224AB5">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5108D4DE">
                  <w:pPr>
                    <w:bidi w:val="0"/>
                    <w:jc w:val="center"/>
                    <w:rPr>
                      <w:sz w:val="21"/>
                      <w:szCs w:val="21"/>
                    </w:rPr>
                  </w:pPr>
                </w:p>
              </w:tc>
            </w:tr>
            <w:tr w14:paraId="6B849F5E">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10CBA5B7">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6</w:t>
                  </w:r>
                </w:p>
              </w:tc>
              <w:tc>
                <w:tcPr>
                  <w:tcW w:w="1589" w:type="pct"/>
                  <w:tcBorders>
                    <w:tl2br w:val="nil"/>
                    <w:tr2bl w:val="nil"/>
                  </w:tcBorders>
                  <w:noWrap w:val="0"/>
                  <w:vAlign w:val="center"/>
                </w:tcPr>
                <w:p w14:paraId="7874931F">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医用X射线摄影系统</w:t>
                  </w:r>
                </w:p>
              </w:tc>
              <w:tc>
                <w:tcPr>
                  <w:tcW w:w="1239" w:type="pct"/>
                  <w:tcBorders>
                    <w:tl2br w:val="nil"/>
                    <w:tr2bl w:val="nil"/>
                  </w:tcBorders>
                  <w:noWrap w:val="0"/>
                  <w:vAlign w:val="center"/>
                </w:tcPr>
                <w:p w14:paraId="09D587CC">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1A8F8520">
                  <w:pPr>
                    <w:bidi w:val="0"/>
                    <w:jc w:val="center"/>
                    <w:rPr>
                      <w:sz w:val="21"/>
                      <w:szCs w:val="21"/>
                    </w:rPr>
                  </w:pPr>
                  <w:r>
                    <w:rPr>
                      <w:rFonts w:hint="eastAsia"/>
                      <w:lang w:val="en-US" w:eastAsia="zh-CN"/>
                    </w:rPr>
                    <w:t>套</w:t>
                  </w:r>
                </w:p>
              </w:tc>
              <w:tc>
                <w:tcPr>
                  <w:tcW w:w="864" w:type="pct"/>
                  <w:tcBorders>
                    <w:tl2br w:val="nil"/>
                    <w:tr2bl w:val="nil"/>
                  </w:tcBorders>
                  <w:noWrap w:val="0"/>
                  <w:vAlign w:val="center"/>
                </w:tcPr>
                <w:p w14:paraId="73739BDF">
                  <w:pPr>
                    <w:bidi w:val="0"/>
                    <w:jc w:val="center"/>
                    <w:rPr>
                      <w:rFonts w:hint="default" w:eastAsia="宋体"/>
                      <w:sz w:val="21"/>
                      <w:szCs w:val="21"/>
                      <w:lang w:val="en-US" w:eastAsia="zh-CN"/>
                    </w:rPr>
                  </w:pPr>
                  <w:r>
                    <w:rPr>
                      <w:rFonts w:hint="eastAsia"/>
                      <w:sz w:val="21"/>
                      <w:szCs w:val="21"/>
                      <w:lang w:val="en-US" w:eastAsia="zh-CN"/>
                    </w:rPr>
                    <w:t>已另行环评</w:t>
                  </w:r>
                </w:p>
              </w:tc>
            </w:tr>
            <w:tr w14:paraId="51B0487E">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5792A0DB">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7</w:t>
                  </w:r>
                </w:p>
              </w:tc>
              <w:tc>
                <w:tcPr>
                  <w:tcW w:w="1589" w:type="pct"/>
                  <w:tcBorders>
                    <w:tl2br w:val="nil"/>
                    <w:tr2bl w:val="nil"/>
                  </w:tcBorders>
                  <w:noWrap w:val="0"/>
                  <w:vAlign w:val="center"/>
                </w:tcPr>
                <w:p w14:paraId="6D95B359">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儿童体检仪</w:t>
                  </w:r>
                </w:p>
              </w:tc>
              <w:tc>
                <w:tcPr>
                  <w:tcW w:w="1239" w:type="pct"/>
                  <w:tcBorders>
                    <w:tl2br w:val="nil"/>
                    <w:tr2bl w:val="nil"/>
                  </w:tcBorders>
                  <w:noWrap w:val="0"/>
                  <w:vAlign w:val="center"/>
                </w:tcPr>
                <w:p w14:paraId="4332F9FB">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3936AFFA">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3E1D0F0D">
                  <w:pPr>
                    <w:bidi w:val="0"/>
                    <w:jc w:val="center"/>
                    <w:rPr>
                      <w:sz w:val="21"/>
                      <w:szCs w:val="21"/>
                    </w:rPr>
                  </w:pPr>
                </w:p>
              </w:tc>
            </w:tr>
            <w:tr w14:paraId="69C9384A">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48507E59">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8</w:t>
                  </w:r>
                </w:p>
              </w:tc>
              <w:tc>
                <w:tcPr>
                  <w:tcW w:w="1589" w:type="pct"/>
                  <w:tcBorders>
                    <w:tl2br w:val="nil"/>
                    <w:tr2bl w:val="nil"/>
                  </w:tcBorders>
                  <w:noWrap w:val="0"/>
                  <w:vAlign w:val="center"/>
                </w:tcPr>
                <w:p w14:paraId="22F07A6E">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B超机</w:t>
                  </w:r>
                </w:p>
              </w:tc>
              <w:tc>
                <w:tcPr>
                  <w:tcW w:w="1239" w:type="pct"/>
                  <w:tcBorders>
                    <w:tl2br w:val="nil"/>
                    <w:tr2bl w:val="nil"/>
                  </w:tcBorders>
                  <w:noWrap w:val="0"/>
                  <w:vAlign w:val="center"/>
                </w:tcPr>
                <w:p w14:paraId="26A480C2">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443D6739">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2785625D">
                  <w:pPr>
                    <w:bidi w:val="0"/>
                    <w:jc w:val="center"/>
                    <w:rPr>
                      <w:sz w:val="21"/>
                      <w:szCs w:val="21"/>
                    </w:rPr>
                  </w:pPr>
                </w:p>
              </w:tc>
            </w:tr>
            <w:tr w14:paraId="6CF87CEA">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6E1755F5">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9</w:t>
                  </w:r>
                </w:p>
              </w:tc>
              <w:tc>
                <w:tcPr>
                  <w:tcW w:w="1589" w:type="pct"/>
                  <w:tcBorders>
                    <w:tl2br w:val="nil"/>
                    <w:tr2bl w:val="nil"/>
                  </w:tcBorders>
                  <w:noWrap w:val="0"/>
                  <w:vAlign w:val="center"/>
                </w:tcPr>
                <w:p w14:paraId="5FA89FDD">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心电图机</w:t>
                  </w:r>
                </w:p>
              </w:tc>
              <w:tc>
                <w:tcPr>
                  <w:tcW w:w="1239" w:type="pct"/>
                  <w:tcBorders>
                    <w:tl2br w:val="nil"/>
                    <w:tr2bl w:val="nil"/>
                  </w:tcBorders>
                  <w:noWrap w:val="0"/>
                  <w:vAlign w:val="center"/>
                </w:tcPr>
                <w:p w14:paraId="1C5649C6">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003F17C8">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16C11AC5">
                  <w:pPr>
                    <w:bidi w:val="0"/>
                    <w:jc w:val="center"/>
                    <w:rPr>
                      <w:sz w:val="21"/>
                      <w:szCs w:val="21"/>
                    </w:rPr>
                  </w:pPr>
                </w:p>
              </w:tc>
            </w:tr>
            <w:tr w14:paraId="59C92002">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5C1360C6">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10</w:t>
                  </w:r>
                </w:p>
              </w:tc>
              <w:tc>
                <w:tcPr>
                  <w:tcW w:w="1589" w:type="pct"/>
                  <w:tcBorders>
                    <w:tl2br w:val="nil"/>
                    <w:tr2bl w:val="nil"/>
                  </w:tcBorders>
                  <w:noWrap w:val="0"/>
                  <w:vAlign w:val="center"/>
                </w:tcPr>
                <w:p w14:paraId="4C16F77F">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牙科综合治疗仪</w:t>
                  </w:r>
                </w:p>
              </w:tc>
              <w:tc>
                <w:tcPr>
                  <w:tcW w:w="1239" w:type="pct"/>
                  <w:tcBorders>
                    <w:tl2br w:val="nil"/>
                    <w:tr2bl w:val="nil"/>
                  </w:tcBorders>
                  <w:noWrap w:val="0"/>
                  <w:vAlign w:val="center"/>
                </w:tcPr>
                <w:p w14:paraId="0EBDE1F5">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7D2F0A37">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342B8D53">
                  <w:pPr>
                    <w:bidi w:val="0"/>
                    <w:jc w:val="center"/>
                    <w:rPr>
                      <w:sz w:val="21"/>
                      <w:szCs w:val="21"/>
                    </w:rPr>
                  </w:pPr>
                </w:p>
              </w:tc>
            </w:tr>
            <w:tr w14:paraId="616CFA4C">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7D130CBE">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11</w:t>
                  </w:r>
                </w:p>
              </w:tc>
              <w:tc>
                <w:tcPr>
                  <w:tcW w:w="1589" w:type="pct"/>
                  <w:tcBorders>
                    <w:tl2br w:val="nil"/>
                    <w:tr2bl w:val="nil"/>
                  </w:tcBorders>
                  <w:noWrap w:val="0"/>
                  <w:vAlign w:val="center"/>
                </w:tcPr>
                <w:p w14:paraId="6D68C050">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微波治疗仪</w:t>
                  </w:r>
                </w:p>
              </w:tc>
              <w:tc>
                <w:tcPr>
                  <w:tcW w:w="1239" w:type="pct"/>
                  <w:tcBorders>
                    <w:tl2br w:val="nil"/>
                    <w:tr2bl w:val="nil"/>
                  </w:tcBorders>
                  <w:noWrap w:val="0"/>
                  <w:vAlign w:val="center"/>
                </w:tcPr>
                <w:p w14:paraId="4D1BB39F">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05CBAD64">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33752DCF">
                  <w:pPr>
                    <w:bidi w:val="0"/>
                    <w:jc w:val="center"/>
                    <w:rPr>
                      <w:sz w:val="21"/>
                      <w:szCs w:val="21"/>
                    </w:rPr>
                  </w:pPr>
                </w:p>
              </w:tc>
            </w:tr>
            <w:tr w14:paraId="1E51D933">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PrEx>
              <w:trPr>
                <w:trHeight w:val="510" w:hRule="atLeast"/>
              </w:trPr>
              <w:tc>
                <w:tcPr>
                  <w:tcW w:w="430" w:type="pct"/>
                  <w:tcBorders>
                    <w:tl2br w:val="nil"/>
                    <w:tr2bl w:val="nil"/>
                  </w:tcBorders>
                  <w:noWrap w:val="0"/>
                  <w:vAlign w:val="center"/>
                </w:tcPr>
                <w:p w14:paraId="0C51DBE5">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12</w:t>
                  </w:r>
                </w:p>
              </w:tc>
              <w:tc>
                <w:tcPr>
                  <w:tcW w:w="1589" w:type="pct"/>
                  <w:tcBorders>
                    <w:tl2br w:val="nil"/>
                    <w:tr2bl w:val="nil"/>
                  </w:tcBorders>
                  <w:noWrap w:val="0"/>
                  <w:vAlign w:val="center"/>
                </w:tcPr>
                <w:p w14:paraId="0EB649EE">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麻醉咽喉镜</w:t>
                  </w:r>
                </w:p>
              </w:tc>
              <w:tc>
                <w:tcPr>
                  <w:tcW w:w="1239" w:type="pct"/>
                  <w:tcBorders>
                    <w:tl2br w:val="nil"/>
                    <w:tr2bl w:val="nil"/>
                  </w:tcBorders>
                  <w:noWrap w:val="0"/>
                  <w:vAlign w:val="center"/>
                </w:tcPr>
                <w:p w14:paraId="2FCA16EC">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5EFE8CE3">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4047DBD3">
                  <w:pPr>
                    <w:bidi w:val="0"/>
                    <w:jc w:val="center"/>
                    <w:rPr>
                      <w:sz w:val="21"/>
                      <w:szCs w:val="21"/>
                    </w:rPr>
                  </w:pPr>
                </w:p>
              </w:tc>
            </w:tr>
            <w:tr w14:paraId="1090AFF5">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7E6F0121">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13</w:t>
                  </w:r>
                </w:p>
              </w:tc>
              <w:tc>
                <w:tcPr>
                  <w:tcW w:w="1589" w:type="pct"/>
                  <w:tcBorders>
                    <w:tl2br w:val="nil"/>
                    <w:tr2bl w:val="nil"/>
                  </w:tcBorders>
                  <w:noWrap w:val="0"/>
                  <w:vAlign w:val="center"/>
                </w:tcPr>
                <w:p w14:paraId="2F577781">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低压电动吸引器</w:t>
                  </w:r>
                </w:p>
              </w:tc>
              <w:tc>
                <w:tcPr>
                  <w:tcW w:w="1239" w:type="pct"/>
                  <w:tcBorders>
                    <w:tl2br w:val="nil"/>
                    <w:tr2bl w:val="nil"/>
                  </w:tcBorders>
                  <w:noWrap w:val="0"/>
                  <w:vAlign w:val="center"/>
                </w:tcPr>
                <w:p w14:paraId="6FCF87FE">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12A3038C">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2969FF17">
                  <w:pPr>
                    <w:bidi w:val="0"/>
                    <w:jc w:val="center"/>
                    <w:rPr>
                      <w:sz w:val="21"/>
                      <w:szCs w:val="21"/>
                    </w:rPr>
                  </w:pPr>
                </w:p>
              </w:tc>
            </w:tr>
            <w:tr w14:paraId="17A4E54E">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20872DBE">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14</w:t>
                  </w:r>
                </w:p>
              </w:tc>
              <w:tc>
                <w:tcPr>
                  <w:tcW w:w="1589" w:type="pct"/>
                  <w:tcBorders>
                    <w:tl2br w:val="nil"/>
                    <w:tr2bl w:val="nil"/>
                  </w:tcBorders>
                  <w:noWrap w:val="0"/>
                  <w:vAlign w:val="center"/>
                </w:tcPr>
                <w:p w14:paraId="259446D4">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模式电动吸痰器</w:t>
                  </w:r>
                </w:p>
              </w:tc>
              <w:tc>
                <w:tcPr>
                  <w:tcW w:w="1239" w:type="pct"/>
                  <w:tcBorders>
                    <w:tl2br w:val="nil"/>
                    <w:tr2bl w:val="nil"/>
                  </w:tcBorders>
                  <w:noWrap w:val="0"/>
                  <w:vAlign w:val="center"/>
                </w:tcPr>
                <w:p w14:paraId="29D4659E">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04ACFC4E">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59C0EBDA">
                  <w:pPr>
                    <w:bidi w:val="0"/>
                    <w:jc w:val="center"/>
                    <w:rPr>
                      <w:sz w:val="21"/>
                      <w:szCs w:val="21"/>
                    </w:rPr>
                  </w:pPr>
                </w:p>
              </w:tc>
            </w:tr>
            <w:tr w14:paraId="767C083D">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3D4051FD">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15</w:t>
                  </w:r>
                </w:p>
              </w:tc>
              <w:tc>
                <w:tcPr>
                  <w:tcW w:w="1589" w:type="pct"/>
                  <w:tcBorders>
                    <w:tl2br w:val="nil"/>
                    <w:tr2bl w:val="nil"/>
                  </w:tcBorders>
                  <w:noWrap w:val="0"/>
                  <w:vAlign w:val="center"/>
                </w:tcPr>
                <w:p w14:paraId="01F1630B">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电子肺活量测量仪</w:t>
                  </w:r>
                </w:p>
              </w:tc>
              <w:tc>
                <w:tcPr>
                  <w:tcW w:w="1239" w:type="pct"/>
                  <w:tcBorders>
                    <w:tl2br w:val="nil"/>
                    <w:tr2bl w:val="nil"/>
                  </w:tcBorders>
                  <w:noWrap w:val="0"/>
                  <w:vAlign w:val="center"/>
                </w:tcPr>
                <w:p w14:paraId="630D80AC">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14A41371">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645B85BF">
                  <w:pPr>
                    <w:bidi w:val="0"/>
                    <w:jc w:val="center"/>
                    <w:rPr>
                      <w:sz w:val="21"/>
                      <w:szCs w:val="21"/>
                    </w:rPr>
                  </w:pPr>
                </w:p>
              </w:tc>
            </w:tr>
            <w:tr w14:paraId="3405E199">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PrEx>
              <w:trPr>
                <w:trHeight w:val="510" w:hRule="atLeast"/>
              </w:trPr>
              <w:tc>
                <w:tcPr>
                  <w:tcW w:w="430" w:type="pct"/>
                  <w:tcBorders>
                    <w:tl2br w:val="nil"/>
                    <w:tr2bl w:val="nil"/>
                  </w:tcBorders>
                  <w:noWrap w:val="0"/>
                  <w:vAlign w:val="center"/>
                </w:tcPr>
                <w:p w14:paraId="718776E0">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16</w:t>
                  </w:r>
                </w:p>
              </w:tc>
              <w:tc>
                <w:tcPr>
                  <w:tcW w:w="1589" w:type="pct"/>
                  <w:tcBorders>
                    <w:tl2br w:val="nil"/>
                    <w:tr2bl w:val="nil"/>
                  </w:tcBorders>
                  <w:noWrap w:val="0"/>
                  <w:vAlign w:val="center"/>
                </w:tcPr>
                <w:p w14:paraId="7A7CFAFB">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显微镜</w:t>
                  </w:r>
                </w:p>
              </w:tc>
              <w:tc>
                <w:tcPr>
                  <w:tcW w:w="1239" w:type="pct"/>
                  <w:tcBorders>
                    <w:tl2br w:val="nil"/>
                    <w:tr2bl w:val="nil"/>
                  </w:tcBorders>
                  <w:noWrap w:val="0"/>
                  <w:vAlign w:val="center"/>
                </w:tcPr>
                <w:p w14:paraId="14829B59">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451BC0AC">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78AEE1B6">
                  <w:pPr>
                    <w:bidi w:val="0"/>
                    <w:jc w:val="center"/>
                    <w:rPr>
                      <w:sz w:val="21"/>
                      <w:szCs w:val="21"/>
                    </w:rPr>
                  </w:pPr>
                </w:p>
              </w:tc>
            </w:tr>
            <w:tr w14:paraId="366D2251">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10B5479A">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17</w:t>
                  </w:r>
                </w:p>
              </w:tc>
              <w:tc>
                <w:tcPr>
                  <w:tcW w:w="1589" w:type="pct"/>
                  <w:tcBorders>
                    <w:tl2br w:val="nil"/>
                    <w:tr2bl w:val="nil"/>
                  </w:tcBorders>
                  <w:noWrap w:val="0"/>
                  <w:vAlign w:val="center"/>
                </w:tcPr>
                <w:p w14:paraId="6A5D7E1B">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洗胃机</w:t>
                  </w:r>
                </w:p>
              </w:tc>
              <w:tc>
                <w:tcPr>
                  <w:tcW w:w="1239" w:type="pct"/>
                  <w:tcBorders>
                    <w:tl2br w:val="nil"/>
                    <w:tr2bl w:val="nil"/>
                  </w:tcBorders>
                  <w:noWrap w:val="0"/>
                  <w:vAlign w:val="center"/>
                </w:tcPr>
                <w:p w14:paraId="0AB3AF2B">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7C05CF4E">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597099B8">
                  <w:pPr>
                    <w:bidi w:val="0"/>
                    <w:jc w:val="center"/>
                    <w:rPr>
                      <w:sz w:val="21"/>
                      <w:szCs w:val="21"/>
                    </w:rPr>
                  </w:pPr>
                </w:p>
              </w:tc>
            </w:tr>
            <w:tr w14:paraId="09F8660E">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7F156EE4">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18</w:t>
                  </w:r>
                </w:p>
              </w:tc>
              <w:tc>
                <w:tcPr>
                  <w:tcW w:w="1589" w:type="pct"/>
                  <w:tcBorders>
                    <w:tl2br w:val="nil"/>
                    <w:tr2bl w:val="nil"/>
                  </w:tcBorders>
                  <w:noWrap w:val="0"/>
                  <w:vAlign w:val="center"/>
                </w:tcPr>
                <w:p w14:paraId="4C28E965">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电子血压计</w:t>
                  </w:r>
                </w:p>
              </w:tc>
              <w:tc>
                <w:tcPr>
                  <w:tcW w:w="1239" w:type="pct"/>
                  <w:tcBorders>
                    <w:tl2br w:val="nil"/>
                    <w:tr2bl w:val="nil"/>
                  </w:tcBorders>
                  <w:noWrap w:val="0"/>
                  <w:vAlign w:val="center"/>
                </w:tcPr>
                <w:p w14:paraId="1E96C979">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38F1E24A">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2B4B52CD">
                  <w:pPr>
                    <w:bidi w:val="0"/>
                    <w:jc w:val="center"/>
                    <w:rPr>
                      <w:sz w:val="21"/>
                      <w:szCs w:val="21"/>
                    </w:rPr>
                  </w:pPr>
                </w:p>
              </w:tc>
            </w:tr>
            <w:tr w14:paraId="173E46A4">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72657740">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19</w:t>
                  </w:r>
                </w:p>
              </w:tc>
              <w:tc>
                <w:tcPr>
                  <w:tcW w:w="1589" w:type="pct"/>
                  <w:tcBorders>
                    <w:tl2br w:val="nil"/>
                    <w:tr2bl w:val="nil"/>
                  </w:tcBorders>
                  <w:noWrap w:val="0"/>
                  <w:vAlign w:val="center"/>
                </w:tcPr>
                <w:p w14:paraId="594A8CC5">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成人体重称</w:t>
                  </w:r>
                </w:p>
              </w:tc>
              <w:tc>
                <w:tcPr>
                  <w:tcW w:w="1239" w:type="pct"/>
                  <w:tcBorders>
                    <w:tl2br w:val="nil"/>
                    <w:tr2bl w:val="nil"/>
                  </w:tcBorders>
                  <w:noWrap w:val="0"/>
                  <w:vAlign w:val="center"/>
                </w:tcPr>
                <w:p w14:paraId="38698D55">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360DD631">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7BB5CBEF">
                  <w:pPr>
                    <w:bidi w:val="0"/>
                    <w:jc w:val="center"/>
                    <w:rPr>
                      <w:sz w:val="21"/>
                      <w:szCs w:val="21"/>
                    </w:rPr>
                  </w:pPr>
                </w:p>
              </w:tc>
            </w:tr>
            <w:tr w14:paraId="4552796A">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5CE8CC2A">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20</w:t>
                  </w:r>
                </w:p>
              </w:tc>
              <w:tc>
                <w:tcPr>
                  <w:tcW w:w="1589" w:type="pct"/>
                  <w:tcBorders>
                    <w:tl2br w:val="nil"/>
                    <w:tr2bl w:val="nil"/>
                  </w:tcBorders>
                  <w:noWrap w:val="0"/>
                  <w:vAlign w:val="center"/>
                </w:tcPr>
                <w:p w14:paraId="594B9CF2">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心电图机</w:t>
                  </w:r>
                </w:p>
              </w:tc>
              <w:tc>
                <w:tcPr>
                  <w:tcW w:w="1239" w:type="pct"/>
                  <w:tcBorders>
                    <w:tl2br w:val="nil"/>
                    <w:tr2bl w:val="nil"/>
                  </w:tcBorders>
                  <w:noWrap w:val="0"/>
                  <w:vAlign w:val="center"/>
                </w:tcPr>
                <w:p w14:paraId="3F61EEF3">
                  <w:pPr>
                    <w:bidi w:val="0"/>
                    <w:jc w:val="center"/>
                    <w:rPr>
                      <w:sz w:val="21"/>
                      <w:szCs w:val="21"/>
                    </w:rPr>
                  </w:pPr>
                  <w:r>
                    <w:rPr>
                      <w:rFonts w:hint="eastAsia"/>
                      <w:sz w:val="21"/>
                      <w:szCs w:val="21"/>
                      <w:lang w:eastAsia="zh-CN"/>
                    </w:rPr>
                    <w:t>1</w:t>
                  </w:r>
                </w:p>
              </w:tc>
              <w:tc>
                <w:tcPr>
                  <w:tcW w:w="875" w:type="pct"/>
                  <w:tcBorders>
                    <w:tl2br w:val="nil"/>
                    <w:tr2bl w:val="nil"/>
                  </w:tcBorders>
                  <w:noWrap w:val="0"/>
                  <w:vAlign w:val="center"/>
                </w:tcPr>
                <w:p w14:paraId="79F1C13D">
                  <w:pPr>
                    <w:bidi w:val="0"/>
                    <w:jc w:val="center"/>
                    <w:rPr>
                      <w:sz w:val="21"/>
                      <w:szCs w:val="21"/>
                    </w:rPr>
                  </w:pPr>
                  <w:r>
                    <w:rPr>
                      <w:rFonts w:hint="eastAsia"/>
                      <w:lang w:val="en-US" w:eastAsia="zh-CN"/>
                    </w:rPr>
                    <w:t>台</w:t>
                  </w:r>
                </w:p>
              </w:tc>
              <w:tc>
                <w:tcPr>
                  <w:tcW w:w="864" w:type="pct"/>
                  <w:tcBorders>
                    <w:tl2br w:val="nil"/>
                    <w:tr2bl w:val="nil"/>
                  </w:tcBorders>
                  <w:noWrap w:val="0"/>
                  <w:vAlign w:val="center"/>
                </w:tcPr>
                <w:p w14:paraId="3D1AC99C">
                  <w:pPr>
                    <w:bidi w:val="0"/>
                    <w:jc w:val="center"/>
                    <w:rPr>
                      <w:sz w:val="21"/>
                      <w:szCs w:val="21"/>
                    </w:rPr>
                  </w:pPr>
                </w:p>
              </w:tc>
            </w:tr>
            <w:tr w14:paraId="2AC19F84">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57AE9EE7">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21</w:t>
                  </w:r>
                </w:p>
              </w:tc>
              <w:tc>
                <w:tcPr>
                  <w:tcW w:w="1589" w:type="pct"/>
                  <w:tcBorders>
                    <w:tl2br w:val="nil"/>
                    <w:tr2bl w:val="nil"/>
                  </w:tcBorders>
                  <w:noWrap w:val="0"/>
                  <w:vAlign w:val="center"/>
                </w:tcPr>
                <w:p w14:paraId="71FCBFAE">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离心机</w:t>
                  </w:r>
                </w:p>
              </w:tc>
              <w:tc>
                <w:tcPr>
                  <w:tcW w:w="1239" w:type="pct"/>
                  <w:tcBorders>
                    <w:tl2br w:val="nil"/>
                    <w:tr2bl w:val="nil"/>
                  </w:tcBorders>
                  <w:noWrap w:val="0"/>
                  <w:vAlign w:val="center"/>
                </w:tcPr>
                <w:p w14:paraId="73E37663">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63330CCD">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6BE8F115">
                  <w:pPr>
                    <w:bidi w:val="0"/>
                    <w:jc w:val="center"/>
                    <w:rPr>
                      <w:lang w:val="en-US" w:eastAsia="zh-CN"/>
                    </w:rPr>
                  </w:pPr>
                </w:p>
              </w:tc>
            </w:tr>
            <w:tr w14:paraId="66A2A508">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7432B7B1">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22</w:t>
                  </w:r>
                </w:p>
              </w:tc>
              <w:tc>
                <w:tcPr>
                  <w:tcW w:w="1589" w:type="pct"/>
                  <w:tcBorders>
                    <w:tl2br w:val="nil"/>
                    <w:tr2bl w:val="nil"/>
                  </w:tcBorders>
                  <w:noWrap w:val="0"/>
                  <w:vAlign w:val="center"/>
                </w:tcPr>
                <w:p w14:paraId="6FFC65D2">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单侧外固定支架</w:t>
                  </w:r>
                </w:p>
              </w:tc>
              <w:tc>
                <w:tcPr>
                  <w:tcW w:w="1239" w:type="pct"/>
                  <w:tcBorders>
                    <w:tl2br w:val="nil"/>
                    <w:tr2bl w:val="nil"/>
                  </w:tcBorders>
                  <w:noWrap w:val="0"/>
                  <w:vAlign w:val="center"/>
                </w:tcPr>
                <w:p w14:paraId="737E11E0">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66AF3C17">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6521EC23">
                  <w:pPr>
                    <w:bidi w:val="0"/>
                    <w:jc w:val="center"/>
                    <w:rPr>
                      <w:lang w:val="en-US" w:eastAsia="zh-CN"/>
                    </w:rPr>
                  </w:pPr>
                </w:p>
              </w:tc>
            </w:tr>
            <w:tr w14:paraId="29FC5CC3">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18A8BE98">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23</w:t>
                  </w:r>
                </w:p>
              </w:tc>
              <w:tc>
                <w:tcPr>
                  <w:tcW w:w="1589" w:type="pct"/>
                  <w:tcBorders>
                    <w:tl2br w:val="nil"/>
                    <w:tr2bl w:val="nil"/>
                  </w:tcBorders>
                  <w:noWrap w:val="0"/>
                  <w:vAlign w:val="center"/>
                </w:tcPr>
                <w:p w14:paraId="4196ECF2">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胎心仪</w:t>
                  </w:r>
                </w:p>
              </w:tc>
              <w:tc>
                <w:tcPr>
                  <w:tcW w:w="1239" w:type="pct"/>
                  <w:tcBorders>
                    <w:tl2br w:val="nil"/>
                    <w:tr2bl w:val="nil"/>
                  </w:tcBorders>
                  <w:noWrap w:val="0"/>
                  <w:vAlign w:val="center"/>
                </w:tcPr>
                <w:p w14:paraId="3261DF48">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06F40D6E">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3B92FEA4">
                  <w:pPr>
                    <w:bidi w:val="0"/>
                    <w:jc w:val="center"/>
                    <w:rPr>
                      <w:lang w:val="en-US" w:eastAsia="zh-CN"/>
                    </w:rPr>
                  </w:pPr>
                </w:p>
              </w:tc>
            </w:tr>
            <w:tr w14:paraId="3978156D">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43C73016">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24</w:t>
                  </w:r>
                </w:p>
              </w:tc>
              <w:tc>
                <w:tcPr>
                  <w:tcW w:w="1589" w:type="pct"/>
                  <w:tcBorders>
                    <w:tl2br w:val="nil"/>
                    <w:tr2bl w:val="nil"/>
                  </w:tcBorders>
                  <w:noWrap w:val="0"/>
                  <w:vAlign w:val="center"/>
                </w:tcPr>
                <w:p w14:paraId="75198CB3">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CR器械台装置</w:t>
                  </w:r>
                </w:p>
              </w:tc>
              <w:tc>
                <w:tcPr>
                  <w:tcW w:w="1239" w:type="pct"/>
                  <w:tcBorders>
                    <w:tl2br w:val="nil"/>
                    <w:tr2bl w:val="nil"/>
                  </w:tcBorders>
                  <w:noWrap w:val="0"/>
                  <w:vAlign w:val="center"/>
                </w:tcPr>
                <w:p w14:paraId="0213591E">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2614B240">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41B6085B">
                  <w:pPr>
                    <w:bidi w:val="0"/>
                    <w:jc w:val="center"/>
                    <w:rPr>
                      <w:lang w:val="en-US" w:eastAsia="zh-CN"/>
                    </w:rPr>
                  </w:pPr>
                </w:p>
              </w:tc>
            </w:tr>
            <w:tr w14:paraId="11212260">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PrEx>
              <w:trPr>
                <w:trHeight w:val="510" w:hRule="atLeast"/>
              </w:trPr>
              <w:tc>
                <w:tcPr>
                  <w:tcW w:w="430" w:type="pct"/>
                  <w:tcBorders>
                    <w:tl2br w:val="nil"/>
                    <w:tr2bl w:val="nil"/>
                  </w:tcBorders>
                  <w:noWrap w:val="0"/>
                  <w:vAlign w:val="center"/>
                </w:tcPr>
                <w:p w14:paraId="0CDF9D3B">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25</w:t>
                  </w:r>
                </w:p>
              </w:tc>
              <w:tc>
                <w:tcPr>
                  <w:tcW w:w="1589" w:type="pct"/>
                  <w:tcBorders>
                    <w:tl2br w:val="nil"/>
                    <w:tr2bl w:val="nil"/>
                  </w:tcBorders>
                  <w:noWrap w:val="0"/>
                  <w:vAlign w:val="center"/>
                </w:tcPr>
                <w:p w14:paraId="4776ABE4">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消毒柜</w:t>
                  </w:r>
                </w:p>
              </w:tc>
              <w:tc>
                <w:tcPr>
                  <w:tcW w:w="1239" w:type="pct"/>
                  <w:tcBorders>
                    <w:tl2br w:val="nil"/>
                    <w:tr2bl w:val="nil"/>
                  </w:tcBorders>
                  <w:noWrap w:val="0"/>
                  <w:vAlign w:val="center"/>
                </w:tcPr>
                <w:p w14:paraId="3339DFB5">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13CB9E96">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2407ECD4">
                  <w:pPr>
                    <w:bidi w:val="0"/>
                    <w:jc w:val="center"/>
                    <w:rPr>
                      <w:lang w:val="en-US" w:eastAsia="zh-CN"/>
                    </w:rPr>
                  </w:pPr>
                </w:p>
              </w:tc>
            </w:tr>
            <w:tr w14:paraId="630855DA">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207E2758">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26</w:t>
                  </w:r>
                </w:p>
              </w:tc>
              <w:tc>
                <w:tcPr>
                  <w:tcW w:w="1589" w:type="pct"/>
                  <w:tcBorders>
                    <w:tl2br w:val="nil"/>
                    <w:tr2bl w:val="nil"/>
                  </w:tcBorders>
                  <w:noWrap w:val="0"/>
                  <w:vAlign w:val="center"/>
                </w:tcPr>
                <w:p w14:paraId="7C7A976A">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肺功能测试仪</w:t>
                  </w:r>
                </w:p>
              </w:tc>
              <w:tc>
                <w:tcPr>
                  <w:tcW w:w="1239" w:type="pct"/>
                  <w:tcBorders>
                    <w:tl2br w:val="nil"/>
                    <w:tr2bl w:val="nil"/>
                  </w:tcBorders>
                  <w:noWrap w:val="0"/>
                  <w:vAlign w:val="center"/>
                </w:tcPr>
                <w:p w14:paraId="3471AD50">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55AA4CA7">
                  <w:pPr>
                    <w:bidi w:val="0"/>
                    <w:jc w:val="center"/>
                    <w:rPr>
                      <w:rFonts w:hint="eastAsia" w:eastAsia="宋体"/>
                      <w:lang w:val="en-US" w:eastAsia="zh-CN"/>
                    </w:rPr>
                  </w:pPr>
                  <w:r>
                    <w:rPr>
                      <w:rFonts w:hint="eastAsia"/>
                      <w:lang w:val="en-US" w:eastAsia="zh-CN"/>
                    </w:rPr>
                    <w:t>台</w:t>
                  </w:r>
                </w:p>
              </w:tc>
              <w:tc>
                <w:tcPr>
                  <w:tcW w:w="864" w:type="pct"/>
                  <w:tcBorders>
                    <w:tl2br w:val="nil"/>
                    <w:tr2bl w:val="nil"/>
                  </w:tcBorders>
                  <w:noWrap w:val="0"/>
                  <w:vAlign w:val="center"/>
                </w:tcPr>
                <w:p w14:paraId="7037B439">
                  <w:pPr>
                    <w:bidi w:val="0"/>
                    <w:jc w:val="center"/>
                    <w:rPr>
                      <w:lang w:val="en-US" w:eastAsia="zh-CN"/>
                    </w:rPr>
                  </w:pPr>
                </w:p>
              </w:tc>
            </w:tr>
            <w:tr w14:paraId="29E23134">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39EEF5C6">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27</w:t>
                  </w:r>
                </w:p>
              </w:tc>
              <w:tc>
                <w:tcPr>
                  <w:tcW w:w="1589" w:type="pct"/>
                  <w:tcBorders>
                    <w:tl2br w:val="nil"/>
                    <w:tr2bl w:val="nil"/>
                  </w:tcBorders>
                  <w:noWrap w:val="0"/>
                  <w:vAlign w:val="center"/>
                </w:tcPr>
                <w:p w14:paraId="7C147B50">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壁挂式全科诊断系统</w:t>
                  </w:r>
                </w:p>
              </w:tc>
              <w:tc>
                <w:tcPr>
                  <w:tcW w:w="1239" w:type="pct"/>
                  <w:tcBorders>
                    <w:tl2br w:val="nil"/>
                    <w:tr2bl w:val="nil"/>
                  </w:tcBorders>
                  <w:noWrap w:val="0"/>
                  <w:vAlign w:val="center"/>
                </w:tcPr>
                <w:p w14:paraId="1095EF42">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2E315791">
                  <w:pPr>
                    <w:bidi w:val="0"/>
                    <w:jc w:val="center"/>
                    <w:rPr>
                      <w:rFonts w:hint="eastAsia" w:eastAsia="宋体"/>
                      <w:lang w:val="en-US" w:eastAsia="zh-CN"/>
                    </w:rPr>
                  </w:pPr>
                  <w:r>
                    <w:rPr>
                      <w:rFonts w:hint="eastAsia"/>
                      <w:lang w:val="en-US" w:eastAsia="zh-CN"/>
                    </w:rPr>
                    <w:t>套</w:t>
                  </w:r>
                </w:p>
              </w:tc>
              <w:tc>
                <w:tcPr>
                  <w:tcW w:w="864" w:type="pct"/>
                  <w:tcBorders>
                    <w:tl2br w:val="nil"/>
                    <w:tr2bl w:val="nil"/>
                  </w:tcBorders>
                  <w:noWrap w:val="0"/>
                  <w:vAlign w:val="center"/>
                </w:tcPr>
                <w:p w14:paraId="60445A70">
                  <w:pPr>
                    <w:bidi w:val="0"/>
                    <w:jc w:val="center"/>
                    <w:rPr>
                      <w:lang w:val="en-US" w:eastAsia="zh-CN"/>
                    </w:rPr>
                  </w:pPr>
                </w:p>
              </w:tc>
            </w:tr>
            <w:tr w14:paraId="5495EB0F">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361B10DD">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28</w:t>
                  </w:r>
                </w:p>
              </w:tc>
              <w:tc>
                <w:tcPr>
                  <w:tcW w:w="1589" w:type="pct"/>
                  <w:tcBorders>
                    <w:tl2br w:val="nil"/>
                    <w:tr2bl w:val="nil"/>
                  </w:tcBorders>
                  <w:noWrap w:val="0"/>
                  <w:vAlign w:val="center"/>
                </w:tcPr>
                <w:p w14:paraId="64B091E4">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门诊数字化设备及系统</w:t>
                  </w:r>
                </w:p>
              </w:tc>
              <w:tc>
                <w:tcPr>
                  <w:tcW w:w="1239" w:type="pct"/>
                  <w:tcBorders>
                    <w:tl2br w:val="nil"/>
                    <w:tr2bl w:val="nil"/>
                  </w:tcBorders>
                  <w:noWrap w:val="0"/>
                  <w:vAlign w:val="center"/>
                </w:tcPr>
                <w:p w14:paraId="6D96E5C3">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2E669B99">
                  <w:pPr>
                    <w:bidi w:val="0"/>
                    <w:jc w:val="center"/>
                    <w:rPr>
                      <w:lang w:val="en-US" w:eastAsia="en-US"/>
                    </w:rPr>
                  </w:pPr>
                  <w:r>
                    <w:rPr>
                      <w:rFonts w:hint="eastAsia"/>
                      <w:lang w:val="en-US" w:eastAsia="zh-CN"/>
                    </w:rPr>
                    <w:t>套</w:t>
                  </w:r>
                </w:p>
              </w:tc>
              <w:tc>
                <w:tcPr>
                  <w:tcW w:w="864" w:type="pct"/>
                  <w:tcBorders>
                    <w:tl2br w:val="nil"/>
                    <w:tr2bl w:val="nil"/>
                  </w:tcBorders>
                  <w:noWrap w:val="0"/>
                  <w:vAlign w:val="center"/>
                </w:tcPr>
                <w:p w14:paraId="6458DD3A">
                  <w:pPr>
                    <w:bidi w:val="0"/>
                    <w:jc w:val="center"/>
                    <w:rPr>
                      <w:lang w:val="en-US" w:eastAsia="zh-CN"/>
                    </w:rPr>
                  </w:pPr>
                </w:p>
              </w:tc>
            </w:tr>
            <w:tr w14:paraId="70651EE4">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2CADEBC5">
                  <w:pPr>
                    <w:bidi w:val="0"/>
                    <w:jc w:val="center"/>
                    <w:rPr>
                      <w:rFonts w:hint="default" w:ascii="Times New Roman" w:hAnsi="Times New Roman" w:cs="Times New Roman"/>
                      <w:lang w:val="en-US" w:eastAsia="zh-CN"/>
                    </w:rPr>
                  </w:pPr>
                  <w:r>
                    <w:rPr>
                      <w:rFonts w:hint="default" w:ascii="Times New Roman" w:hAnsi="Times New Roman" w:cs="Times New Roman"/>
                    </w:rPr>
                    <w:t>29</w:t>
                  </w:r>
                </w:p>
              </w:tc>
              <w:tc>
                <w:tcPr>
                  <w:tcW w:w="1589" w:type="pct"/>
                  <w:tcBorders>
                    <w:tl2br w:val="nil"/>
                    <w:tr2bl w:val="nil"/>
                  </w:tcBorders>
                  <w:noWrap w:val="0"/>
                  <w:vAlign w:val="center"/>
                </w:tcPr>
                <w:p w14:paraId="08096D51">
                  <w:pPr>
                    <w:bidi w:val="0"/>
                    <w:jc w:val="center"/>
                    <w:rPr>
                      <w:rFonts w:hint="default" w:ascii="Times New Roman" w:hAnsi="Times New Roman" w:cs="Times New Roman"/>
                      <w:lang w:val="en-US" w:eastAsia="en-US"/>
                    </w:rPr>
                  </w:pPr>
                  <w:r>
                    <w:rPr>
                      <w:rFonts w:hint="default" w:ascii="Times New Roman" w:hAnsi="Times New Roman" w:cs="Times New Roman"/>
                    </w:rPr>
                    <w:t>医用冷链冰箱</w:t>
                  </w:r>
                </w:p>
              </w:tc>
              <w:tc>
                <w:tcPr>
                  <w:tcW w:w="1239" w:type="pct"/>
                  <w:tcBorders>
                    <w:tl2br w:val="nil"/>
                    <w:tr2bl w:val="nil"/>
                  </w:tcBorders>
                  <w:noWrap w:val="0"/>
                  <w:vAlign w:val="center"/>
                </w:tcPr>
                <w:p w14:paraId="3C086A40">
                  <w:pPr>
                    <w:bidi w:val="0"/>
                    <w:jc w:val="center"/>
                    <w:rPr>
                      <w:rFonts w:hint="default"/>
                      <w:lang w:val="en-US" w:eastAsia="zh-CN"/>
                    </w:rPr>
                  </w:pPr>
                  <w:r>
                    <w:rPr>
                      <w:rFonts w:hint="eastAsia"/>
                      <w:sz w:val="21"/>
                      <w:szCs w:val="21"/>
                      <w:lang w:eastAsia="zh-CN"/>
                    </w:rPr>
                    <w:t>1</w:t>
                  </w:r>
                </w:p>
              </w:tc>
              <w:tc>
                <w:tcPr>
                  <w:tcW w:w="875" w:type="pct"/>
                  <w:tcBorders>
                    <w:tl2br w:val="nil"/>
                    <w:tr2bl w:val="nil"/>
                  </w:tcBorders>
                  <w:noWrap w:val="0"/>
                  <w:vAlign w:val="center"/>
                </w:tcPr>
                <w:p w14:paraId="106401EC">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4F32EB55">
                  <w:pPr>
                    <w:bidi w:val="0"/>
                    <w:jc w:val="center"/>
                    <w:rPr>
                      <w:lang w:val="en-US" w:eastAsia="zh-CN"/>
                    </w:rPr>
                  </w:pPr>
                </w:p>
              </w:tc>
            </w:tr>
            <w:tr w14:paraId="19BA9EEE">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5000" w:type="pct"/>
                  <w:gridSpan w:val="5"/>
                  <w:tcBorders>
                    <w:tl2br w:val="nil"/>
                    <w:tr2bl w:val="nil"/>
                  </w:tcBorders>
                  <w:noWrap w:val="0"/>
                  <w:vAlign w:val="center"/>
                </w:tcPr>
                <w:p w14:paraId="7C3F72F1">
                  <w:pPr>
                    <w:bidi w:val="0"/>
                    <w:jc w:val="left"/>
                    <w:rPr>
                      <w:lang w:val="en-US" w:eastAsia="zh-CN"/>
                    </w:rPr>
                  </w:pPr>
                  <w:r>
                    <w:rPr>
                      <w:rFonts w:hint="default" w:ascii="Times New Roman" w:hAnsi="Times New Roman" w:cs="Times New Roman"/>
                      <w:b/>
                      <w:bCs/>
                      <w:lang w:val="en-US" w:eastAsia="zh-CN"/>
                    </w:rPr>
                    <w:t>二、化验分析设施</w:t>
                  </w:r>
                </w:p>
              </w:tc>
            </w:tr>
            <w:tr w14:paraId="5D0AC4D0">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248DC3BF">
                  <w:pPr>
                    <w:bidi w:val="0"/>
                    <w:jc w:val="center"/>
                    <w:rPr>
                      <w:rFonts w:hint="default" w:ascii="Times New Roman" w:hAnsi="Times New Roman" w:cs="Times New Roman"/>
                      <w:lang w:val="en-US" w:eastAsia="zh-CN"/>
                    </w:rPr>
                  </w:pPr>
                  <w:r>
                    <w:rPr>
                      <w:rFonts w:hint="default" w:ascii="Times New Roman" w:hAnsi="Times New Roman" w:cs="Times New Roman"/>
                    </w:rPr>
                    <w:t>1</w:t>
                  </w:r>
                </w:p>
              </w:tc>
              <w:tc>
                <w:tcPr>
                  <w:tcW w:w="1589" w:type="pct"/>
                  <w:tcBorders>
                    <w:tl2br w:val="nil"/>
                    <w:tr2bl w:val="nil"/>
                  </w:tcBorders>
                  <w:noWrap w:val="0"/>
                  <w:vAlign w:val="center"/>
                </w:tcPr>
                <w:p w14:paraId="0F7CBB36">
                  <w:pPr>
                    <w:bidi w:val="0"/>
                    <w:jc w:val="center"/>
                    <w:rPr>
                      <w:rFonts w:hint="default" w:ascii="Times New Roman" w:hAnsi="Times New Roman" w:cs="Times New Roman"/>
                      <w:lang w:val="en-US" w:eastAsia="en-US"/>
                    </w:rPr>
                  </w:pPr>
                  <w:r>
                    <w:rPr>
                      <w:rFonts w:hint="default" w:ascii="Times New Roman" w:hAnsi="Times New Roman" w:cs="Times New Roman"/>
                    </w:rPr>
                    <w:t>尿液分析仪</w:t>
                  </w:r>
                </w:p>
              </w:tc>
              <w:tc>
                <w:tcPr>
                  <w:tcW w:w="1239" w:type="pct"/>
                  <w:tcBorders>
                    <w:tl2br w:val="nil"/>
                    <w:tr2bl w:val="nil"/>
                  </w:tcBorders>
                  <w:noWrap w:val="0"/>
                  <w:vAlign w:val="center"/>
                </w:tcPr>
                <w:p w14:paraId="21E77B68">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0EADEEC8">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46C5839C">
                  <w:pPr>
                    <w:bidi w:val="0"/>
                    <w:jc w:val="center"/>
                    <w:rPr>
                      <w:lang w:val="en-US" w:eastAsia="zh-CN"/>
                    </w:rPr>
                  </w:pPr>
                </w:p>
              </w:tc>
            </w:tr>
            <w:tr w14:paraId="733B4C94">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PrEx>
              <w:trPr>
                <w:trHeight w:val="510" w:hRule="atLeast"/>
              </w:trPr>
              <w:tc>
                <w:tcPr>
                  <w:tcW w:w="430" w:type="pct"/>
                  <w:tcBorders>
                    <w:tl2br w:val="nil"/>
                    <w:tr2bl w:val="nil"/>
                  </w:tcBorders>
                  <w:noWrap w:val="0"/>
                  <w:vAlign w:val="center"/>
                </w:tcPr>
                <w:p w14:paraId="59C44400">
                  <w:pPr>
                    <w:bidi w:val="0"/>
                    <w:jc w:val="center"/>
                    <w:rPr>
                      <w:rFonts w:hint="default" w:ascii="Times New Roman" w:hAnsi="Times New Roman" w:cs="Times New Roman"/>
                      <w:lang w:val="en-US" w:eastAsia="zh-CN"/>
                    </w:rPr>
                  </w:pPr>
                  <w:r>
                    <w:rPr>
                      <w:rFonts w:hint="default" w:ascii="Times New Roman" w:hAnsi="Times New Roman" w:cs="Times New Roman"/>
                    </w:rPr>
                    <w:t>2</w:t>
                  </w:r>
                </w:p>
              </w:tc>
              <w:tc>
                <w:tcPr>
                  <w:tcW w:w="1589" w:type="pct"/>
                  <w:tcBorders>
                    <w:tl2br w:val="nil"/>
                    <w:tr2bl w:val="nil"/>
                  </w:tcBorders>
                  <w:noWrap w:val="0"/>
                  <w:vAlign w:val="center"/>
                </w:tcPr>
                <w:p w14:paraId="6C82B958">
                  <w:pPr>
                    <w:bidi w:val="0"/>
                    <w:jc w:val="center"/>
                    <w:rPr>
                      <w:rFonts w:hint="default" w:ascii="Times New Roman" w:hAnsi="Times New Roman" w:cs="Times New Roman"/>
                      <w:lang w:val="en-US" w:eastAsia="en-US"/>
                    </w:rPr>
                  </w:pPr>
                  <w:r>
                    <w:rPr>
                      <w:rFonts w:hint="default" w:ascii="Times New Roman" w:hAnsi="Times New Roman" w:cs="Times New Roman"/>
                    </w:rPr>
                    <w:t>血液分析仪</w:t>
                  </w:r>
                </w:p>
              </w:tc>
              <w:tc>
                <w:tcPr>
                  <w:tcW w:w="1239" w:type="pct"/>
                  <w:tcBorders>
                    <w:tl2br w:val="nil"/>
                    <w:tr2bl w:val="nil"/>
                  </w:tcBorders>
                  <w:noWrap w:val="0"/>
                  <w:vAlign w:val="center"/>
                </w:tcPr>
                <w:p w14:paraId="2777DC6A">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0A49000B">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538ED413">
                  <w:pPr>
                    <w:bidi w:val="0"/>
                    <w:jc w:val="center"/>
                    <w:rPr>
                      <w:lang w:val="en-US" w:eastAsia="zh-CN"/>
                    </w:rPr>
                  </w:pPr>
                </w:p>
              </w:tc>
            </w:tr>
            <w:tr w14:paraId="2D4FB284">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03F26E5C">
                  <w:pPr>
                    <w:bidi w:val="0"/>
                    <w:jc w:val="center"/>
                    <w:rPr>
                      <w:rFonts w:hint="default" w:ascii="Times New Roman" w:hAnsi="Times New Roman" w:cs="Times New Roman"/>
                      <w:lang w:val="en-US" w:eastAsia="zh-CN"/>
                    </w:rPr>
                  </w:pPr>
                  <w:r>
                    <w:rPr>
                      <w:rFonts w:hint="default" w:ascii="Times New Roman" w:hAnsi="Times New Roman" w:cs="Times New Roman"/>
                    </w:rPr>
                    <w:t>3</w:t>
                  </w:r>
                </w:p>
              </w:tc>
              <w:tc>
                <w:tcPr>
                  <w:tcW w:w="1589" w:type="pct"/>
                  <w:tcBorders>
                    <w:tl2br w:val="nil"/>
                    <w:tr2bl w:val="nil"/>
                  </w:tcBorders>
                  <w:noWrap w:val="0"/>
                  <w:vAlign w:val="center"/>
                </w:tcPr>
                <w:p w14:paraId="282EB1C6">
                  <w:pPr>
                    <w:bidi w:val="0"/>
                    <w:jc w:val="center"/>
                    <w:rPr>
                      <w:rFonts w:hint="default" w:ascii="Times New Roman" w:hAnsi="Times New Roman" w:cs="Times New Roman"/>
                      <w:lang w:val="en-US" w:eastAsia="en-US"/>
                    </w:rPr>
                  </w:pPr>
                  <w:r>
                    <w:rPr>
                      <w:rFonts w:hint="default" w:ascii="Times New Roman" w:hAnsi="Times New Roman" w:cs="Times New Roman"/>
                    </w:rPr>
                    <w:t>迈瑞血液分析仪</w:t>
                  </w:r>
                </w:p>
              </w:tc>
              <w:tc>
                <w:tcPr>
                  <w:tcW w:w="1239" w:type="pct"/>
                  <w:tcBorders>
                    <w:tl2br w:val="nil"/>
                    <w:tr2bl w:val="nil"/>
                  </w:tcBorders>
                  <w:noWrap w:val="0"/>
                  <w:vAlign w:val="center"/>
                </w:tcPr>
                <w:p w14:paraId="38E8764A">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39FFB1F9">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7D516C45">
                  <w:pPr>
                    <w:bidi w:val="0"/>
                    <w:jc w:val="center"/>
                    <w:rPr>
                      <w:lang w:val="en-US" w:eastAsia="zh-CN"/>
                    </w:rPr>
                  </w:pPr>
                </w:p>
              </w:tc>
            </w:tr>
            <w:tr w14:paraId="45ED908F">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CellMar>
                  <w:top w:w="0" w:type="dxa"/>
                  <w:left w:w="0" w:type="dxa"/>
                  <w:bottom w:w="0" w:type="dxa"/>
                  <w:right w:w="0" w:type="dxa"/>
                </w:tblCellMar>
              </w:tblPrEx>
              <w:trPr>
                <w:trHeight w:val="510" w:hRule="atLeast"/>
              </w:trPr>
              <w:tc>
                <w:tcPr>
                  <w:tcW w:w="430" w:type="pct"/>
                  <w:tcBorders>
                    <w:tl2br w:val="nil"/>
                    <w:tr2bl w:val="nil"/>
                  </w:tcBorders>
                  <w:noWrap w:val="0"/>
                  <w:vAlign w:val="center"/>
                </w:tcPr>
                <w:p w14:paraId="5A6782F5">
                  <w:pPr>
                    <w:bidi w:val="0"/>
                    <w:jc w:val="center"/>
                    <w:rPr>
                      <w:rFonts w:hint="default" w:ascii="Times New Roman" w:hAnsi="Times New Roman" w:cs="Times New Roman"/>
                      <w:lang w:val="en-US" w:eastAsia="zh-CN"/>
                    </w:rPr>
                  </w:pPr>
                  <w:r>
                    <w:rPr>
                      <w:rFonts w:hint="default" w:ascii="Times New Roman" w:hAnsi="Times New Roman" w:cs="Times New Roman"/>
                    </w:rPr>
                    <w:t>4</w:t>
                  </w:r>
                </w:p>
              </w:tc>
              <w:tc>
                <w:tcPr>
                  <w:tcW w:w="1589" w:type="pct"/>
                  <w:tcBorders>
                    <w:tl2br w:val="nil"/>
                    <w:tr2bl w:val="nil"/>
                  </w:tcBorders>
                  <w:noWrap w:val="0"/>
                  <w:vAlign w:val="center"/>
                </w:tcPr>
                <w:p w14:paraId="06716DB1">
                  <w:pPr>
                    <w:bidi w:val="0"/>
                    <w:jc w:val="center"/>
                    <w:rPr>
                      <w:rFonts w:hint="default" w:ascii="Times New Roman" w:hAnsi="Times New Roman" w:cs="Times New Roman"/>
                      <w:lang w:val="en-US" w:eastAsia="en-US"/>
                    </w:rPr>
                  </w:pPr>
                  <w:r>
                    <w:rPr>
                      <w:rFonts w:hint="default" w:ascii="Times New Roman" w:hAnsi="Times New Roman" w:cs="Times New Roman"/>
                    </w:rPr>
                    <w:t>全自动生化分析仪</w:t>
                  </w:r>
                </w:p>
              </w:tc>
              <w:tc>
                <w:tcPr>
                  <w:tcW w:w="1239" w:type="pct"/>
                  <w:tcBorders>
                    <w:tl2br w:val="nil"/>
                    <w:tr2bl w:val="nil"/>
                  </w:tcBorders>
                  <w:noWrap w:val="0"/>
                  <w:vAlign w:val="center"/>
                </w:tcPr>
                <w:p w14:paraId="459FB229">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120FCAE6">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210F785E">
                  <w:pPr>
                    <w:bidi w:val="0"/>
                    <w:jc w:val="center"/>
                    <w:rPr>
                      <w:lang w:val="en-US" w:eastAsia="zh-CN"/>
                    </w:rPr>
                  </w:pPr>
                </w:p>
              </w:tc>
            </w:tr>
            <w:tr w14:paraId="6275A813">
              <w:tblPrEx>
                <w:tblBorders>
                  <w:top w:val="single" w:color="auto" w:sz="12" w:space="0"/>
                  <w:left w:val="single" w:color="auto" w:sz="12" w:space="0"/>
                  <w:bottom w:val="single" w:color="auto" w:sz="12" w:space="0"/>
                  <w:right w:val="single" w:color="auto" w:sz="12" w:space="0"/>
                  <w:insideH w:val="single" w:color="auto" w:sz="4" w:space="0"/>
                  <w:insideV w:val="single" w:color="000000" w:sz="2" w:space="0"/>
                </w:tblBorders>
              </w:tblPrEx>
              <w:trPr>
                <w:trHeight w:val="510" w:hRule="atLeast"/>
              </w:trPr>
              <w:tc>
                <w:tcPr>
                  <w:tcW w:w="430" w:type="pct"/>
                  <w:tcBorders>
                    <w:tl2br w:val="nil"/>
                    <w:tr2bl w:val="nil"/>
                  </w:tcBorders>
                  <w:noWrap w:val="0"/>
                  <w:vAlign w:val="center"/>
                </w:tcPr>
                <w:p w14:paraId="1B266242">
                  <w:pPr>
                    <w:bidi w:val="0"/>
                    <w:jc w:val="center"/>
                    <w:rPr>
                      <w:rFonts w:hint="default" w:ascii="Times New Roman" w:hAnsi="Times New Roman" w:cs="Times New Roman"/>
                      <w:lang w:val="en-US" w:eastAsia="zh-CN"/>
                    </w:rPr>
                  </w:pPr>
                  <w:r>
                    <w:rPr>
                      <w:rFonts w:hint="default" w:ascii="Times New Roman" w:hAnsi="Times New Roman" w:cs="Times New Roman"/>
                    </w:rPr>
                    <w:t>5</w:t>
                  </w:r>
                </w:p>
              </w:tc>
              <w:tc>
                <w:tcPr>
                  <w:tcW w:w="1589" w:type="pct"/>
                  <w:tcBorders>
                    <w:tl2br w:val="nil"/>
                    <w:tr2bl w:val="nil"/>
                  </w:tcBorders>
                  <w:noWrap w:val="0"/>
                  <w:vAlign w:val="center"/>
                </w:tcPr>
                <w:p w14:paraId="55910BFE">
                  <w:pPr>
                    <w:bidi w:val="0"/>
                    <w:jc w:val="center"/>
                    <w:rPr>
                      <w:rFonts w:hint="default" w:ascii="Times New Roman" w:hAnsi="Times New Roman" w:cs="Times New Roman"/>
                      <w:lang w:val="en-US" w:eastAsia="en-US"/>
                    </w:rPr>
                  </w:pPr>
                  <w:r>
                    <w:rPr>
                      <w:rFonts w:hint="default" w:ascii="Times New Roman" w:hAnsi="Times New Roman" w:cs="Times New Roman"/>
                    </w:rPr>
                    <w:t>五分类全自动血细胞分析仪</w:t>
                  </w:r>
                </w:p>
              </w:tc>
              <w:tc>
                <w:tcPr>
                  <w:tcW w:w="1239" w:type="pct"/>
                  <w:tcBorders>
                    <w:tl2br w:val="nil"/>
                    <w:tr2bl w:val="nil"/>
                  </w:tcBorders>
                  <w:noWrap w:val="0"/>
                  <w:vAlign w:val="center"/>
                </w:tcPr>
                <w:p w14:paraId="6A407B15">
                  <w:pPr>
                    <w:bidi w:val="0"/>
                    <w:jc w:val="center"/>
                    <w:rPr>
                      <w:lang w:val="en-US" w:eastAsia="zh-CN"/>
                    </w:rPr>
                  </w:pPr>
                  <w:r>
                    <w:rPr>
                      <w:rFonts w:hint="eastAsia"/>
                      <w:sz w:val="21"/>
                      <w:szCs w:val="21"/>
                      <w:lang w:eastAsia="zh-CN"/>
                    </w:rPr>
                    <w:t>1</w:t>
                  </w:r>
                </w:p>
              </w:tc>
              <w:tc>
                <w:tcPr>
                  <w:tcW w:w="875" w:type="pct"/>
                  <w:tcBorders>
                    <w:tl2br w:val="nil"/>
                    <w:tr2bl w:val="nil"/>
                  </w:tcBorders>
                  <w:noWrap w:val="0"/>
                  <w:vAlign w:val="center"/>
                </w:tcPr>
                <w:p w14:paraId="63C86D88">
                  <w:pPr>
                    <w:bidi w:val="0"/>
                    <w:jc w:val="center"/>
                    <w:rPr>
                      <w:lang w:val="en-US" w:eastAsia="en-US"/>
                    </w:rPr>
                  </w:pPr>
                  <w:r>
                    <w:rPr>
                      <w:rFonts w:hint="eastAsia"/>
                      <w:lang w:val="en-US" w:eastAsia="zh-CN"/>
                    </w:rPr>
                    <w:t>台</w:t>
                  </w:r>
                </w:p>
              </w:tc>
              <w:tc>
                <w:tcPr>
                  <w:tcW w:w="864" w:type="pct"/>
                  <w:tcBorders>
                    <w:tl2br w:val="nil"/>
                    <w:tr2bl w:val="nil"/>
                  </w:tcBorders>
                  <w:noWrap w:val="0"/>
                  <w:vAlign w:val="center"/>
                </w:tcPr>
                <w:p w14:paraId="0E346429">
                  <w:pPr>
                    <w:bidi w:val="0"/>
                    <w:jc w:val="center"/>
                    <w:rPr>
                      <w:lang w:val="en-US" w:eastAsia="zh-CN"/>
                    </w:rPr>
                  </w:pPr>
                </w:p>
              </w:tc>
            </w:tr>
          </w:tbl>
          <w:p w14:paraId="4B09A1F8">
            <w:pPr>
              <w:pStyle w:val="6"/>
              <w:rPr>
                <w:rFonts w:hint="eastAsia"/>
              </w:rPr>
            </w:pPr>
          </w:p>
          <w:p w14:paraId="76AA9A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宋体"/>
                <w:color w:val="000000" w:themeColor="text1"/>
                <w:spacing w:val="0"/>
                <w:sz w:val="24"/>
                <w:szCs w:val="24"/>
                <w:lang w:val="en-US" w:eastAsia="zh-CN"/>
                <w14:textFill>
                  <w14:solidFill>
                    <w14:schemeClr w14:val="tx1"/>
                  </w14:solidFill>
                </w14:textFill>
              </w:rPr>
            </w:pPr>
            <w:r>
              <w:rPr>
                <w:rFonts w:hint="eastAsia" w:cs="宋体"/>
                <w:color w:val="000000" w:themeColor="text1"/>
                <w:spacing w:val="0"/>
                <w:sz w:val="24"/>
                <w:szCs w:val="24"/>
                <w:lang w:val="en-US" w:eastAsia="zh-CN"/>
                <w14:textFill>
                  <w14:solidFill>
                    <w14:schemeClr w14:val="tx1"/>
                  </w14:solidFill>
                </w14:textFill>
              </w:rPr>
              <w:t>5</w:t>
            </w:r>
            <w:r>
              <w:rPr>
                <w:rFonts w:hint="eastAsia" w:ascii="Times New Roman" w:hAnsi="Times New Roman" w:cs="宋体"/>
                <w:color w:val="000000" w:themeColor="text1"/>
                <w:spacing w:val="0"/>
                <w:sz w:val="24"/>
                <w:szCs w:val="24"/>
                <w:lang w:val="en-US" w:eastAsia="zh-CN"/>
                <w14:textFill>
                  <w14:solidFill>
                    <w14:schemeClr w14:val="tx1"/>
                  </w14:solidFill>
                </w14:textFill>
              </w:rPr>
              <w:t>、原辅材料</w:t>
            </w:r>
          </w:p>
          <w:p w14:paraId="7B60FBDC">
            <w:pPr>
              <w:pStyle w:val="2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spacing w:val="0"/>
                <w:sz w:val="24"/>
                <w:szCs w:val="24"/>
              </w:rPr>
            </w:pPr>
            <w:r>
              <w:rPr>
                <w:rFonts w:ascii="Times New Roman" w:hAnsi="Times New Roman"/>
                <w:spacing w:val="0"/>
                <w:sz w:val="24"/>
                <w:szCs w:val="24"/>
              </w:rPr>
              <w:t>本项目原辅材料消耗情况详见下表。</w:t>
            </w:r>
          </w:p>
          <w:p w14:paraId="706EF1EB">
            <w:pPr>
              <w:jc w:val="center"/>
              <w:rPr>
                <w:rFonts w:hint="eastAsia" w:ascii="宋体" w:hAnsi="宋体" w:eastAsia="宋体" w:cs="宋体"/>
                <w:b/>
                <w:color w:val="000000" w:themeColor="text1"/>
                <w:spacing w:val="8"/>
                <w:sz w:val="21"/>
                <w:szCs w:val="21"/>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eastAsia="宋体" w:cs="宋体"/>
                <w:b/>
                <w:color w:val="000000" w:themeColor="text1"/>
                <w:spacing w:val="8"/>
                <w:sz w:val="21"/>
                <w:szCs w:val="21"/>
                <w:lang w:val="en-US" w:eastAsia="zh-CN"/>
                <w14:textFill>
                  <w14:solidFill>
                    <w14:schemeClr w14:val="tx1"/>
                  </w14:solidFill>
                </w14:textFill>
              </w:rPr>
              <w:t>3</w:t>
            </w:r>
            <w:r>
              <w:rPr>
                <w:rFonts w:hint="eastAsia" w:ascii="宋体" w:hAnsi="宋体" w:eastAsia="宋体" w:cs="宋体"/>
                <w:b/>
                <w:color w:val="000000" w:themeColor="text1"/>
                <w:spacing w:val="8"/>
                <w:sz w:val="21"/>
                <w:szCs w:val="21"/>
                <w14:textFill>
                  <w14:solidFill>
                    <w14:schemeClr w14:val="tx1"/>
                  </w14:solidFill>
                </w14:textFill>
              </w:rPr>
              <w:t>项目主要</w:t>
            </w:r>
            <w:r>
              <w:rPr>
                <w:rFonts w:hint="eastAsia" w:ascii="宋体" w:hAnsi="宋体" w:eastAsia="宋体" w:cs="宋体"/>
                <w:b/>
                <w:color w:val="000000" w:themeColor="text1"/>
                <w:spacing w:val="8"/>
                <w:sz w:val="21"/>
                <w:szCs w:val="21"/>
                <w:lang w:eastAsia="zh-CN"/>
                <w14:textFill>
                  <w14:solidFill>
                    <w14:schemeClr w14:val="tx1"/>
                  </w14:solidFill>
                </w14:textFill>
              </w:rPr>
              <w:t>原辅材料</w:t>
            </w:r>
            <w:r>
              <w:rPr>
                <w:rFonts w:hint="eastAsia" w:ascii="宋体" w:hAnsi="宋体" w:eastAsia="宋体" w:cs="宋体"/>
                <w:b/>
                <w:color w:val="000000" w:themeColor="text1"/>
                <w:spacing w:val="8"/>
                <w:sz w:val="21"/>
                <w:szCs w:val="21"/>
                <w14:textFill>
                  <w14:solidFill>
                    <w14:schemeClr w14:val="tx1"/>
                  </w14:solidFill>
                </w14:textFill>
              </w:rPr>
              <w:t>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25"/>
              <w:gridCol w:w="1266"/>
              <w:gridCol w:w="1104"/>
              <w:gridCol w:w="1353"/>
              <w:gridCol w:w="1353"/>
            </w:tblGrid>
            <w:tr w14:paraId="6831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Align w:val="center"/>
                </w:tcPr>
                <w:p w14:paraId="50E04D08">
                  <w:pPr>
                    <w:jc w:val="center"/>
                    <w:rPr>
                      <w:rFonts w:hint="default" w:eastAsiaTheme="minorEastAsia"/>
                      <w:vertAlign w:val="baseline"/>
                      <w:lang w:val="en-US" w:eastAsia="zh-CN"/>
                    </w:rPr>
                  </w:pPr>
                  <w:r>
                    <w:rPr>
                      <w:rFonts w:hint="eastAsia"/>
                      <w:vertAlign w:val="baseline"/>
                      <w:lang w:val="en-US" w:eastAsia="zh-CN"/>
                    </w:rPr>
                    <w:t>类别</w:t>
                  </w:r>
                </w:p>
              </w:tc>
              <w:tc>
                <w:tcPr>
                  <w:tcW w:w="1237" w:type="pct"/>
                  <w:vAlign w:val="center"/>
                </w:tcPr>
                <w:p w14:paraId="2049C289">
                  <w:pPr>
                    <w:jc w:val="center"/>
                    <w:rPr>
                      <w:rFonts w:hint="eastAsia" w:eastAsiaTheme="minorEastAsia"/>
                      <w:vertAlign w:val="baseline"/>
                      <w:lang w:val="en-US" w:eastAsia="zh-CN"/>
                    </w:rPr>
                  </w:pPr>
                  <w:r>
                    <w:rPr>
                      <w:rFonts w:hint="eastAsia"/>
                      <w:vertAlign w:val="baseline"/>
                      <w:lang w:val="en-US" w:eastAsia="zh-CN"/>
                    </w:rPr>
                    <w:t>名称</w:t>
                  </w:r>
                </w:p>
              </w:tc>
              <w:tc>
                <w:tcPr>
                  <w:tcW w:w="773" w:type="pct"/>
                  <w:vAlign w:val="center"/>
                </w:tcPr>
                <w:p w14:paraId="7F960EB4">
                  <w:pPr>
                    <w:jc w:val="center"/>
                    <w:rPr>
                      <w:rFonts w:hint="default" w:eastAsiaTheme="minorEastAsia"/>
                      <w:vertAlign w:val="baseline"/>
                      <w:lang w:val="en-US" w:eastAsia="zh-CN"/>
                    </w:rPr>
                  </w:pPr>
                  <w:r>
                    <w:rPr>
                      <w:rFonts w:hint="eastAsia"/>
                      <w:vertAlign w:val="baseline"/>
                      <w:lang w:val="en-US" w:eastAsia="zh-CN"/>
                    </w:rPr>
                    <w:t>单位/规格</w:t>
                  </w:r>
                </w:p>
              </w:tc>
              <w:tc>
                <w:tcPr>
                  <w:tcW w:w="674" w:type="pct"/>
                  <w:vAlign w:val="center"/>
                </w:tcPr>
                <w:p w14:paraId="5F2CAEC4">
                  <w:pPr>
                    <w:jc w:val="center"/>
                    <w:rPr>
                      <w:rFonts w:hint="default" w:eastAsiaTheme="minorEastAsia"/>
                      <w:vertAlign w:val="baseline"/>
                      <w:lang w:val="en-US" w:eastAsia="zh-CN"/>
                    </w:rPr>
                  </w:pPr>
                  <w:r>
                    <w:rPr>
                      <w:rFonts w:hint="eastAsia"/>
                      <w:vertAlign w:val="baseline"/>
                      <w:lang w:val="en-US" w:eastAsia="zh-CN"/>
                    </w:rPr>
                    <w:t>年消耗量</w:t>
                  </w:r>
                </w:p>
              </w:tc>
              <w:tc>
                <w:tcPr>
                  <w:tcW w:w="826" w:type="pct"/>
                  <w:vAlign w:val="center"/>
                </w:tcPr>
                <w:p w14:paraId="5869045F">
                  <w:pPr>
                    <w:jc w:val="center"/>
                    <w:rPr>
                      <w:rFonts w:hint="eastAsia" w:eastAsiaTheme="minorEastAsia"/>
                      <w:vertAlign w:val="baseline"/>
                      <w:lang w:val="en-US" w:eastAsia="zh-CN"/>
                    </w:rPr>
                  </w:pPr>
                  <w:r>
                    <w:rPr>
                      <w:rFonts w:hint="eastAsia"/>
                      <w:vertAlign w:val="baseline"/>
                      <w:lang w:val="en-US" w:eastAsia="zh-CN"/>
                    </w:rPr>
                    <w:t>来源</w:t>
                  </w:r>
                </w:p>
              </w:tc>
              <w:tc>
                <w:tcPr>
                  <w:tcW w:w="826" w:type="pct"/>
                  <w:vAlign w:val="center"/>
                </w:tcPr>
                <w:p w14:paraId="25C1BE4D">
                  <w:pPr>
                    <w:jc w:val="center"/>
                    <w:rPr>
                      <w:rFonts w:hint="eastAsia" w:eastAsiaTheme="minorEastAsia"/>
                      <w:vertAlign w:val="baseline"/>
                      <w:lang w:val="en-US" w:eastAsia="zh-CN"/>
                    </w:rPr>
                  </w:pPr>
                  <w:r>
                    <w:rPr>
                      <w:rFonts w:hint="eastAsia"/>
                      <w:vertAlign w:val="baseline"/>
                      <w:lang w:val="en-US" w:eastAsia="zh-CN"/>
                    </w:rPr>
                    <w:t>备注</w:t>
                  </w:r>
                </w:p>
              </w:tc>
            </w:tr>
            <w:tr w14:paraId="749B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vAlign w:val="center"/>
                </w:tcPr>
                <w:p w14:paraId="492D1CC6">
                  <w:pPr>
                    <w:jc w:val="center"/>
                    <w:rPr>
                      <w:rFonts w:hint="default" w:eastAsiaTheme="minorEastAsia"/>
                      <w:vertAlign w:val="baseline"/>
                      <w:lang w:val="en-US" w:eastAsia="zh-CN"/>
                    </w:rPr>
                  </w:pPr>
                  <w:r>
                    <w:rPr>
                      <w:rFonts w:hint="eastAsia"/>
                      <w:vertAlign w:val="baseline"/>
                      <w:lang w:val="en-US" w:eastAsia="zh-CN"/>
                    </w:rPr>
                    <w:t>医疗耗材</w:t>
                  </w:r>
                </w:p>
              </w:tc>
              <w:tc>
                <w:tcPr>
                  <w:tcW w:w="1237" w:type="pct"/>
                  <w:vAlign w:val="center"/>
                </w:tcPr>
                <w:p w14:paraId="43F8F8C5">
                  <w:pPr>
                    <w:jc w:val="center"/>
                    <w:rPr>
                      <w:rFonts w:hint="default" w:eastAsiaTheme="minorEastAsia"/>
                      <w:vertAlign w:val="baseline"/>
                      <w:lang w:val="en-US" w:eastAsia="zh-CN"/>
                    </w:rPr>
                  </w:pPr>
                  <w:r>
                    <w:rPr>
                      <w:rFonts w:hint="eastAsia"/>
                      <w:vertAlign w:val="baseline"/>
                      <w:lang w:val="en-US" w:eastAsia="zh-CN"/>
                    </w:rPr>
                    <w:t>一次性空针、输液管</w:t>
                  </w:r>
                </w:p>
              </w:tc>
              <w:tc>
                <w:tcPr>
                  <w:tcW w:w="773" w:type="pct"/>
                  <w:vAlign w:val="center"/>
                </w:tcPr>
                <w:p w14:paraId="61726BA9">
                  <w:pPr>
                    <w:jc w:val="center"/>
                    <w:rPr>
                      <w:rFonts w:hint="eastAsia" w:eastAsiaTheme="minorEastAsia"/>
                      <w:vertAlign w:val="baseline"/>
                      <w:lang w:val="en-US" w:eastAsia="zh-CN"/>
                    </w:rPr>
                  </w:pPr>
                  <w:r>
                    <w:rPr>
                      <w:rFonts w:hint="eastAsia"/>
                      <w:vertAlign w:val="baseline"/>
                      <w:lang w:val="en-US" w:eastAsia="zh-CN"/>
                    </w:rPr>
                    <w:t>具</w:t>
                  </w:r>
                </w:p>
              </w:tc>
              <w:tc>
                <w:tcPr>
                  <w:tcW w:w="674" w:type="pct"/>
                  <w:vAlign w:val="center"/>
                </w:tcPr>
                <w:p w14:paraId="5A204B01">
                  <w:pPr>
                    <w:jc w:val="center"/>
                    <w:rPr>
                      <w:rFonts w:hint="default" w:eastAsiaTheme="minorEastAsia"/>
                      <w:vertAlign w:val="baseline"/>
                      <w:lang w:val="en-US" w:eastAsia="zh-CN"/>
                    </w:rPr>
                  </w:pPr>
                  <w:r>
                    <w:rPr>
                      <w:rFonts w:hint="eastAsia"/>
                      <w:vertAlign w:val="baseline"/>
                      <w:lang w:val="en-US" w:eastAsia="zh-CN"/>
                    </w:rPr>
                    <w:t>500</w:t>
                  </w:r>
                </w:p>
              </w:tc>
              <w:tc>
                <w:tcPr>
                  <w:tcW w:w="826" w:type="pct"/>
                  <w:vAlign w:val="center"/>
                </w:tcPr>
                <w:p w14:paraId="34CEB919">
                  <w:pPr>
                    <w:jc w:val="center"/>
                    <w:rPr>
                      <w:rFonts w:hint="eastAsia" w:eastAsia="宋体"/>
                      <w:vertAlign w:val="baseline"/>
                      <w:lang w:val="en-US" w:eastAsia="zh-CN"/>
                    </w:rPr>
                  </w:pPr>
                  <w:r>
                    <w:rPr>
                      <w:rFonts w:hint="eastAsia"/>
                      <w:vertAlign w:val="baseline"/>
                      <w:lang w:val="en-US" w:eastAsia="zh-CN"/>
                    </w:rPr>
                    <w:t>外购</w:t>
                  </w:r>
                </w:p>
              </w:tc>
              <w:tc>
                <w:tcPr>
                  <w:tcW w:w="826" w:type="pct"/>
                  <w:vAlign w:val="center"/>
                </w:tcPr>
                <w:p w14:paraId="6158CA91">
                  <w:pPr>
                    <w:jc w:val="center"/>
                    <w:rPr>
                      <w:vertAlign w:val="baseline"/>
                    </w:rPr>
                  </w:pPr>
                </w:p>
              </w:tc>
            </w:tr>
            <w:tr w14:paraId="2C6F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6B09BCDA">
                  <w:pPr>
                    <w:jc w:val="center"/>
                    <w:rPr>
                      <w:vertAlign w:val="baseline"/>
                    </w:rPr>
                  </w:pPr>
                </w:p>
              </w:tc>
              <w:tc>
                <w:tcPr>
                  <w:tcW w:w="1237" w:type="pct"/>
                  <w:vAlign w:val="center"/>
                </w:tcPr>
                <w:p w14:paraId="45CA2EB5">
                  <w:pPr>
                    <w:jc w:val="center"/>
                    <w:rPr>
                      <w:rFonts w:hint="default" w:eastAsiaTheme="minorEastAsia"/>
                      <w:vertAlign w:val="baseline"/>
                      <w:lang w:val="en-US" w:eastAsia="zh-CN"/>
                    </w:rPr>
                  </w:pPr>
                  <w:r>
                    <w:rPr>
                      <w:rFonts w:hint="eastAsia"/>
                      <w:vertAlign w:val="baseline"/>
                      <w:lang w:val="en-US" w:eastAsia="zh-CN"/>
                    </w:rPr>
                    <w:t>中单、小单被套</w:t>
                  </w:r>
                </w:p>
              </w:tc>
              <w:tc>
                <w:tcPr>
                  <w:tcW w:w="773" w:type="pct"/>
                  <w:vAlign w:val="center"/>
                </w:tcPr>
                <w:p w14:paraId="55190041">
                  <w:pPr>
                    <w:jc w:val="center"/>
                    <w:rPr>
                      <w:rFonts w:hint="eastAsia" w:eastAsiaTheme="minorEastAsia"/>
                      <w:vertAlign w:val="baseline"/>
                      <w:lang w:val="en-US" w:eastAsia="zh-CN"/>
                    </w:rPr>
                  </w:pPr>
                  <w:r>
                    <w:rPr>
                      <w:rFonts w:hint="eastAsia"/>
                      <w:vertAlign w:val="baseline"/>
                      <w:lang w:val="en-US" w:eastAsia="zh-CN"/>
                    </w:rPr>
                    <w:t>张</w:t>
                  </w:r>
                </w:p>
              </w:tc>
              <w:tc>
                <w:tcPr>
                  <w:tcW w:w="674" w:type="pct"/>
                  <w:vAlign w:val="center"/>
                </w:tcPr>
                <w:p w14:paraId="7D84AB63">
                  <w:pPr>
                    <w:jc w:val="center"/>
                    <w:rPr>
                      <w:rFonts w:hint="default" w:eastAsiaTheme="minorEastAsia"/>
                      <w:vertAlign w:val="baseline"/>
                      <w:lang w:val="en-US" w:eastAsia="zh-CN"/>
                    </w:rPr>
                  </w:pPr>
                  <w:r>
                    <w:rPr>
                      <w:rFonts w:hint="eastAsia"/>
                      <w:vertAlign w:val="baseline"/>
                      <w:lang w:val="en-US" w:eastAsia="zh-CN"/>
                    </w:rPr>
                    <w:t>10</w:t>
                  </w:r>
                </w:p>
              </w:tc>
              <w:tc>
                <w:tcPr>
                  <w:tcW w:w="826" w:type="pct"/>
                  <w:vAlign w:val="center"/>
                </w:tcPr>
                <w:p w14:paraId="44C19D1F">
                  <w:pPr>
                    <w:jc w:val="center"/>
                    <w:rPr>
                      <w:vertAlign w:val="baseline"/>
                    </w:rPr>
                  </w:pPr>
                  <w:r>
                    <w:rPr>
                      <w:rFonts w:hint="eastAsia"/>
                      <w:vertAlign w:val="baseline"/>
                      <w:lang w:val="en-US" w:eastAsia="zh-CN"/>
                    </w:rPr>
                    <w:t>外购</w:t>
                  </w:r>
                </w:p>
              </w:tc>
              <w:tc>
                <w:tcPr>
                  <w:tcW w:w="826" w:type="pct"/>
                  <w:vAlign w:val="center"/>
                </w:tcPr>
                <w:p w14:paraId="2D344778">
                  <w:pPr>
                    <w:jc w:val="center"/>
                    <w:rPr>
                      <w:vertAlign w:val="baseline"/>
                    </w:rPr>
                  </w:pPr>
                </w:p>
              </w:tc>
            </w:tr>
            <w:tr w14:paraId="4A0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050122FD">
                  <w:pPr>
                    <w:jc w:val="center"/>
                    <w:rPr>
                      <w:vertAlign w:val="baseline"/>
                    </w:rPr>
                  </w:pPr>
                </w:p>
              </w:tc>
              <w:tc>
                <w:tcPr>
                  <w:tcW w:w="1237" w:type="pct"/>
                  <w:vAlign w:val="center"/>
                </w:tcPr>
                <w:p w14:paraId="444AD78C">
                  <w:pPr>
                    <w:jc w:val="center"/>
                    <w:rPr>
                      <w:rFonts w:hint="default" w:eastAsiaTheme="minorEastAsia"/>
                      <w:vertAlign w:val="baseline"/>
                      <w:lang w:val="en-US" w:eastAsia="zh-CN"/>
                    </w:rPr>
                  </w:pPr>
                  <w:r>
                    <w:rPr>
                      <w:rFonts w:hint="eastAsia"/>
                      <w:vertAlign w:val="baseline"/>
                      <w:lang w:val="en-US" w:eastAsia="zh-CN"/>
                    </w:rPr>
                    <w:t>一次性尿袋、尿管</w:t>
                  </w:r>
                </w:p>
              </w:tc>
              <w:tc>
                <w:tcPr>
                  <w:tcW w:w="773" w:type="pct"/>
                  <w:vAlign w:val="center"/>
                </w:tcPr>
                <w:p w14:paraId="2D4A6133">
                  <w:pPr>
                    <w:jc w:val="center"/>
                    <w:rPr>
                      <w:rFonts w:hint="eastAsia" w:eastAsiaTheme="minorEastAsia"/>
                      <w:vertAlign w:val="baseline"/>
                      <w:lang w:val="en-US" w:eastAsia="zh-CN"/>
                    </w:rPr>
                  </w:pPr>
                  <w:r>
                    <w:rPr>
                      <w:rFonts w:hint="eastAsia"/>
                      <w:vertAlign w:val="baseline"/>
                      <w:lang w:val="en-US" w:eastAsia="zh-CN"/>
                    </w:rPr>
                    <w:t>个</w:t>
                  </w:r>
                </w:p>
              </w:tc>
              <w:tc>
                <w:tcPr>
                  <w:tcW w:w="674" w:type="pct"/>
                  <w:vAlign w:val="center"/>
                </w:tcPr>
                <w:p w14:paraId="4781940E">
                  <w:pPr>
                    <w:jc w:val="center"/>
                    <w:rPr>
                      <w:rFonts w:hint="eastAsia" w:eastAsiaTheme="minorEastAsia"/>
                      <w:vertAlign w:val="baseline"/>
                      <w:lang w:val="en-US" w:eastAsia="zh-CN"/>
                    </w:rPr>
                  </w:pPr>
                  <w:r>
                    <w:rPr>
                      <w:rFonts w:hint="eastAsia"/>
                      <w:vertAlign w:val="baseline"/>
                      <w:lang w:val="en-US" w:eastAsia="zh-CN"/>
                    </w:rPr>
                    <w:t>0</w:t>
                  </w:r>
                </w:p>
              </w:tc>
              <w:tc>
                <w:tcPr>
                  <w:tcW w:w="826" w:type="pct"/>
                  <w:vAlign w:val="center"/>
                </w:tcPr>
                <w:p w14:paraId="0412766C">
                  <w:pPr>
                    <w:jc w:val="center"/>
                    <w:rPr>
                      <w:vertAlign w:val="baseline"/>
                    </w:rPr>
                  </w:pPr>
                  <w:r>
                    <w:rPr>
                      <w:rFonts w:hint="eastAsia"/>
                      <w:vertAlign w:val="baseline"/>
                      <w:lang w:val="en-US" w:eastAsia="zh-CN"/>
                    </w:rPr>
                    <w:t>外购</w:t>
                  </w:r>
                </w:p>
              </w:tc>
              <w:tc>
                <w:tcPr>
                  <w:tcW w:w="826" w:type="pct"/>
                  <w:vAlign w:val="center"/>
                </w:tcPr>
                <w:p w14:paraId="1BC963DE">
                  <w:pPr>
                    <w:jc w:val="center"/>
                    <w:rPr>
                      <w:vertAlign w:val="baseline"/>
                    </w:rPr>
                  </w:pPr>
                </w:p>
              </w:tc>
            </w:tr>
            <w:tr w14:paraId="0A81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51F963DB">
                  <w:pPr>
                    <w:jc w:val="center"/>
                    <w:rPr>
                      <w:vertAlign w:val="baseline"/>
                    </w:rPr>
                  </w:pPr>
                </w:p>
              </w:tc>
              <w:tc>
                <w:tcPr>
                  <w:tcW w:w="1237" w:type="pct"/>
                  <w:vAlign w:val="center"/>
                </w:tcPr>
                <w:p w14:paraId="0AFA96C4">
                  <w:pPr>
                    <w:jc w:val="center"/>
                    <w:rPr>
                      <w:rFonts w:hint="default"/>
                      <w:vertAlign w:val="baseline"/>
                      <w:lang w:val="en-US" w:eastAsia="zh-CN"/>
                    </w:rPr>
                  </w:pPr>
                  <w:r>
                    <w:rPr>
                      <w:rFonts w:hint="eastAsia"/>
                      <w:vertAlign w:val="baseline"/>
                      <w:lang w:val="en-US" w:eastAsia="zh-CN"/>
                    </w:rPr>
                    <w:t>一次性手套</w:t>
                  </w:r>
                </w:p>
              </w:tc>
              <w:tc>
                <w:tcPr>
                  <w:tcW w:w="773" w:type="pct"/>
                  <w:vAlign w:val="center"/>
                </w:tcPr>
                <w:p w14:paraId="4615C37E">
                  <w:pPr>
                    <w:jc w:val="center"/>
                    <w:rPr>
                      <w:rFonts w:hint="eastAsia" w:eastAsiaTheme="minorEastAsia"/>
                      <w:vertAlign w:val="baseline"/>
                      <w:lang w:val="en-US" w:eastAsia="zh-CN"/>
                    </w:rPr>
                  </w:pPr>
                  <w:r>
                    <w:rPr>
                      <w:rFonts w:hint="eastAsia"/>
                      <w:vertAlign w:val="baseline"/>
                      <w:lang w:val="en-US" w:eastAsia="zh-CN"/>
                    </w:rPr>
                    <w:t>双</w:t>
                  </w:r>
                </w:p>
              </w:tc>
              <w:tc>
                <w:tcPr>
                  <w:tcW w:w="674" w:type="pct"/>
                  <w:vAlign w:val="center"/>
                </w:tcPr>
                <w:p w14:paraId="35C78F15">
                  <w:pPr>
                    <w:jc w:val="center"/>
                    <w:rPr>
                      <w:rFonts w:hint="default" w:eastAsiaTheme="minorEastAsia"/>
                      <w:vertAlign w:val="baseline"/>
                      <w:lang w:val="en-US" w:eastAsia="zh-CN"/>
                    </w:rPr>
                  </w:pPr>
                  <w:r>
                    <w:rPr>
                      <w:rFonts w:hint="eastAsia"/>
                      <w:vertAlign w:val="baseline"/>
                      <w:lang w:val="en-US" w:eastAsia="zh-CN"/>
                    </w:rPr>
                    <w:t>50</w:t>
                  </w:r>
                </w:p>
              </w:tc>
              <w:tc>
                <w:tcPr>
                  <w:tcW w:w="826" w:type="pct"/>
                  <w:vAlign w:val="center"/>
                </w:tcPr>
                <w:p w14:paraId="2AB108E9">
                  <w:pPr>
                    <w:jc w:val="center"/>
                    <w:rPr>
                      <w:vertAlign w:val="baseline"/>
                    </w:rPr>
                  </w:pPr>
                  <w:r>
                    <w:rPr>
                      <w:rFonts w:hint="eastAsia"/>
                      <w:vertAlign w:val="baseline"/>
                      <w:lang w:val="en-US" w:eastAsia="zh-CN"/>
                    </w:rPr>
                    <w:t>外购</w:t>
                  </w:r>
                </w:p>
              </w:tc>
              <w:tc>
                <w:tcPr>
                  <w:tcW w:w="826" w:type="pct"/>
                  <w:vAlign w:val="center"/>
                </w:tcPr>
                <w:p w14:paraId="2E95583E">
                  <w:pPr>
                    <w:jc w:val="center"/>
                    <w:rPr>
                      <w:vertAlign w:val="baseline"/>
                    </w:rPr>
                  </w:pPr>
                </w:p>
              </w:tc>
            </w:tr>
            <w:tr w14:paraId="2D58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5F2D9C2B">
                  <w:pPr>
                    <w:jc w:val="center"/>
                    <w:rPr>
                      <w:vertAlign w:val="baseline"/>
                    </w:rPr>
                  </w:pPr>
                </w:p>
              </w:tc>
              <w:tc>
                <w:tcPr>
                  <w:tcW w:w="1237" w:type="pct"/>
                  <w:vAlign w:val="center"/>
                </w:tcPr>
                <w:p w14:paraId="3B41FDAC">
                  <w:pPr>
                    <w:jc w:val="center"/>
                    <w:rPr>
                      <w:rFonts w:hint="default"/>
                      <w:vertAlign w:val="baseline"/>
                      <w:lang w:val="en-US" w:eastAsia="zh-CN"/>
                    </w:rPr>
                  </w:pPr>
                  <w:r>
                    <w:rPr>
                      <w:rFonts w:hint="eastAsia"/>
                      <w:vertAlign w:val="baseline"/>
                      <w:lang w:val="en-US" w:eastAsia="zh-CN"/>
                    </w:rPr>
                    <w:t>胶带</w:t>
                  </w:r>
                </w:p>
              </w:tc>
              <w:tc>
                <w:tcPr>
                  <w:tcW w:w="773" w:type="pct"/>
                  <w:vAlign w:val="center"/>
                </w:tcPr>
                <w:p w14:paraId="3672DD32">
                  <w:pPr>
                    <w:jc w:val="center"/>
                    <w:rPr>
                      <w:rFonts w:hint="default"/>
                      <w:vertAlign w:val="baseline"/>
                      <w:lang w:val="en-US" w:eastAsia="zh-CN"/>
                    </w:rPr>
                  </w:pPr>
                  <w:r>
                    <w:rPr>
                      <w:rFonts w:hint="eastAsia"/>
                      <w:vertAlign w:val="baseline"/>
                      <w:lang w:val="en-US" w:eastAsia="zh-CN"/>
                    </w:rPr>
                    <w:t>个</w:t>
                  </w:r>
                </w:p>
              </w:tc>
              <w:tc>
                <w:tcPr>
                  <w:tcW w:w="674" w:type="pct"/>
                  <w:vAlign w:val="center"/>
                </w:tcPr>
                <w:p w14:paraId="6CCC7E63">
                  <w:pPr>
                    <w:jc w:val="center"/>
                    <w:rPr>
                      <w:rFonts w:hint="eastAsia" w:eastAsiaTheme="minorEastAsia"/>
                      <w:vertAlign w:val="baseline"/>
                      <w:lang w:val="en-US" w:eastAsia="zh-CN"/>
                    </w:rPr>
                  </w:pPr>
                  <w:r>
                    <w:rPr>
                      <w:rFonts w:hint="eastAsia"/>
                      <w:vertAlign w:val="baseline"/>
                      <w:lang w:val="en-US" w:eastAsia="zh-CN"/>
                    </w:rPr>
                    <w:t>30盒</w:t>
                  </w:r>
                </w:p>
              </w:tc>
              <w:tc>
                <w:tcPr>
                  <w:tcW w:w="826" w:type="pct"/>
                  <w:vAlign w:val="center"/>
                </w:tcPr>
                <w:p w14:paraId="51DEE1A2">
                  <w:pPr>
                    <w:jc w:val="center"/>
                    <w:rPr>
                      <w:vertAlign w:val="baseline"/>
                    </w:rPr>
                  </w:pPr>
                  <w:r>
                    <w:rPr>
                      <w:rFonts w:hint="eastAsia"/>
                      <w:vertAlign w:val="baseline"/>
                      <w:lang w:val="en-US" w:eastAsia="zh-CN"/>
                    </w:rPr>
                    <w:t>外购</w:t>
                  </w:r>
                </w:p>
              </w:tc>
              <w:tc>
                <w:tcPr>
                  <w:tcW w:w="826" w:type="pct"/>
                  <w:vAlign w:val="center"/>
                </w:tcPr>
                <w:p w14:paraId="754720A9">
                  <w:pPr>
                    <w:jc w:val="center"/>
                    <w:rPr>
                      <w:vertAlign w:val="baseline"/>
                    </w:rPr>
                  </w:pPr>
                </w:p>
              </w:tc>
            </w:tr>
            <w:tr w14:paraId="0BC9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0337A697">
                  <w:pPr>
                    <w:jc w:val="center"/>
                    <w:rPr>
                      <w:vertAlign w:val="baseline"/>
                    </w:rPr>
                  </w:pPr>
                </w:p>
              </w:tc>
              <w:tc>
                <w:tcPr>
                  <w:tcW w:w="1237" w:type="pct"/>
                  <w:vAlign w:val="center"/>
                </w:tcPr>
                <w:p w14:paraId="525394CB">
                  <w:pPr>
                    <w:jc w:val="center"/>
                    <w:rPr>
                      <w:rFonts w:hint="default"/>
                      <w:vertAlign w:val="baseline"/>
                      <w:lang w:val="en-US" w:eastAsia="zh-CN"/>
                    </w:rPr>
                  </w:pPr>
                  <w:r>
                    <w:rPr>
                      <w:rFonts w:hint="eastAsia"/>
                      <w:vertAlign w:val="baseline"/>
                      <w:lang w:val="en-US" w:eastAsia="zh-CN"/>
                    </w:rPr>
                    <w:t>棉签</w:t>
                  </w:r>
                </w:p>
              </w:tc>
              <w:tc>
                <w:tcPr>
                  <w:tcW w:w="773" w:type="pct"/>
                  <w:vAlign w:val="center"/>
                </w:tcPr>
                <w:p w14:paraId="13CC1E78">
                  <w:pPr>
                    <w:jc w:val="center"/>
                    <w:rPr>
                      <w:rFonts w:hint="default"/>
                      <w:vertAlign w:val="baseline"/>
                      <w:lang w:val="en-US" w:eastAsia="zh-CN"/>
                    </w:rPr>
                  </w:pPr>
                  <w:r>
                    <w:rPr>
                      <w:rFonts w:hint="eastAsia"/>
                      <w:vertAlign w:val="baseline"/>
                      <w:lang w:val="en-US" w:eastAsia="zh-CN"/>
                    </w:rPr>
                    <w:t>包</w:t>
                  </w:r>
                </w:p>
              </w:tc>
              <w:tc>
                <w:tcPr>
                  <w:tcW w:w="674" w:type="pct"/>
                  <w:vAlign w:val="center"/>
                </w:tcPr>
                <w:p w14:paraId="2BB00F19">
                  <w:pPr>
                    <w:jc w:val="center"/>
                    <w:rPr>
                      <w:rFonts w:hint="default" w:eastAsiaTheme="minorEastAsia"/>
                      <w:vertAlign w:val="baseline"/>
                      <w:lang w:val="en-US" w:eastAsia="zh-CN"/>
                    </w:rPr>
                  </w:pPr>
                  <w:r>
                    <w:rPr>
                      <w:rFonts w:hint="eastAsia"/>
                      <w:vertAlign w:val="baseline"/>
                      <w:lang w:val="en-US" w:eastAsia="zh-CN"/>
                    </w:rPr>
                    <w:t>60</w:t>
                  </w:r>
                </w:p>
              </w:tc>
              <w:tc>
                <w:tcPr>
                  <w:tcW w:w="826" w:type="pct"/>
                  <w:vAlign w:val="center"/>
                </w:tcPr>
                <w:p w14:paraId="6C64A8B1">
                  <w:pPr>
                    <w:jc w:val="center"/>
                    <w:rPr>
                      <w:vertAlign w:val="baseline"/>
                    </w:rPr>
                  </w:pPr>
                  <w:r>
                    <w:rPr>
                      <w:rFonts w:hint="eastAsia"/>
                      <w:vertAlign w:val="baseline"/>
                      <w:lang w:val="en-US" w:eastAsia="zh-CN"/>
                    </w:rPr>
                    <w:t>外购</w:t>
                  </w:r>
                </w:p>
              </w:tc>
              <w:tc>
                <w:tcPr>
                  <w:tcW w:w="826" w:type="pct"/>
                  <w:vAlign w:val="center"/>
                </w:tcPr>
                <w:p w14:paraId="6625C5FC">
                  <w:pPr>
                    <w:jc w:val="center"/>
                    <w:rPr>
                      <w:vertAlign w:val="baseline"/>
                    </w:rPr>
                  </w:pPr>
                </w:p>
              </w:tc>
            </w:tr>
            <w:tr w14:paraId="7096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vAlign w:val="center"/>
                </w:tcPr>
                <w:p w14:paraId="26C5142F">
                  <w:pPr>
                    <w:jc w:val="center"/>
                    <w:rPr>
                      <w:rFonts w:hint="default" w:eastAsiaTheme="minorEastAsia"/>
                      <w:vertAlign w:val="baseline"/>
                      <w:lang w:val="en-US" w:eastAsia="zh-CN"/>
                    </w:rPr>
                  </w:pPr>
                  <w:r>
                    <w:rPr>
                      <w:rFonts w:hint="eastAsia"/>
                      <w:vertAlign w:val="baseline"/>
                      <w:lang w:val="en-US" w:eastAsia="zh-CN"/>
                    </w:rPr>
                    <w:t>消毒剂</w:t>
                  </w:r>
                </w:p>
              </w:tc>
              <w:tc>
                <w:tcPr>
                  <w:tcW w:w="1237" w:type="pct"/>
                  <w:vAlign w:val="center"/>
                </w:tcPr>
                <w:p w14:paraId="49F88321">
                  <w:pPr>
                    <w:jc w:val="center"/>
                    <w:rPr>
                      <w:rFonts w:hint="default"/>
                      <w:vertAlign w:val="baseline"/>
                      <w:lang w:val="en-US" w:eastAsia="zh-CN"/>
                    </w:rPr>
                  </w:pPr>
                  <w:r>
                    <w:rPr>
                      <w:rFonts w:hint="eastAsia"/>
                      <w:vertAlign w:val="baseline"/>
                      <w:lang w:val="en-US" w:eastAsia="zh-CN"/>
                    </w:rPr>
                    <w:t>碘酒</w:t>
                  </w:r>
                </w:p>
              </w:tc>
              <w:tc>
                <w:tcPr>
                  <w:tcW w:w="773" w:type="pct"/>
                  <w:vAlign w:val="center"/>
                </w:tcPr>
                <w:p w14:paraId="77493889">
                  <w:pPr>
                    <w:jc w:val="center"/>
                    <w:rPr>
                      <w:rFonts w:hint="default"/>
                      <w:vertAlign w:val="baseline"/>
                      <w:lang w:val="en-US" w:eastAsia="zh-CN"/>
                    </w:rPr>
                  </w:pPr>
                  <w:r>
                    <w:rPr>
                      <w:rFonts w:hint="eastAsia"/>
                      <w:vertAlign w:val="baseline"/>
                      <w:lang w:val="en-US" w:eastAsia="zh-CN"/>
                    </w:rPr>
                    <w:t>ml/瓶</w:t>
                  </w:r>
                </w:p>
              </w:tc>
              <w:tc>
                <w:tcPr>
                  <w:tcW w:w="674" w:type="pct"/>
                  <w:vAlign w:val="center"/>
                </w:tcPr>
                <w:p w14:paraId="0C1D5368">
                  <w:pPr>
                    <w:jc w:val="center"/>
                    <w:rPr>
                      <w:rFonts w:hint="default" w:eastAsiaTheme="minorEastAsia"/>
                      <w:vertAlign w:val="baseline"/>
                      <w:lang w:val="en-US" w:eastAsia="zh-CN"/>
                    </w:rPr>
                  </w:pPr>
                  <w:r>
                    <w:rPr>
                      <w:rFonts w:hint="eastAsia"/>
                      <w:vertAlign w:val="baseline"/>
                      <w:lang w:val="en-US" w:eastAsia="zh-CN"/>
                    </w:rPr>
                    <w:t>80</w:t>
                  </w:r>
                </w:p>
              </w:tc>
              <w:tc>
                <w:tcPr>
                  <w:tcW w:w="826" w:type="pct"/>
                  <w:vAlign w:val="center"/>
                </w:tcPr>
                <w:p w14:paraId="1A873926">
                  <w:pPr>
                    <w:jc w:val="center"/>
                    <w:rPr>
                      <w:vertAlign w:val="baseline"/>
                    </w:rPr>
                  </w:pPr>
                  <w:r>
                    <w:rPr>
                      <w:rFonts w:hint="eastAsia"/>
                      <w:vertAlign w:val="baseline"/>
                      <w:lang w:val="en-US" w:eastAsia="zh-CN"/>
                    </w:rPr>
                    <w:t>外购</w:t>
                  </w:r>
                </w:p>
              </w:tc>
              <w:tc>
                <w:tcPr>
                  <w:tcW w:w="826" w:type="pct"/>
                  <w:vAlign w:val="center"/>
                </w:tcPr>
                <w:p w14:paraId="54B401DD">
                  <w:pPr>
                    <w:jc w:val="center"/>
                    <w:rPr>
                      <w:vertAlign w:val="baseline"/>
                    </w:rPr>
                  </w:pPr>
                </w:p>
              </w:tc>
            </w:tr>
            <w:tr w14:paraId="5C38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472A54E3">
                  <w:pPr>
                    <w:jc w:val="center"/>
                    <w:rPr>
                      <w:rFonts w:hint="eastAsia"/>
                      <w:vertAlign w:val="baseline"/>
                      <w:lang w:val="en-US" w:eastAsia="zh-CN"/>
                    </w:rPr>
                  </w:pPr>
                </w:p>
              </w:tc>
              <w:tc>
                <w:tcPr>
                  <w:tcW w:w="1237" w:type="pct"/>
                  <w:vAlign w:val="center"/>
                </w:tcPr>
                <w:p w14:paraId="0255B26F">
                  <w:pPr>
                    <w:jc w:val="center"/>
                    <w:rPr>
                      <w:rFonts w:hint="default"/>
                      <w:vertAlign w:val="baseline"/>
                      <w:lang w:val="en-US" w:eastAsia="zh-CN"/>
                    </w:rPr>
                  </w:pPr>
                  <w:r>
                    <w:rPr>
                      <w:rFonts w:hint="eastAsia"/>
                      <w:vertAlign w:val="baseline"/>
                      <w:lang w:val="en-US" w:eastAsia="zh-CN"/>
                    </w:rPr>
                    <w:t>酒精</w:t>
                  </w:r>
                </w:p>
              </w:tc>
              <w:tc>
                <w:tcPr>
                  <w:tcW w:w="773" w:type="pct"/>
                  <w:vAlign w:val="center"/>
                </w:tcPr>
                <w:p w14:paraId="4D21D78A">
                  <w:pPr>
                    <w:jc w:val="center"/>
                    <w:rPr>
                      <w:rFonts w:hint="eastAsia"/>
                      <w:vertAlign w:val="baseline"/>
                      <w:lang w:val="en-US" w:eastAsia="zh-CN"/>
                    </w:rPr>
                  </w:pPr>
                  <w:r>
                    <w:rPr>
                      <w:rFonts w:hint="eastAsia"/>
                      <w:vertAlign w:val="baseline"/>
                      <w:lang w:val="en-US" w:eastAsia="zh-CN"/>
                    </w:rPr>
                    <w:t>ml/瓶</w:t>
                  </w:r>
                </w:p>
              </w:tc>
              <w:tc>
                <w:tcPr>
                  <w:tcW w:w="674" w:type="pct"/>
                  <w:vAlign w:val="center"/>
                </w:tcPr>
                <w:p w14:paraId="5D8E0BAD">
                  <w:pPr>
                    <w:jc w:val="center"/>
                    <w:rPr>
                      <w:rFonts w:hint="default" w:eastAsiaTheme="minorEastAsia"/>
                      <w:vertAlign w:val="baseline"/>
                      <w:lang w:val="en-US" w:eastAsia="zh-CN"/>
                    </w:rPr>
                  </w:pPr>
                  <w:r>
                    <w:rPr>
                      <w:rFonts w:hint="eastAsia"/>
                      <w:vertAlign w:val="baseline"/>
                      <w:lang w:val="en-US" w:eastAsia="zh-CN"/>
                    </w:rPr>
                    <w:t>10</w:t>
                  </w:r>
                </w:p>
              </w:tc>
              <w:tc>
                <w:tcPr>
                  <w:tcW w:w="826" w:type="pct"/>
                  <w:vAlign w:val="center"/>
                </w:tcPr>
                <w:p w14:paraId="76C7B85D">
                  <w:pPr>
                    <w:jc w:val="center"/>
                    <w:rPr>
                      <w:vertAlign w:val="baseline"/>
                    </w:rPr>
                  </w:pPr>
                  <w:r>
                    <w:rPr>
                      <w:rFonts w:hint="eastAsia"/>
                      <w:vertAlign w:val="baseline"/>
                      <w:lang w:val="en-US" w:eastAsia="zh-CN"/>
                    </w:rPr>
                    <w:t>外购</w:t>
                  </w:r>
                </w:p>
              </w:tc>
              <w:tc>
                <w:tcPr>
                  <w:tcW w:w="826" w:type="pct"/>
                  <w:vAlign w:val="center"/>
                </w:tcPr>
                <w:p w14:paraId="6F5CC7E6">
                  <w:pPr>
                    <w:jc w:val="center"/>
                    <w:rPr>
                      <w:vertAlign w:val="baseline"/>
                    </w:rPr>
                  </w:pPr>
                </w:p>
              </w:tc>
            </w:tr>
            <w:tr w14:paraId="3369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14D10D8B">
                  <w:pPr>
                    <w:jc w:val="center"/>
                    <w:rPr>
                      <w:rFonts w:hint="eastAsia"/>
                      <w:vertAlign w:val="baseline"/>
                      <w:lang w:val="en-US" w:eastAsia="zh-CN"/>
                    </w:rPr>
                  </w:pPr>
                </w:p>
              </w:tc>
              <w:tc>
                <w:tcPr>
                  <w:tcW w:w="1237" w:type="pct"/>
                  <w:vAlign w:val="center"/>
                </w:tcPr>
                <w:p w14:paraId="1C83B86B">
                  <w:pPr>
                    <w:jc w:val="center"/>
                    <w:rPr>
                      <w:rFonts w:hint="default"/>
                      <w:vertAlign w:val="baseline"/>
                      <w:lang w:val="en-US" w:eastAsia="zh-CN"/>
                    </w:rPr>
                  </w:pPr>
                  <w:r>
                    <w:rPr>
                      <w:rFonts w:hint="eastAsia"/>
                      <w:vertAlign w:val="baseline"/>
                      <w:lang w:val="en-US" w:eastAsia="zh-CN"/>
                    </w:rPr>
                    <w:t>84消毒液</w:t>
                  </w:r>
                </w:p>
              </w:tc>
              <w:tc>
                <w:tcPr>
                  <w:tcW w:w="773" w:type="pct"/>
                  <w:vAlign w:val="center"/>
                </w:tcPr>
                <w:p w14:paraId="073F1F66">
                  <w:pPr>
                    <w:jc w:val="center"/>
                    <w:rPr>
                      <w:rFonts w:hint="eastAsia"/>
                      <w:vertAlign w:val="baseline"/>
                      <w:lang w:val="en-US" w:eastAsia="zh-CN"/>
                    </w:rPr>
                  </w:pPr>
                  <w:r>
                    <w:rPr>
                      <w:rFonts w:hint="eastAsia"/>
                      <w:vertAlign w:val="baseline"/>
                      <w:lang w:val="en-US" w:eastAsia="zh-CN"/>
                    </w:rPr>
                    <w:t>ml/瓶</w:t>
                  </w:r>
                </w:p>
              </w:tc>
              <w:tc>
                <w:tcPr>
                  <w:tcW w:w="674" w:type="pct"/>
                  <w:vAlign w:val="center"/>
                </w:tcPr>
                <w:p w14:paraId="42D5A8D8">
                  <w:pPr>
                    <w:jc w:val="center"/>
                    <w:rPr>
                      <w:rFonts w:hint="default" w:eastAsiaTheme="minorEastAsia"/>
                      <w:vertAlign w:val="baseline"/>
                      <w:lang w:val="en-US" w:eastAsia="zh-CN"/>
                    </w:rPr>
                  </w:pPr>
                  <w:r>
                    <w:rPr>
                      <w:rFonts w:hint="eastAsia"/>
                      <w:vertAlign w:val="baseline"/>
                      <w:lang w:val="en-US" w:eastAsia="zh-CN"/>
                    </w:rPr>
                    <w:t>108</w:t>
                  </w:r>
                </w:p>
              </w:tc>
              <w:tc>
                <w:tcPr>
                  <w:tcW w:w="826" w:type="pct"/>
                  <w:vAlign w:val="center"/>
                </w:tcPr>
                <w:p w14:paraId="1E92244F">
                  <w:pPr>
                    <w:jc w:val="center"/>
                    <w:rPr>
                      <w:vertAlign w:val="baseline"/>
                    </w:rPr>
                  </w:pPr>
                  <w:r>
                    <w:rPr>
                      <w:rFonts w:hint="eastAsia"/>
                      <w:vertAlign w:val="baseline"/>
                      <w:lang w:val="en-US" w:eastAsia="zh-CN"/>
                    </w:rPr>
                    <w:t>外购</w:t>
                  </w:r>
                </w:p>
              </w:tc>
              <w:tc>
                <w:tcPr>
                  <w:tcW w:w="826" w:type="pct"/>
                  <w:vAlign w:val="center"/>
                </w:tcPr>
                <w:p w14:paraId="7B973CEF">
                  <w:pPr>
                    <w:jc w:val="center"/>
                    <w:rPr>
                      <w:vertAlign w:val="baseline"/>
                    </w:rPr>
                  </w:pPr>
                </w:p>
              </w:tc>
            </w:tr>
            <w:tr w14:paraId="403C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BDB39C8">
                  <w:pPr>
                    <w:jc w:val="center"/>
                    <w:rPr>
                      <w:rFonts w:hint="eastAsia"/>
                      <w:vertAlign w:val="baseline"/>
                      <w:lang w:val="en-US" w:eastAsia="zh-CN"/>
                    </w:rPr>
                  </w:pPr>
                </w:p>
              </w:tc>
              <w:tc>
                <w:tcPr>
                  <w:tcW w:w="1237" w:type="pct"/>
                  <w:vAlign w:val="center"/>
                </w:tcPr>
                <w:p w14:paraId="592D2DDD">
                  <w:pPr>
                    <w:jc w:val="center"/>
                    <w:rPr>
                      <w:rFonts w:hint="default"/>
                      <w:vertAlign w:val="baseline"/>
                      <w:lang w:val="en-US" w:eastAsia="zh-CN"/>
                    </w:rPr>
                  </w:pPr>
                  <w:r>
                    <w:rPr>
                      <w:rFonts w:hint="eastAsia"/>
                      <w:vertAlign w:val="baseline"/>
                      <w:lang w:val="en-US" w:eastAsia="zh-CN"/>
                    </w:rPr>
                    <w:t>医用双氧水</w:t>
                  </w:r>
                </w:p>
              </w:tc>
              <w:tc>
                <w:tcPr>
                  <w:tcW w:w="773" w:type="pct"/>
                  <w:vAlign w:val="center"/>
                </w:tcPr>
                <w:p w14:paraId="2D17E4FB">
                  <w:pPr>
                    <w:jc w:val="center"/>
                    <w:rPr>
                      <w:rFonts w:hint="eastAsia"/>
                      <w:vertAlign w:val="baseline"/>
                      <w:lang w:val="en-US" w:eastAsia="zh-CN"/>
                    </w:rPr>
                  </w:pPr>
                  <w:r>
                    <w:rPr>
                      <w:rFonts w:hint="eastAsia"/>
                      <w:vertAlign w:val="baseline"/>
                      <w:lang w:val="en-US" w:eastAsia="zh-CN"/>
                    </w:rPr>
                    <w:t>ml/瓶</w:t>
                  </w:r>
                </w:p>
              </w:tc>
              <w:tc>
                <w:tcPr>
                  <w:tcW w:w="674" w:type="pct"/>
                  <w:vAlign w:val="center"/>
                </w:tcPr>
                <w:p w14:paraId="27C88A68">
                  <w:pPr>
                    <w:jc w:val="center"/>
                    <w:rPr>
                      <w:rFonts w:hint="default"/>
                      <w:vertAlign w:val="baseline"/>
                      <w:lang w:val="en-US" w:eastAsia="zh-CN"/>
                    </w:rPr>
                  </w:pPr>
                  <w:r>
                    <w:rPr>
                      <w:rFonts w:hint="eastAsia"/>
                      <w:vertAlign w:val="baseline"/>
                      <w:lang w:val="en-US" w:eastAsia="zh-CN"/>
                    </w:rPr>
                    <w:t>50</w:t>
                  </w:r>
                </w:p>
              </w:tc>
              <w:tc>
                <w:tcPr>
                  <w:tcW w:w="826" w:type="pct"/>
                  <w:vAlign w:val="center"/>
                </w:tcPr>
                <w:p w14:paraId="02372682">
                  <w:pPr>
                    <w:jc w:val="center"/>
                    <w:rPr>
                      <w:rFonts w:hint="default"/>
                      <w:vertAlign w:val="baseline"/>
                      <w:lang w:val="en-US" w:eastAsia="zh-CN"/>
                    </w:rPr>
                  </w:pPr>
                  <w:r>
                    <w:rPr>
                      <w:rFonts w:hint="eastAsia"/>
                      <w:vertAlign w:val="baseline"/>
                      <w:lang w:val="en-US" w:eastAsia="zh-CN"/>
                    </w:rPr>
                    <w:t>外购</w:t>
                  </w:r>
                </w:p>
              </w:tc>
              <w:tc>
                <w:tcPr>
                  <w:tcW w:w="826" w:type="pct"/>
                  <w:vAlign w:val="center"/>
                </w:tcPr>
                <w:p w14:paraId="67C419CA">
                  <w:pPr>
                    <w:jc w:val="center"/>
                    <w:rPr>
                      <w:vertAlign w:val="baseline"/>
                    </w:rPr>
                  </w:pPr>
                </w:p>
              </w:tc>
            </w:tr>
            <w:tr w14:paraId="604F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vAlign w:val="center"/>
                </w:tcPr>
                <w:p w14:paraId="02A77BCF">
                  <w:pPr>
                    <w:jc w:val="center"/>
                    <w:rPr>
                      <w:rFonts w:hint="default"/>
                      <w:vertAlign w:val="baseline"/>
                      <w:lang w:val="en-US" w:eastAsia="zh-CN"/>
                    </w:rPr>
                  </w:pPr>
                  <w:r>
                    <w:rPr>
                      <w:rFonts w:hint="eastAsia"/>
                      <w:vertAlign w:val="baseline"/>
                      <w:lang w:val="en-US" w:eastAsia="zh-CN"/>
                    </w:rPr>
                    <w:t>药品</w:t>
                  </w:r>
                </w:p>
              </w:tc>
              <w:tc>
                <w:tcPr>
                  <w:tcW w:w="1237" w:type="pct"/>
                  <w:vAlign w:val="center"/>
                </w:tcPr>
                <w:p w14:paraId="009BC318">
                  <w:pPr>
                    <w:jc w:val="center"/>
                    <w:rPr>
                      <w:rFonts w:hint="default"/>
                      <w:vertAlign w:val="baseline"/>
                      <w:lang w:val="en-US" w:eastAsia="zh-CN"/>
                    </w:rPr>
                  </w:pPr>
                  <w:r>
                    <w:rPr>
                      <w:rFonts w:hint="eastAsia"/>
                      <w:vertAlign w:val="baseline"/>
                      <w:lang w:val="en-US" w:eastAsia="zh-CN"/>
                    </w:rPr>
                    <w:t>中成药</w:t>
                  </w:r>
                </w:p>
              </w:tc>
              <w:tc>
                <w:tcPr>
                  <w:tcW w:w="773" w:type="pct"/>
                  <w:vAlign w:val="center"/>
                </w:tcPr>
                <w:p w14:paraId="04B0AEEB">
                  <w:pPr>
                    <w:jc w:val="center"/>
                    <w:rPr>
                      <w:rFonts w:hint="default"/>
                      <w:vertAlign w:val="baseline"/>
                      <w:lang w:val="en-US" w:eastAsia="zh-CN"/>
                    </w:rPr>
                  </w:pPr>
                  <w:r>
                    <w:rPr>
                      <w:rFonts w:hint="eastAsia"/>
                      <w:vertAlign w:val="baseline"/>
                      <w:lang w:val="en-US" w:eastAsia="zh-CN"/>
                    </w:rPr>
                    <w:t>盒</w:t>
                  </w:r>
                </w:p>
              </w:tc>
              <w:tc>
                <w:tcPr>
                  <w:tcW w:w="674" w:type="pct"/>
                  <w:vAlign w:val="center"/>
                </w:tcPr>
                <w:p w14:paraId="02821DDE">
                  <w:pPr>
                    <w:jc w:val="center"/>
                    <w:rPr>
                      <w:rFonts w:hint="eastAsia" w:eastAsiaTheme="minorEastAsia"/>
                      <w:vertAlign w:val="baseline"/>
                      <w:lang w:val="en-US" w:eastAsia="zh-CN"/>
                    </w:rPr>
                  </w:pPr>
                  <w:r>
                    <w:rPr>
                      <w:rFonts w:hint="eastAsia"/>
                      <w:vertAlign w:val="baseline"/>
                      <w:lang w:val="en-US" w:eastAsia="zh-CN"/>
                    </w:rPr>
                    <w:t>若干</w:t>
                  </w:r>
                </w:p>
              </w:tc>
              <w:tc>
                <w:tcPr>
                  <w:tcW w:w="826" w:type="pct"/>
                  <w:vAlign w:val="center"/>
                </w:tcPr>
                <w:p w14:paraId="2CABB333">
                  <w:pPr>
                    <w:jc w:val="center"/>
                    <w:rPr>
                      <w:vertAlign w:val="baseline"/>
                    </w:rPr>
                  </w:pPr>
                  <w:r>
                    <w:rPr>
                      <w:rFonts w:hint="eastAsia"/>
                      <w:vertAlign w:val="baseline"/>
                      <w:lang w:val="en-US" w:eastAsia="zh-CN"/>
                    </w:rPr>
                    <w:t>外购</w:t>
                  </w:r>
                </w:p>
              </w:tc>
              <w:tc>
                <w:tcPr>
                  <w:tcW w:w="826" w:type="pct"/>
                  <w:vAlign w:val="center"/>
                </w:tcPr>
                <w:p w14:paraId="3925DD0D">
                  <w:pPr>
                    <w:jc w:val="center"/>
                    <w:rPr>
                      <w:vertAlign w:val="baseline"/>
                    </w:rPr>
                  </w:pPr>
                </w:p>
              </w:tc>
            </w:tr>
            <w:tr w14:paraId="6899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979E69A">
                  <w:pPr>
                    <w:jc w:val="center"/>
                    <w:rPr>
                      <w:rFonts w:hint="eastAsia"/>
                      <w:vertAlign w:val="baseline"/>
                      <w:lang w:val="en-US" w:eastAsia="zh-CN"/>
                    </w:rPr>
                  </w:pPr>
                </w:p>
              </w:tc>
              <w:tc>
                <w:tcPr>
                  <w:tcW w:w="1237" w:type="pct"/>
                  <w:vAlign w:val="center"/>
                </w:tcPr>
                <w:p w14:paraId="510EEF54">
                  <w:pPr>
                    <w:jc w:val="center"/>
                    <w:rPr>
                      <w:rFonts w:hint="default"/>
                      <w:vertAlign w:val="baseline"/>
                      <w:lang w:val="en-US" w:eastAsia="zh-CN"/>
                    </w:rPr>
                  </w:pPr>
                  <w:r>
                    <w:rPr>
                      <w:rFonts w:hint="eastAsia"/>
                      <w:vertAlign w:val="baseline"/>
                      <w:lang w:val="en-US" w:eastAsia="zh-CN"/>
                    </w:rPr>
                    <w:t>西药</w:t>
                  </w:r>
                </w:p>
              </w:tc>
              <w:tc>
                <w:tcPr>
                  <w:tcW w:w="773" w:type="pct"/>
                  <w:vAlign w:val="center"/>
                </w:tcPr>
                <w:p w14:paraId="3220F702">
                  <w:pPr>
                    <w:jc w:val="center"/>
                    <w:rPr>
                      <w:rFonts w:hint="default"/>
                      <w:vertAlign w:val="baseline"/>
                      <w:lang w:val="en-US" w:eastAsia="zh-CN"/>
                    </w:rPr>
                  </w:pPr>
                  <w:r>
                    <w:rPr>
                      <w:rFonts w:hint="eastAsia"/>
                      <w:vertAlign w:val="baseline"/>
                      <w:lang w:val="en-US" w:eastAsia="zh-CN"/>
                    </w:rPr>
                    <w:t>盒</w:t>
                  </w:r>
                </w:p>
              </w:tc>
              <w:tc>
                <w:tcPr>
                  <w:tcW w:w="674" w:type="pct"/>
                  <w:vAlign w:val="center"/>
                </w:tcPr>
                <w:p w14:paraId="3BA236B6">
                  <w:pPr>
                    <w:jc w:val="center"/>
                    <w:rPr>
                      <w:rFonts w:hint="eastAsia" w:eastAsiaTheme="minorEastAsia"/>
                      <w:vertAlign w:val="baseline"/>
                      <w:lang w:val="en-US" w:eastAsia="zh-CN"/>
                    </w:rPr>
                  </w:pPr>
                  <w:r>
                    <w:rPr>
                      <w:rFonts w:hint="eastAsia"/>
                      <w:vertAlign w:val="baseline"/>
                      <w:lang w:val="en-US" w:eastAsia="zh-CN"/>
                    </w:rPr>
                    <w:t>若干</w:t>
                  </w:r>
                </w:p>
              </w:tc>
              <w:tc>
                <w:tcPr>
                  <w:tcW w:w="826" w:type="pct"/>
                  <w:vAlign w:val="center"/>
                </w:tcPr>
                <w:p w14:paraId="112546B8">
                  <w:pPr>
                    <w:jc w:val="center"/>
                    <w:rPr>
                      <w:vertAlign w:val="baseline"/>
                    </w:rPr>
                  </w:pPr>
                  <w:r>
                    <w:rPr>
                      <w:rFonts w:hint="eastAsia"/>
                      <w:vertAlign w:val="baseline"/>
                      <w:lang w:val="en-US" w:eastAsia="zh-CN"/>
                    </w:rPr>
                    <w:t>外购</w:t>
                  </w:r>
                </w:p>
              </w:tc>
              <w:tc>
                <w:tcPr>
                  <w:tcW w:w="826" w:type="pct"/>
                  <w:vAlign w:val="center"/>
                </w:tcPr>
                <w:p w14:paraId="50B70FEE">
                  <w:pPr>
                    <w:jc w:val="center"/>
                    <w:rPr>
                      <w:vertAlign w:val="baseline"/>
                    </w:rPr>
                  </w:pPr>
                </w:p>
              </w:tc>
            </w:tr>
            <w:tr w14:paraId="462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309B7DB7">
                  <w:pPr>
                    <w:jc w:val="center"/>
                    <w:rPr>
                      <w:rFonts w:hint="eastAsia"/>
                      <w:vertAlign w:val="baseline"/>
                      <w:lang w:val="en-US" w:eastAsia="zh-CN"/>
                    </w:rPr>
                  </w:pPr>
                </w:p>
              </w:tc>
              <w:tc>
                <w:tcPr>
                  <w:tcW w:w="1237" w:type="pct"/>
                  <w:vAlign w:val="center"/>
                </w:tcPr>
                <w:p w14:paraId="32503752">
                  <w:pPr>
                    <w:jc w:val="center"/>
                    <w:rPr>
                      <w:rFonts w:hint="default"/>
                      <w:vertAlign w:val="baseline"/>
                      <w:lang w:val="en-US" w:eastAsia="zh-CN"/>
                    </w:rPr>
                  </w:pPr>
                  <w:r>
                    <w:rPr>
                      <w:rFonts w:hint="eastAsia"/>
                      <w:vertAlign w:val="baseline"/>
                      <w:lang w:val="en-US" w:eastAsia="zh-CN"/>
                    </w:rPr>
                    <w:t>中药</w:t>
                  </w:r>
                </w:p>
              </w:tc>
              <w:tc>
                <w:tcPr>
                  <w:tcW w:w="773" w:type="pct"/>
                  <w:vAlign w:val="center"/>
                </w:tcPr>
                <w:p w14:paraId="0DC81A66">
                  <w:pPr>
                    <w:jc w:val="center"/>
                    <w:rPr>
                      <w:rFonts w:hint="default"/>
                      <w:vertAlign w:val="baseline"/>
                      <w:lang w:val="en-US" w:eastAsia="zh-CN"/>
                    </w:rPr>
                  </w:pPr>
                  <w:r>
                    <w:rPr>
                      <w:rFonts w:hint="eastAsia"/>
                      <w:vertAlign w:val="baseline"/>
                      <w:lang w:val="en-US" w:eastAsia="zh-CN"/>
                    </w:rPr>
                    <w:t>盒</w:t>
                  </w:r>
                </w:p>
              </w:tc>
              <w:tc>
                <w:tcPr>
                  <w:tcW w:w="674" w:type="pct"/>
                  <w:vAlign w:val="center"/>
                </w:tcPr>
                <w:p w14:paraId="0AE1FF8D">
                  <w:pPr>
                    <w:jc w:val="center"/>
                    <w:rPr>
                      <w:rFonts w:hint="eastAsia" w:eastAsiaTheme="minorEastAsia"/>
                      <w:vertAlign w:val="baseline"/>
                      <w:lang w:val="en-US" w:eastAsia="zh-CN"/>
                    </w:rPr>
                  </w:pPr>
                  <w:r>
                    <w:rPr>
                      <w:rFonts w:hint="eastAsia"/>
                      <w:vertAlign w:val="baseline"/>
                      <w:lang w:val="en-US" w:eastAsia="zh-CN"/>
                    </w:rPr>
                    <w:t>若干</w:t>
                  </w:r>
                </w:p>
              </w:tc>
              <w:tc>
                <w:tcPr>
                  <w:tcW w:w="826" w:type="pct"/>
                  <w:vAlign w:val="center"/>
                </w:tcPr>
                <w:p w14:paraId="5745F171">
                  <w:pPr>
                    <w:jc w:val="center"/>
                    <w:rPr>
                      <w:vertAlign w:val="baseline"/>
                    </w:rPr>
                  </w:pPr>
                  <w:r>
                    <w:rPr>
                      <w:rFonts w:hint="eastAsia"/>
                      <w:vertAlign w:val="baseline"/>
                      <w:lang w:val="en-US" w:eastAsia="zh-CN"/>
                    </w:rPr>
                    <w:t>外购</w:t>
                  </w:r>
                </w:p>
              </w:tc>
              <w:tc>
                <w:tcPr>
                  <w:tcW w:w="826" w:type="pct"/>
                  <w:vAlign w:val="center"/>
                </w:tcPr>
                <w:p w14:paraId="504F2FFD">
                  <w:pPr>
                    <w:jc w:val="center"/>
                    <w:rPr>
                      <w:vertAlign w:val="baseline"/>
                    </w:rPr>
                  </w:pPr>
                </w:p>
              </w:tc>
            </w:tr>
            <w:tr w14:paraId="4427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vAlign w:val="center"/>
                </w:tcPr>
                <w:p w14:paraId="00353F88">
                  <w:pPr>
                    <w:jc w:val="center"/>
                    <w:rPr>
                      <w:rFonts w:hint="default"/>
                      <w:vertAlign w:val="baseline"/>
                      <w:lang w:val="en-US" w:eastAsia="zh-CN"/>
                    </w:rPr>
                  </w:pPr>
                  <w:r>
                    <w:rPr>
                      <w:rFonts w:hint="eastAsia"/>
                      <w:vertAlign w:val="baseline"/>
                      <w:lang w:val="en-US" w:eastAsia="zh-CN"/>
                    </w:rPr>
                    <w:t>化验试剂</w:t>
                  </w:r>
                </w:p>
              </w:tc>
              <w:tc>
                <w:tcPr>
                  <w:tcW w:w="1237" w:type="pct"/>
                  <w:vAlign w:val="center"/>
                </w:tcPr>
                <w:p w14:paraId="0AEF515C">
                  <w:pPr>
                    <w:jc w:val="center"/>
                    <w:rPr>
                      <w:rFonts w:hint="default"/>
                      <w:vertAlign w:val="baseline"/>
                      <w:lang w:val="en-US" w:eastAsia="zh-CN"/>
                    </w:rPr>
                  </w:pPr>
                  <w:r>
                    <w:rPr>
                      <w:rFonts w:hint="eastAsia"/>
                      <w:vertAlign w:val="baseline"/>
                      <w:lang w:val="en-US" w:eastAsia="zh-CN"/>
                    </w:rPr>
                    <w:t>血细胞稀释液</w:t>
                  </w:r>
                </w:p>
              </w:tc>
              <w:tc>
                <w:tcPr>
                  <w:tcW w:w="773" w:type="pct"/>
                  <w:vAlign w:val="center"/>
                </w:tcPr>
                <w:p w14:paraId="0A7DBF8A">
                  <w:pPr>
                    <w:jc w:val="center"/>
                    <w:rPr>
                      <w:rFonts w:hint="default"/>
                      <w:vertAlign w:val="baseline"/>
                      <w:lang w:val="en-US" w:eastAsia="zh-CN"/>
                    </w:rPr>
                  </w:pPr>
                  <w:r>
                    <w:rPr>
                      <w:rFonts w:hint="eastAsia"/>
                      <w:vertAlign w:val="baseline"/>
                      <w:lang w:val="en-US" w:eastAsia="zh-CN"/>
                    </w:rPr>
                    <w:t>30L/件</w:t>
                  </w:r>
                </w:p>
              </w:tc>
              <w:tc>
                <w:tcPr>
                  <w:tcW w:w="674" w:type="pct"/>
                  <w:vAlign w:val="center"/>
                </w:tcPr>
                <w:p w14:paraId="0E1BAA1B">
                  <w:pPr>
                    <w:jc w:val="center"/>
                    <w:rPr>
                      <w:rFonts w:hint="default" w:eastAsiaTheme="minorEastAsia"/>
                      <w:vertAlign w:val="baseline"/>
                      <w:lang w:val="en-US" w:eastAsia="zh-CN"/>
                    </w:rPr>
                  </w:pPr>
                  <w:r>
                    <w:rPr>
                      <w:rFonts w:hint="eastAsia"/>
                      <w:vertAlign w:val="baseline"/>
                      <w:lang w:val="en-US" w:eastAsia="zh-CN"/>
                    </w:rPr>
                    <w:t>8件</w:t>
                  </w:r>
                </w:p>
              </w:tc>
              <w:tc>
                <w:tcPr>
                  <w:tcW w:w="826" w:type="pct"/>
                  <w:vAlign w:val="center"/>
                </w:tcPr>
                <w:p w14:paraId="2D5FA1B8">
                  <w:pPr>
                    <w:jc w:val="center"/>
                    <w:rPr>
                      <w:vertAlign w:val="baseline"/>
                    </w:rPr>
                  </w:pPr>
                  <w:r>
                    <w:rPr>
                      <w:rFonts w:hint="eastAsia"/>
                      <w:vertAlign w:val="baseline"/>
                      <w:lang w:val="en-US" w:eastAsia="zh-CN"/>
                    </w:rPr>
                    <w:t>外购</w:t>
                  </w:r>
                </w:p>
              </w:tc>
              <w:tc>
                <w:tcPr>
                  <w:tcW w:w="826" w:type="pct"/>
                  <w:vAlign w:val="center"/>
                </w:tcPr>
                <w:p w14:paraId="3664E5E6">
                  <w:pPr>
                    <w:jc w:val="center"/>
                    <w:rPr>
                      <w:vertAlign w:val="baseline"/>
                    </w:rPr>
                  </w:pPr>
                </w:p>
              </w:tc>
            </w:tr>
            <w:tr w14:paraId="7DC6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122E4D54">
                  <w:pPr>
                    <w:jc w:val="center"/>
                    <w:rPr>
                      <w:rFonts w:hint="eastAsia"/>
                      <w:vertAlign w:val="baseline"/>
                      <w:lang w:val="en-US" w:eastAsia="zh-CN"/>
                    </w:rPr>
                  </w:pPr>
                </w:p>
              </w:tc>
              <w:tc>
                <w:tcPr>
                  <w:tcW w:w="1237" w:type="pct"/>
                  <w:vAlign w:val="center"/>
                </w:tcPr>
                <w:p w14:paraId="221804F7">
                  <w:pPr>
                    <w:jc w:val="center"/>
                    <w:rPr>
                      <w:rFonts w:hint="default"/>
                      <w:vertAlign w:val="baseline"/>
                      <w:lang w:val="en-US" w:eastAsia="zh-CN"/>
                    </w:rPr>
                  </w:pPr>
                  <w:r>
                    <w:rPr>
                      <w:rFonts w:hint="eastAsia"/>
                      <w:vertAlign w:val="baseline"/>
                      <w:lang w:val="en-US" w:eastAsia="zh-CN"/>
                    </w:rPr>
                    <w:t>尿试纸条</w:t>
                  </w:r>
                </w:p>
              </w:tc>
              <w:tc>
                <w:tcPr>
                  <w:tcW w:w="773" w:type="pct"/>
                  <w:vAlign w:val="center"/>
                </w:tcPr>
                <w:p w14:paraId="207951A3">
                  <w:pPr>
                    <w:jc w:val="center"/>
                    <w:rPr>
                      <w:rFonts w:hint="default"/>
                      <w:vertAlign w:val="baseline"/>
                      <w:lang w:val="en-US" w:eastAsia="zh-CN"/>
                    </w:rPr>
                  </w:pPr>
                  <w:r>
                    <w:rPr>
                      <w:rFonts w:hint="eastAsia"/>
                      <w:vertAlign w:val="baseline"/>
                      <w:lang w:val="en-US" w:eastAsia="zh-CN"/>
                    </w:rPr>
                    <w:t>100份/筒</w:t>
                  </w:r>
                </w:p>
              </w:tc>
              <w:tc>
                <w:tcPr>
                  <w:tcW w:w="674" w:type="pct"/>
                  <w:vAlign w:val="center"/>
                </w:tcPr>
                <w:p w14:paraId="14A3B629">
                  <w:pPr>
                    <w:jc w:val="center"/>
                    <w:rPr>
                      <w:rFonts w:hint="default" w:eastAsiaTheme="minorEastAsia"/>
                      <w:vertAlign w:val="baseline"/>
                      <w:lang w:val="en-US" w:eastAsia="zh-CN"/>
                    </w:rPr>
                  </w:pPr>
                  <w:r>
                    <w:rPr>
                      <w:rFonts w:hint="eastAsia"/>
                      <w:vertAlign w:val="baseline"/>
                      <w:lang w:val="en-US" w:eastAsia="zh-CN"/>
                    </w:rPr>
                    <w:t>5筒</w:t>
                  </w:r>
                </w:p>
              </w:tc>
              <w:tc>
                <w:tcPr>
                  <w:tcW w:w="826" w:type="pct"/>
                  <w:vAlign w:val="center"/>
                </w:tcPr>
                <w:p w14:paraId="07B85393">
                  <w:pPr>
                    <w:jc w:val="center"/>
                    <w:rPr>
                      <w:vertAlign w:val="baseline"/>
                    </w:rPr>
                  </w:pPr>
                  <w:r>
                    <w:rPr>
                      <w:rFonts w:hint="eastAsia"/>
                      <w:vertAlign w:val="baseline"/>
                      <w:lang w:val="en-US" w:eastAsia="zh-CN"/>
                    </w:rPr>
                    <w:t>外购</w:t>
                  </w:r>
                </w:p>
              </w:tc>
              <w:tc>
                <w:tcPr>
                  <w:tcW w:w="826" w:type="pct"/>
                  <w:vAlign w:val="center"/>
                </w:tcPr>
                <w:p w14:paraId="137E779B">
                  <w:pPr>
                    <w:jc w:val="center"/>
                    <w:rPr>
                      <w:vertAlign w:val="baseline"/>
                    </w:rPr>
                  </w:pPr>
                </w:p>
              </w:tc>
            </w:tr>
            <w:tr w14:paraId="79E0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52B210BE">
                  <w:pPr>
                    <w:jc w:val="center"/>
                    <w:rPr>
                      <w:rFonts w:hint="eastAsia"/>
                      <w:vertAlign w:val="baseline"/>
                      <w:lang w:val="en-US" w:eastAsia="zh-CN"/>
                    </w:rPr>
                  </w:pPr>
                </w:p>
              </w:tc>
              <w:tc>
                <w:tcPr>
                  <w:tcW w:w="1237" w:type="pct"/>
                  <w:vAlign w:val="center"/>
                </w:tcPr>
                <w:p w14:paraId="40A204D6">
                  <w:pPr>
                    <w:jc w:val="center"/>
                    <w:rPr>
                      <w:rFonts w:hint="default"/>
                      <w:vertAlign w:val="baseline"/>
                      <w:lang w:val="en-US" w:eastAsia="zh-CN"/>
                    </w:rPr>
                  </w:pPr>
                  <w:r>
                    <w:rPr>
                      <w:rFonts w:hint="eastAsia"/>
                      <w:vertAlign w:val="baseline"/>
                      <w:lang w:val="en-US" w:eastAsia="zh-CN"/>
                    </w:rPr>
                    <w:t>血糖试纸条</w:t>
                  </w:r>
                </w:p>
              </w:tc>
              <w:tc>
                <w:tcPr>
                  <w:tcW w:w="773" w:type="pct"/>
                  <w:vAlign w:val="center"/>
                </w:tcPr>
                <w:p w14:paraId="2344BAFE">
                  <w:pPr>
                    <w:jc w:val="center"/>
                    <w:rPr>
                      <w:rFonts w:hint="default"/>
                      <w:vertAlign w:val="baseline"/>
                      <w:lang w:val="en-US" w:eastAsia="zh-CN"/>
                    </w:rPr>
                  </w:pPr>
                  <w:r>
                    <w:rPr>
                      <w:rFonts w:hint="eastAsia"/>
                      <w:vertAlign w:val="baseline"/>
                      <w:lang w:val="en-US" w:eastAsia="zh-CN"/>
                    </w:rPr>
                    <w:t>份</w:t>
                  </w:r>
                </w:p>
              </w:tc>
              <w:tc>
                <w:tcPr>
                  <w:tcW w:w="674" w:type="pct"/>
                  <w:vAlign w:val="center"/>
                </w:tcPr>
                <w:p w14:paraId="3E4D896A">
                  <w:pPr>
                    <w:jc w:val="center"/>
                    <w:rPr>
                      <w:rFonts w:hint="default" w:eastAsiaTheme="minorEastAsia"/>
                      <w:vertAlign w:val="baseline"/>
                      <w:lang w:val="en-US" w:eastAsia="zh-CN"/>
                    </w:rPr>
                  </w:pPr>
                  <w:r>
                    <w:rPr>
                      <w:rFonts w:hint="eastAsia"/>
                      <w:vertAlign w:val="baseline"/>
                      <w:lang w:val="en-US" w:eastAsia="zh-CN"/>
                    </w:rPr>
                    <w:t>5100份</w:t>
                  </w:r>
                </w:p>
              </w:tc>
              <w:tc>
                <w:tcPr>
                  <w:tcW w:w="826" w:type="pct"/>
                  <w:vAlign w:val="center"/>
                </w:tcPr>
                <w:p w14:paraId="116A2A46">
                  <w:pPr>
                    <w:jc w:val="center"/>
                    <w:rPr>
                      <w:vertAlign w:val="baseline"/>
                    </w:rPr>
                  </w:pPr>
                  <w:r>
                    <w:rPr>
                      <w:rFonts w:hint="eastAsia"/>
                      <w:vertAlign w:val="baseline"/>
                      <w:lang w:val="en-US" w:eastAsia="zh-CN"/>
                    </w:rPr>
                    <w:t>外购</w:t>
                  </w:r>
                </w:p>
              </w:tc>
              <w:tc>
                <w:tcPr>
                  <w:tcW w:w="826" w:type="pct"/>
                  <w:vAlign w:val="center"/>
                </w:tcPr>
                <w:p w14:paraId="1C7DBD75">
                  <w:pPr>
                    <w:jc w:val="center"/>
                    <w:rPr>
                      <w:vertAlign w:val="baseline"/>
                    </w:rPr>
                  </w:pPr>
                </w:p>
              </w:tc>
            </w:tr>
            <w:tr w14:paraId="7F46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54A83B5D">
                  <w:pPr>
                    <w:jc w:val="center"/>
                    <w:rPr>
                      <w:rFonts w:hint="eastAsia"/>
                      <w:vertAlign w:val="baseline"/>
                      <w:lang w:val="en-US" w:eastAsia="zh-CN"/>
                    </w:rPr>
                  </w:pPr>
                </w:p>
              </w:tc>
              <w:tc>
                <w:tcPr>
                  <w:tcW w:w="1237" w:type="pct"/>
                  <w:vAlign w:val="center"/>
                </w:tcPr>
                <w:p w14:paraId="72ADCEE3">
                  <w:pPr>
                    <w:jc w:val="center"/>
                    <w:rPr>
                      <w:rFonts w:hint="default"/>
                      <w:vertAlign w:val="baseline"/>
                      <w:lang w:val="en-US" w:eastAsia="zh-CN"/>
                    </w:rPr>
                  </w:pPr>
                  <w:r>
                    <w:rPr>
                      <w:rFonts w:hint="eastAsia"/>
                      <w:vertAlign w:val="baseline"/>
                      <w:lang w:val="en-US" w:eastAsia="zh-CN"/>
                    </w:rPr>
                    <w:t>HBV-5试纸</w:t>
                  </w:r>
                </w:p>
              </w:tc>
              <w:tc>
                <w:tcPr>
                  <w:tcW w:w="773" w:type="pct"/>
                  <w:vAlign w:val="center"/>
                </w:tcPr>
                <w:p w14:paraId="36F260EF">
                  <w:pPr>
                    <w:jc w:val="center"/>
                    <w:rPr>
                      <w:rFonts w:hint="default"/>
                      <w:vertAlign w:val="baseline"/>
                      <w:lang w:val="en-US" w:eastAsia="zh-CN"/>
                    </w:rPr>
                  </w:pPr>
                  <w:r>
                    <w:rPr>
                      <w:rFonts w:hint="eastAsia"/>
                      <w:vertAlign w:val="baseline"/>
                      <w:lang w:val="en-US" w:eastAsia="zh-CN"/>
                    </w:rPr>
                    <w:t>25份/盒</w:t>
                  </w:r>
                </w:p>
              </w:tc>
              <w:tc>
                <w:tcPr>
                  <w:tcW w:w="674" w:type="pct"/>
                  <w:vAlign w:val="center"/>
                </w:tcPr>
                <w:p w14:paraId="593DA888">
                  <w:pPr>
                    <w:jc w:val="center"/>
                    <w:rPr>
                      <w:rFonts w:hint="default" w:eastAsiaTheme="minorEastAsia"/>
                      <w:vertAlign w:val="baseline"/>
                      <w:lang w:val="en-US" w:eastAsia="zh-CN"/>
                    </w:rPr>
                  </w:pPr>
                  <w:r>
                    <w:rPr>
                      <w:rFonts w:hint="eastAsia"/>
                      <w:vertAlign w:val="baseline"/>
                      <w:lang w:val="en-US" w:eastAsia="zh-CN"/>
                    </w:rPr>
                    <w:t>1000分</w:t>
                  </w:r>
                </w:p>
              </w:tc>
              <w:tc>
                <w:tcPr>
                  <w:tcW w:w="826" w:type="pct"/>
                  <w:vAlign w:val="center"/>
                </w:tcPr>
                <w:p w14:paraId="08119321">
                  <w:pPr>
                    <w:jc w:val="center"/>
                    <w:rPr>
                      <w:vertAlign w:val="baseline"/>
                    </w:rPr>
                  </w:pPr>
                  <w:r>
                    <w:rPr>
                      <w:rFonts w:hint="eastAsia"/>
                      <w:vertAlign w:val="baseline"/>
                      <w:lang w:val="en-US" w:eastAsia="zh-CN"/>
                    </w:rPr>
                    <w:t>外购</w:t>
                  </w:r>
                </w:p>
              </w:tc>
              <w:tc>
                <w:tcPr>
                  <w:tcW w:w="826" w:type="pct"/>
                  <w:vAlign w:val="center"/>
                </w:tcPr>
                <w:p w14:paraId="3F523430">
                  <w:pPr>
                    <w:jc w:val="center"/>
                    <w:rPr>
                      <w:vertAlign w:val="baseline"/>
                    </w:rPr>
                  </w:pPr>
                </w:p>
              </w:tc>
            </w:tr>
            <w:tr w14:paraId="50CC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475334D1">
                  <w:pPr>
                    <w:jc w:val="center"/>
                    <w:rPr>
                      <w:rFonts w:hint="eastAsia"/>
                      <w:vertAlign w:val="baseline"/>
                      <w:lang w:val="en-US" w:eastAsia="zh-CN"/>
                    </w:rPr>
                  </w:pPr>
                </w:p>
              </w:tc>
              <w:tc>
                <w:tcPr>
                  <w:tcW w:w="1237" w:type="pct"/>
                  <w:vAlign w:val="center"/>
                </w:tcPr>
                <w:p w14:paraId="19FEDF8E">
                  <w:pPr>
                    <w:jc w:val="center"/>
                    <w:rPr>
                      <w:rFonts w:hint="eastAsia"/>
                      <w:vertAlign w:val="baseline"/>
                      <w:lang w:val="en-US" w:eastAsia="zh-CN"/>
                    </w:rPr>
                  </w:pPr>
                  <w:r>
                    <w:rPr>
                      <w:rFonts w:hint="eastAsia"/>
                      <w:vertAlign w:val="baseline"/>
                      <w:lang w:val="en-US" w:eastAsia="zh-CN"/>
                    </w:rPr>
                    <w:t>高密度脂蛋白胆固醇 (HDL-C)测定试剂盒</w:t>
                  </w:r>
                </w:p>
              </w:tc>
              <w:tc>
                <w:tcPr>
                  <w:tcW w:w="773" w:type="pct"/>
                  <w:vAlign w:val="center"/>
                </w:tcPr>
                <w:p w14:paraId="2EB1A40B">
                  <w:pPr>
                    <w:jc w:val="center"/>
                    <w:rPr>
                      <w:rFonts w:hint="default"/>
                      <w:vertAlign w:val="baseline"/>
                      <w:lang w:val="en-US" w:eastAsia="zh-CN"/>
                    </w:rPr>
                  </w:pPr>
                  <w:r>
                    <w:rPr>
                      <w:rFonts w:hint="eastAsia"/>
                      <w:vertAlign w:val="baseline"/>
                      <w:lang w:val="en-US" w:eastAsia="zh-CN"/>
                    </w:rPr>
                    <w:t>54mL/盒</w:t>
                  </w:r>
                </w:p>
              </w:tc>
              <w:tc>
                <w:tcPr>
                  <w:tcW w:w="674" w:type="pct"/>
                  <w:vAlign w:val="center"/>
                </w:tcPr>
                <w:p w14:paraId="6C7EBB81">
                  <w:pPr>
                    <w:jc w:val="center"/>
                    <w:rPr>
                      <w:rFonts w:hint="default" w:eastAsiaTheme="minorEastAsia"/>
                      <w:vertAlign w:val="baseline"/>
                      <w:lang w:val="en-US" w:eastAsia="zh-CN"/>
                    </w:rPr>
                  </w:pPr>
                  <w:r>
                    <w:rPr>
                      <w:rFonts w:hint="eastAsia"/>
                      <w:vertAlign w:val="baseline"/>
                      <w:lang w:val="en-US" w:eastAsia="zh-CN"/>
                    </w:rPr>
                    <w:t>12盒</w:t>
                  </w:r>
                </w:p>
              </w:tc>
              <w:tc>
                <w:tcPr>
                  <w:tcW w:w="826" w:type="pct"/>
                  <w:vAlign w:val="center"/>
                </w:tcPr>
                <w:p w14:paraId="6C172B41">
                  <w:pPr>
                    <w:jc w:val="center"/>
                    <w:rPr>
                      <w:vertAlign w:val="baseline"/>
                    </w:rPr>
                  </w:pPr>
                  <w:r>
                    <w:rPr>
                      <w:rFonts w:hint="eastAsia"/>
                      <w:vertAlign w:val="baseline"/>
                      <w:lang w:val="en-US" w:eastAsia="zh-CN"/>
                    </w:rPr>
                    <w:t>外购</w:t>
                  </w:r>
                </w:p>
              </w:tc>
              <w:tc>
                <w:tcPr>
                  <w:tcW w:w="826" w:type="pct"/>
                  <w:vAlign w:val="center"/>
                </w:tcPr>
                <w:p w14:paraId="1E2AFA60">
                  <w:pPr>
                    <w:jc w:val="center"/>
                    <w:rPr>
                      <w:vertAlign w:val="baseline"/>
                    </w:rPr>
                  </w:pPr>
                </w:p>
              </w:tc>
            </w:tr>
            <w:tr w14:paraId="759D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03B5CA31">
                  <w:pPr>
                    <w:jc w:val="center"/>
                    <w:rPr>
                      <w:rFonts w:hint="eastAsia"/>
                      <w:vertAlign w:val="baseline"/>
                      <w:lang w:val="en-US" w:eastAsia="zh-CN"/>
                    </w:rPr>
                  </w:pPr>
                </w:p>
              </w:tc>
              <w:tc>
                <w:tcPr>
                  <w:tcW w:w="1237" w:type="pct"/>
                  <w:vAlign w:val="center"/>
                </w:tcPr>
                <w:p w14:paraId="3B94C00C">
                  <w:pPr>
                    <w:jc w:val="center"/>
                    <w:rPr>
                      <w:rFonts w:hint="eastAsia"/>
                      <w:vertAlign w:val="baseline"/>
                      <w:lang w:val="en-US" w:eastAsia="zh-CN"/>
                    </w:rPr>
                  </w:pPr>
                  <w:r>
                    <w:rPr>
                      <w:rFonts w:hint="eastAsia"/>
                      <w:vertAlign w:val="baseline"/>
                      <w:lang w:val="en-US" w:eastAsia="zh-CN"/>
                    </w:rPr>
                    <w:t>天门冬氨酸氨基转移酶 (AST)测定试剂盒</w:t>
                  </w:r>
                </w:p>
              </w:tc>
              <w:tc>
                <w:tcPr>
                  <w:tcW w:w="773" w:type="pct"/>
                  <w:vAlign w:val="center"/>
                </w:tcPr>
                <w:p w14:paraId="2078D6EC">
                  <w:pPr>
                    <w:jc w:val="center"/>
                    <w:rPr>
                      <w:rFonts w:hint="default"/>
                      <w:vertAlign w:val="baseline"/>
                      <w:lang w:val="en-US" w:eastAsia="zh-CN"/>
                    </w:rPr>
                  </w:pPr>
                  <w:r>
                    <w:rPr>
                      <w:rFonts w:hint="eastAsia"/>
                      <w:vertAlign w:val="baseline"/>
                      <w:lang w:val="en-US" w:eastAsia="zh-CN"/>
                    </w:rPr>
                    <w:t>176mL/盒</w:t>
                  </w:r>
                </w:p>
              </w:tc>
              <w:tc>
                <w:tcPr>
                  <w:tcW w:w="674" w:type="pct"/>
                  <w:vAlign w:val="center"/>
                </w:tcPr>
                <w:p w14:paraId="42D461FE">
                  <w:pPr>
                    <w:jc w:val="center"/>
                    <w:rPr>
                      <w:vertAlign w:val="baseline"/>
                    </w:rPr>
                  </w:pPr>
                  <w:r>
                    <w:rPr>
                      <w:rFonts w:hint="eastAsia"/>
                      <w:vertAlign w:val="baseline"/>
                      <w:lang w:val="en-US" w:eastAsia="zh-CN"/>
                    </w:rPr>
                    <w:t>3盒</w:t>
                  </w:r>
                </w:p>
              </w:tc>
              <w:tc>
                <w:tcPr>
                  <w:tcW w:w="826" w:type="pct"/>
                  <w:vAlign w:val="center"/>
                </w:tcPr>
                <w:p w14:paraId="61EB82CF">
                  <w:pPr>
                    <w:jc w:val="center"/>
                    <w:rPr>
                      <w:vertAlign w:val="baseline"/>
                    </w:rPr>
                  </w:pPr>
                  <w:r>
                    <w:rPr>
                      <w:rFonts w:hint="eastAsia"/>
                      <w:vertAlign w:val="baseline"/>
                      <w:lang w:val="en-US" w:eastAsia="zh-CN"/>
                    </w:rPr>
                    <w:t>外购</w:t>
                  </w:r>
                </w:p>
              </w:tc>
              <w:tc>
                <w:tcPr>
                  <w:tcW w:w="826" w:type="pct"/>
                  <w:vAlign w:val="center"/>
                </w:tcPr>
                <w:p w14:paraId="6D6E45C0">
                  <w:pPr>
                    <w:jc w:val="center"/>
                    <w:rPr>
                      <w:vertAlign w:val="baseline"/>
                    </w:rPr>
                  </w:pPr>
                </w:p>
              </w:tc>
            </w:tr>
            <w:tr w14:paraId="2721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0F9560B5">
                  <w:pPr>
                    <w:jc w:val="center"/>
                    <w:rPr>
                      <w:rFonts w:hint="eastAsia"/>
                      <w:vertAlign w:val="baseline"/>
                      <w:lang w:val="en-US" w:eastAsia="zh-CN"/>
                    </w:rPr>
                  </w:pPr>
                </w:p>
              </w:tc>
              <w:tc>
                <w:tcPr>
                  <w:tcW w:w="1237" w:type="pct"/>
                  <w:vAlign w:val="center"/>
                </w:tcPr>
                <w:p w14:paraId="2B3C9E1A">
                  <w:pPr>
                    <w:jc w:val="center"/>
                    <w:rPr>
                      <w:rFonts w:hint="eastAsia"/>
                      <w:vertAlign w:val="baseline"/>
                      <w:lang w:val="en-US" w:eastAsia="zh-CN"/>
                    </w:rPr>
                  </w:pPr>
                  <w:r>
                    <w:rPr>
                      <w:rFonts w:hint="eastAsia"/>
                      <w:vertAlign w:val="baseline"/>
                      <w:lang w:val="en-US" w:eastAsia="zh-CN"/>
                    </w:rPr>
                    <w:t>总胆红素(TBIL)测定试剂盒</w:t>
                  </w:r>
                </w:p>
              </w:tc>
              <w:tc>
                <w:tcPr>
                  <w:tcW w:w="773" w:type="pct"/>
                  <w:vAlign w:val="center"/>
                </w:tcPr>
                <w:p w14:paraId="4F5315B2">
                  <w:pPr>
                    <w:jc w:val="center"/>
                    <w:rPr>
                      <w:rFonts w:hint="default"/>
                      <w:vertAlign w:val="baseline"/>
                      <w:lang w:val="en-US" w:eastAsia="zh-CN"/>
                    </w:rPr>
                  </w:pPr>
                  <w:r>
                    <w:rPr>
                      <w:rFonts w:hint="eastAsia"/>
                      <w:vertAlign w:val="baseline"/>
                      <w:lang w:val="en-US" w:eastAsia="zh-CN"/>
                    </w:rPr>
                    <w:t>176mL/盒</w:t>
                  </w:r>
                </w:p>
              </w:tc>
              <w:tc>
                <w:tcPr>
                  <w:tcW w:w="674" w:type="pct"/>
                  <w:vAlign w:val="center"/>
                </w:tcPr>
                <w:p w14:paraId="31D781E5">
                  <w:pPr>
                    <w:jc w:val="center"/>
                    <w:rPr>
                      <w:rFonts w:hint="default" w:eastAsiaTheme="minorEastAsia"/>
                      <w:vertAlign w:val="baseline"/>
                      <w:lang w:val="en-US" w:eastAsia="zh-CN"/>
                    </w:rPr>
                  </w:pPr>
                  <w:r>
                    <w:rPr>
                      <w:rFonts w:hint="eastAsia"/>
                      <w:vertAlign w:val="baseline"/>
                      <w:lang w:val="en-US" w:eastAsia="zh-CN"/>
                    </w:rPr>
                    <w:t>4盒</w:t>
                  </w:r>
                </w:p>
              </w:tc>
              <w:tc>
                <w:tcPr>
                  <w:tcW w:w="826" w:type="pct"/>
                  <w:vAlign w:val="center"/>
                </w:tcPr>
                <w:p w14:paraId="11A297A0">
                  <w:pPr>
                    <w:jc w:val="center"/>
                    <w:rPr>
                      <w:vertAlign w:val="baseline"/>
                    </w:rPr>
                  </w:pPr>
                  <w:r>
                    <w:rPr>
                      <w:rFonts w:hint="eastAsia"/>
                      <w:vertAlign w:val="baseline"/>
                      <w:lang w:val="en-US" w:eastAsia="zh-CN"/>
                    </w:rPr>
                    <w:t>外购</w:t>
                  </w:r>
                </w:p>
              </w:tc>
              <w:tc>
                <w:tcPr>
                  <w:tcW w:w="826" w:type="pct"/>
                  <w:vAlign w:val="center"/>
                </w:tcPr>
                <w:p w14:paraId="54518F19">
                  <w:pPr>
                    <w:jc w:val="center"/>
                    <w:rPr>
                      <w:vertAlign w:val="baseline"/>
                    </w:rPr>
                  </w:pPr>
                </w:p>
              </w:tc>
            </w:tr>
            <w:tr w14:paraId="0CF5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74E42C07">
                  <w:pPr>
                    <w:jc w:val="center"/>
                    <w:rPr>
                      <w:rFonts w:hint="eastAsia"/>
                      <w:vertAlign w:val="baseline"/>
                      <w:lang w:val="en-US" w:eastAsia="zh-CN"/>
                    </w:rPr>
                  </w:pPr>
                </w:p>
              </w:tc>
              <w:tc>
                <w:tcPr>
                  <w:tcW w:w="1237" w:type="pct"/>
                  <w:vAlign w:val="center"/>
                </w:tcPr>
                <w:p w14:paraId="1E5F3061">
                  <w:pPr>
                    <w:jc w:val="center"/>
                    <w:rPr>
                      <w:rFonts w:hint="default"/>
                      <w:vertAlign w:val="baseline"/>
                      <w:lang w:val="en-US" w:eastAsia="zh-CN"/>
                    </w:rPr>
                  </w:pPr>
                  <w:r>
                    <w:rPr>
                      <w:rFonts w:hint="eastAsia"/>
                      <w:vertAlign w:val="baseline"/>
                      <w:lang w:val="en-US" w:eastAsia="zh-CN"/>
                    </w:rPr>
                    <w:t>直接胆红素（DBIL）测定试剂盒</w:t>
                  </w:r>
                </w:p>
              </w:tc>
              <w:tc>
                <w:tcPr>
                  <w:tcW w:w="773" w:type="pct"/>
                  <w:vAlign w:val="center"/>
                </w:tcPr>
                <w:p w14:paraId="7788BD56">
                  <w:pPr>
                    <w:jc w:val="center"/>
                    <w:rPr>
                      <w:rFonts w:hint="eastAsia"/>
                      <w:vertAlign w:val="baseline"/>
                      <w:lang w:val="en-US" w:eastAsia="zh-CN"/>
                    </w:rPr>
                  </w:pPr>
                  <w:r>
                    <w:rPr>
                      <w:rFonts w:hint="eastAsia"/>
                      <w:vertAlign w:val="baseline"/>
                      <w:lang w:val="en-US" w:eastAsia="zh-CN"/>
                    </w:rPr>
                    <w:t>176mL/盒</w:t>
                  </w:r>
                </w:p>
              </w:tc>
              <w:tc>
                <w:tcPr>
                  <w:tcW w:w="674" w:type="pct"/>
                  <w:vAlign w:val="center"/>
                </w:tcPr>
                <w:p w14:paraId="24D4BA8B">
                  <w:pPr>
                    <w:jc w:val="center"/>
                    <w:rPr>
                      <w:rFonts w:hint="default"/>
                      <w:vertAlign w:val="baseline"/>
                      <w:lang w:val="en-US" w:eastAsia="zh-CN"/>
                    </w:rPr>
                  </w:pPr>
                  <w:r>
                    <w:rPr>
                      <w:rFonts w:hint="eastAsia"/>
                      <w:vertAlign w:val="baseline"/>
                      <w:lang w:val="en-US" w:eastAsia="zh-CN"/>
                    </w:rPr>
                    <w:t>5盒</w:t>
                  </w:r>
                </w:p>
              </w:tc>
              <w:tc>
                <w:tcPr>
                  <w:tcW w:w="826" w:type="pct"/>
                  <w:vAlign w:val="center"/>
                </w:tcPr>
                <w:p w14:paraId="7541D48E">
                  <w:pPr>
                    <w:jc w:val="center"/>
                    <w:rPr>
                      <w:vertAlign w:val="baseline"/>
                    </w:rPr>
                  </w:pPr>
                  <w:r>
                    <w:rPr>
                      <w:rFonts w:hint="eastAsia"/>
                      <w:vertAlign w:val="baseline"/>
                      <w:lang w:val="en-US" w:eastAsia="zh-CN"/>
                    </w:rPr>
                    <w:t>外购</w:t>
                  </w:r>
                </w:p>
              </w:tc>
              <w:tc>
                <w:tcPr>
                  <w:tcW w:w="826" w:type="pct"/>
                  <w:vAlign w:val="center"/>
                </w:tcPr>
                <w:p w14:paraId="21B15953">
                  <w:pPr>
                    <w:jc w:val="center"/>
                    <w:rPr>
                      <w:vertAlign w:val="baseline"/>
                    </w:rPr>
                  </w:pPr>
                </w:p>
              </w:tc>
            </w:tr>
            <w:tr w14:paraId="0DD9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6CACE300">
                  <w:pPr>
                    <w:jc w:val="center"/>
                    <w:rPr>
                      <w:rFonts w:hint="eastAsia"/>
                      <w:vertAlign w:val="baseline"/>
                      <w:lang w:val="en-US" w:eastAsia="zh-CN"/>
                    </w:rPr>
                  </w:pPr>
                </w:p>
              </w:tc>
              <w:tc>
                <w:tcPr>
                  <w:tcW w:w="1237" w:type="pct"/>
                  <w:vAlign w:val="center"/>
                </w:tcPr>
                <w:p w14:paraId="52B8D10C">
                  <w:pPr>
                    <w:jc w:val="center"/>
                    <w:rPr>
                      <w:rFonts w:hint="default"/>
                      <w:vertAlign w:val="baseline"/>
                      <w:lang w:val="en-US" w:eastAsia="zh-CN"/>
                    </w:rPr>
                  </w:pPr>
                  <w:r>
                    <w:rPr>
                      <w:rFonts w:hint="eastAsia"/>
                      <w:vertAlign w:val="baseline"/>
                      <w:lang w:val="en-US" w:eastAsia="zh-CN"/>
                    </w:rPr>
                    <w:t>总胆固醇（TC）测定试剂盒</w:t>
                  </w:r>
                </w:p>
              </w:tc>
              <w:tc>
                <w:tcPr>
                  <w:tcW w:w="773" w:type="pct"/>
                  <w:vAlign w:val="center"/>
                </w:tcPr>
                <w:p w14:paraId="4475AF4C">
                  <w:pPr>
                    <w:jc w:val="center"/>
                    <w:rPr>
                      <w:rFonts w:hint="eastAsia"/>
                      <w:vertAlign w:val="baseline"/>
                      <w:lang w:val="en-US" w:eastAsia="zh-CN"/>
                    </w:rPr>
                  </w:pPr>
                  <w:r>
                    <w:rPr>
                      <w:rFonts w:hint="eastAsia"/>
                      <w:vertAlign w:val="baseline"/>
                      <w:lang w:val="en-US" w:eastAsia="zh-CN"/>
                    </w:rPr>
                    <w:t>160mL/盒</w:t>
                  </w:r>
                </w:p>
              </w:tc>
              <w:tc>
                <w:tcPr>
                  <w:tcW w:w="674" w:type="pct"/>
                  <w:vAlign w:val="center"/>
                </w:tcPr>
                <w:p w14:paraId="5002C746">
                  <w:pPr>
                    <w:jc w:val="center"/>
                    <w:rPr>
                      <w:rFonts w:hint="default"/>
                      <w:vertAlign w:val="baseline"/>
                      <w:lang w:val="en-US" w:eastAsia="zh-CN"/>
                    </w:rPr>
                  </w:pPr>
                  <w:r>
                    <w:rPr>
                      <w:rFonts w:hint="eastAsia"/>
                      <w:vertAlign w:val="baseline"/>
                      <w:lang w:val="en-US" w:eastAsia="zh-CN"/>
                    </w:rPr>
                    <w:t>4盒</w:t>
                  </w:r>
                </w:p>
              </w:tc>
              <w:tc>
                <w:tcPr>
                  <w:tcW w:w="826" w:type="pct"/>
                  <w:vAlign w:val="center"/>
                </w:tcPr>
                <w:p w14:paraId="07C8C27F">
                  <w:pPr>
                    <w:jc w:val="center"/>
                    <w:rPr>
                      <w:vertAlign w:val="baseline"/>
                    </w:rPr>
                  </w:pPr>
                  <w:r>
                    <w:rPr>
                      <w:rFonts w:hint="eastAsia"/>
                      <w:vertAlign w:val="baseline"/>
                      <w:lang w:val="en-US" w:eastAsia="zh-CN"/>
                    </w:rPr>
                    <w:t>外购</w:t>
                  </w:r>
                </w:p>
              </w:tc>
              <w:tc>
                <w:tcPr>
                  <w:tcW w:w="826" w:type="pct"/>
                  <w:vAlign w:val="center"/>
                </w:tcPr>
                <w:p w14:paraId="5D5BA945">
                  <w:pPr>
                    <w:jc w:val="center"/>
                    <w:rPr>
                      <w:vertAlign w:val="baseline"/>
                    </w:rPr>
                  </w:pPr>
                </w:p>
              </w:tc>
            </w:tr>
            <w:tr w14:paraId="6357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3FA8814">
                  <w:pPr>
                    <w:jc w:val="center"/>
                    <w:rPr>
                      <w:rFonts w:hint="eastAsia"/>
                      <w:vertAlign w:val="baseline"/>
                      <w:lang w:val="en-US" w:eastAsia="zh-CN"/>
                    </w:rPr>
                  </w:pPr>
                </w:p>
              </w:tc>
              <w:tc>
                <w:tcPr>
                  <w:tcW w:w="1237" w:type="pct"/>
                  <w:vAlign w:val="center"/>
                </w:tcPr>
                <w:p w14:paraId="71810C0E">
                  <w:pPr>
                    <w:jc w:val="center"/>
                    <w:rPr>
                      <w:rFonts w:hint="eastAsia"/>
                      <w:vertAlign w:val="baseline"/>
                      <w:lang w:val="en-US" w:eastAsia="zh-CN"/>
                    </w:rPr>
                  </w:pPr>
                  <w:r>
                    <w:rPr>
                      <w:rFonts w:hint="eastAsia"/>
                      <w:vertAlign w:val="baseline"/>
                      <w:lang w:val="en-US" w:eastAsia="zh-CN"/>
                    </w:rPr>
                    <w:t>低密度脂蛋白胆固醇 (LDL-C)测定试剂盒</w:t>
                  </w:r>
                </w:p>
              </w:tc>
              <w:tc>
                <w:tcPr>
                  <w:tcW w:w="773" w:type="pct"/>
                  <w:vAlign w:val="center"/>
                </w:tcPr>
                <w:p w14:paraId="32A9C864">
                  <w:pPr>
                    <w:jc w:val="center"/>
                    <w:rPr>
                      <w:rFonts w:hint="eastAsia"/>
                      <w:vertAlign w:val="baseline"/>
                      <w:lang w:val="en-US" w:eastAsia="zh-CN"/>
                    </w:rPr>
                  </w:pPr>
                  <w:r>
                    <w:rPr>
                      <w:rFonts w:hint="eastAsia"/>
                      <w:vertAlign w:val="baseline"/>
                      <w:lang w:val="en-US" w:eastAsia="zh-CN"/>
                    </w:rPr>
                    <w:t>54mL/盒</w:t>
                  </w:r>
                </w:p>
              </w:tc>
              <w:tc>
                <w:tcPr>
                  <w:tcW w:w="674" w:type="pct"/>
                  <w:vAlign w:val="center"/>
                </w:tcPr>
                <w:p w14:paraId="21A796CF">
                  <w:pPr>
                    <w:jc w:val="center"/>
                    <w:rPr>
                      <w:rFonts w:hint="eastAsia"/>
                      <w:vertAlign w:val="baseline"/>
                      <w:lang w:val="en-US" w:eastAsia="zh-CN"/>
                    </w:rPr>
                  </w:pPr>
                  <w:r>
                    <w:rPr>
                      <w:rFonts w:hint="eastAsia"/>
                      <w:vertAlign w:val="baseline"/>
                      <w:lang w:val="en-US" w:eastAsia="zh-CN"/>
                    </w:rPr>
                    <w:t>13盒</w:t>
                  </w:r>
                </w:p>
              </w:tc>
              <w:tc>
                <w:tcPr>
                  <w:tcW w:w="826" w:type="pct"/>
                  <w:vAlign w:val="center"/>
                </w:tcPr>
                <w:p w14:paraId="6139351F">
                  <w:pPr>
                    <w:jc w:val="center"/>
                    <w:rPr>
                      <w:vertAlign w:val="baseline"/>
                    </w:rPr>
                  </w:pPr>
                  <w:r>
                    <w:rPr>
                      <w:rFonts w:hint="eastAsia"/>
                      <w:vertAlign w:val="baseline"/>
                      <w:lang w:val="en-US" w:eastAsia="zh-CN"/>
                    </w:rPr>
                    <w:t>外购</w:t>
                  </w:r>
                </w:p>
              </w:tc>
              <w:tc>
                <w:tcPr>
                  <w:tcW w:w="826" w:type="pct"/>
                  <w:vAlign w:val="center"/>
                </w:tcPr>
                <w:p w14:paraId="608DA0EA">
                  <w:pPr>
                    <w:jc w:val="center"/>
                    <w:rPr>
                      <w:vertAlign w:val="baseline"/>
                    </w:rPr>
                  </w:pPr>
                </w:p>
              </w:tc>
            </w:tr>
            <w:tr w14:paraId="0560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36AA3B4B">
                  <w:pPr>
                    <w:jc w:val="center"/>
                    <w:rPr>
                      <w:rFonts w:hint="eastAsia"/>
                      <w:vertAlign w:val="baseline"/>
                      <w:lang w:val="en-US" w:eastAsia="zh-CN"/>
                    </w:rPr>
                  </w:pPr>
                </w:p>
              </w:tc>
              <w:tc>
                <w:tcPr>
                  <w:tcW w:w="1237" w:type="pct"/>
                  <w:vAlign w:val="center"/>
                </w:tcPr>
                <w:p w14:paraId="7BDD7524">
                  <w:pPr>
                    <w:jc w:val="center"/>
                    <w:rPr>
                      <w:rFonts w:hint="default"/>
                      <w:vertAlign w:val="baseline"/>
                      <w:lang w:val="en-US" w:eastAsia="zh-CN"/>
                    </w:rPr>
                  </w:pPr>
                  <w:r>
                    <w:rPr>
                      <w:rFonts w:hint="eastAsia"/>
                      <w:vertAlign w:val="baseline"/>
                      <w:lang w:val="en-US" w:eastAsia="zh-CN"/>
                    </w:rPr>
                    <w:t>肌酐（CREA）测定试剂盒</w:t>
                  </w:r>
                </w:p>
              </w:tc>
              <w:tc>
                <w:tcPr>
                  <w:tcW w:w="773" w:type="pct"/>
                  <w:vAlign w:val="center"/>
                </w:tcPr>
                <w:p w14:paraId="4CEE3D0E">
                  <w:pPr>
                    <w:jc w:val="center"/>
                    <w:rPr>
                      <w:rFonts w:hint="eastAsia"/>
                      <w:vertAlign w:val="baseline"/>
                      <w:lang w:val="en-US" w:eastAsia="zh-CN"/>
                    </w:rPr>
                  </w:pPr>
                  <w:r>
                    <w:rPr>
                      <w:rFonts w:hint="eastAsia"/>
                      <w:vertAlign w:val="baseline"/>
                      <w:lang w:val="en-US" w:eastAsia="zh-CN"/>
                    </w:rPr>
                    <w:t>72mL/盒</w:t>
                  </w:r>
                </w:p>
              </w:tc>
              <w:tc>
                <w:tcPr>
                  <w:tcW w:w="674" w:type="pct"/>
                  <w:vAlign w:val="center"/>
                </w:tcPr>
                <w:p w14:paraId="13322EC9">
                  <w:pPr>
                    <w:jc w:val="center"/>
                    <w:rPr>
                      <w:rFonts w:hint="default"/>
                      <w:vertAlign w:val="baseline"/>
                      <w:lang w:val="en-US" w:eastAsia="zh-CN"/>
                    </w:rPr>
                  </w:pPr>
                  <w:r>
                    <w:rPr>
                      <w:rFonts w:hint="eastAsia"/>
                      <w:vertAlign w:val="baseline"/>
                      <w:lang w:val="en-US" w:eastAsia="zh-CN"/>
                    </w:rPr>
                    <w:t>14盒</w:t>
                  </w:r>
                </w:p>
              </w:tc>
              <w:tc>
                <w:tcPr>
                  <w:tcW w:w="826" w:type="pct"/>
                  <w:vAlign w:val="center"/>
                </w:tcPr>
                <w:p w14:paraId="2C8BFB94">
                  <w:pPr>
                    <w:jc w:val="center"/>
                    <w:rPr>
                      <w:vertAlign w:val="baseline"/>
                    </w:rPr>
                  </w:pPr>
                  <w:r>
                    <w:rPr>
                      <w:rFonts w:hint="eastAsia"/>
                      <w:vertAlign w:val="baseline"/>
                      <w:lang w:val="en-US" w:eastAsia="zh-CN"/>
                    </w:rPr>
                    <w:t>外购</w:t>
                  </w:r>
                </w:p>
              </w:tc>
              <w:tc>
                <w:tcPr>
                  <w:tcW w:w="826" w:type="pct"/>
                  <w:vAlign w:val="center"/>
                </w:tcPr>
                <w:p w14:paraId="0C4CEF25">
                  <w:pPr>
                    <w:jc w:val="center"/>
                    <w:rPr>
                      <w:vertAlign w:val="baseline"/>
                    </w:rPr>
                  </w:pPr>
                </w:p>
              </w:tc>
            </w:tr>
            <w:tr w14:paraId="1877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4CFA1B1">
                  <w:pPr>
                    <w:jc w:val="center"/>
                    <w:rPr>
                      <w:rFonts w:hint="eastAsia"/>
                      <w:vertAlign w:val="baseline"/>
                      <w:lang w:val="en-US" w:eastAsia="zh-CN"/>
                    </w:rPr>
                  </w:pPr>
                </w:p>
              </w:tc>
              <w:tc>
                <w:tcPr>
                  <w:tcW w:w="1237" w:type="pct"/>
                  <w:vAlign w:val="center"/>
                </w:tcPr>
                <w:p w14:paraId="5E115810">
                  <w:pPr>
                    <w:jc w:val="center"/>
                    <w:rPr>
                      <w:rFonts w:hint="default"/>
                      <w:vertAlign w:val="baseline"/>
                      <w:lang w:val="en-US" w:eastAsia="zh-CN"/>
                    </w:rPr>
                  </w:pPr>
                  <w:r>
                    <w:rPr>
                      <w:rFonts w:hint="eastAsia"/>
                      <w:vertAlign w:val="baseline"/>
                      <w:lang w:val="en-US" w:eastAsia="zh-CN"/>
                    </w:rPr>
                    <w:t>甘油三酯（TG）测定试剂盒</w:t>
                  </w:r>
                </w:p>
              </w:tc>
              <w:tc>
                <w:tcPr>
                  <w:tcW w:w="773" w:type="pct"/>
                  <w:vAlign w:val="center"/>
                </w:tcPr>
                <w:p w14:paraId="7B946F42">
                  <w:pPr>
                    <w:jc w:val="center"/>
                    <w:rPr>
                      <w:rFonts w:hint="eastAsia"/>
                      <w:vertAlign w:val="baseline"/>
                      <w:lang w:val="en-US" w:eastAsia="zh-CN"/>
                    </w:rPr>
                  </w:pPr>
                  <w:r>
                    <w:rPr>
                      <w:rFonts w:hint="eastAsia"/>
                      <w:vertAlign w:val="baseline"/>
                      <w:lang w:val="en-US" w:eastAsia="zh-CN"/>
                    </w:rPr>
                    <w:t>160mL/盒</w:t>
                  </w:r>
                </w:p>
              </w:tc>
              <w:tc>
                <w:tcPr>
                  <w:tcW w:w="674" w:type="pct"/>
                  <w:vAlign w:val="center"/>
                </w:tcPr>
                <w:p w14:paraId="2C7D3C05">
                  <w:pPr>
                    <w:jc w:val="center"/>
                    <w:rPr>
                      <w:rFonts w:hint="eastAsia"/>
                      <w:vertAlign w:val="baseline"/>
                      <w:lang w:val="en-US" w:eastAsia="zh-CN"/>
                    </w:rPr>
                  </w:pPr>
                  <w:r>
                    <w:rPr>
                      <w:rFonts w:hint="eastAsia"/>
                      <w:vertAlign w:val="baseline"/>
                      <w:lang w:val="en-US" w:eastAsia="zh-CN"/>
                    </w:rPr>
                    <w:t>4盒</w:t>
                  </w:r>
                </w:p>
              </w:tc>
              <w:tc>
                <w:tcPr>
                  <w:tcW w:w="826" w:type="pct"/>
                  <w:vAlign w:val="center"/>
                </w:tcPr>
                <w:p w14:paraId="6576971B">
                  <w:pPr>
                    <w:jc w:val="center"/>
                    <w:rPr>
                      <w:vertAlign w:val="baseline"/>
                    </w:rPr>
                  </w:pPr>
                  <w:r>
                    <w:rPr>
                      <w:rFonts w:hint="eastAsia"/>
                      <w:vertAlign w:val="baseline"/>
                      <w:lang w:val="en-US" w:eastAsia="zh-CN"/>
                    </w:rPr>
                    <w:t>外购</w:t>
                  </w:r>
                </w:p>
              </w:tc>
              <w:tc>
                <w:tcPr>
                  <w:tcW w:w="826" w:type="pct"/>
                  <w:vAlign w:val="center"/>
                </w:tcPr>
                <w:p w14:paraId="032FDB88">
                  <w:pPr>
                    <w:jc w:val="center"/>
                    <w:rPr>
                      <w:vertAlign w:val="baseline"/>
                    </w:rPr>
                  </w:pPr>
                </w:p>
              </w:tc>
            </w:tr>
            <w:tr w14:paraId="5FA1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3FDAD221">
                  <w:pPr>
                    <w:jc w:val="center"/>
                    <w:rPr>
                      <w:rFonts w:hint="eastAsia"/>
                      <w:vertAlign w:val="baseline"/>
                      <w:lang w:val="en-US" w:eastAsia="zh-CN"/>
                    </w:rPr>
                  </w:pPr>
                </w:p>
              </w:tc>
              <w:tc>
                <w:tcPr>
                  <w:tcW w:w="1237" w:type="pct"/>
                  <w:vAlign w:val="center"/>
                </w:tcPr>
                <w:p w14:paraId="1E996EA3">
                  <w:pPr>
                    <w:jc w:val="center"/>
                    <w:rPr>
                      <w:rFonts w:hint="default"/>
                      <w:vertAlign w:val="baseline"/>
                      <w:lang w:val="en-US" w:eastAsia="zh-CN"/>
                    </w:rPr>
                  </w:pPr>
                  <w:r>
                    <w:rPr>
                      <w:rFonts w:hint="eastAsia"/>
                      <w:vertAlign w:val="baseline"/>
                      <w:lang w:val="en-US" w:eastAsia="zh-CN"/>
                    </w:rPr>
                    <w:t>尿素（Urea）测定试剂盒</w:t>
                  </w:r>
                </w:p>
              </w:tc>
              <w:tc>
                <w:tcPr>
                  <w:tcW w:w="773" w:type="pct"/>
                  <w:vAlign w:val="center"/>
                </w:tcPr>
                <w:p w14:paraId="3CAE76CB">
                  <w:pPr>
                    <w:jc w:val="center"/>
                    <w:rPr>
                      <w:rFonts w:hint="eastAsia"/>
                      <w:vertAlign w:val="baseline"/>
                      <w:lang w:val="en-US" w:eastAsia="zh-CN"/>
                    </w:rPr>
                  </w:pPr>
                  <w:r>
                    <w:rPr>
                      <w:rFonts w:hint="eastAsia"/>
                      <w:vertAlign w:val="baseline"/>
                      <w:lang w:val="en-US" w:eastAsia="zh-CN"/>
                    </w:rPr>
                    <w:t>176mL/盒</w:t>
                  </w:r>
                </w:p>
              </w:tc>
              <w:tc>
                <w:tcPr>
                  <w:tcW w:w="674" w:type="pct"/>
                  <w:vAlign w:val="center"/>
                </w:tcPr>
                <w:p w14:paraId="0855850E">
                  <w:pPr>
                    <w:jc w:val="center"/>
                    <w:rPr>
                      <w:rFonts w:hint="eastAsia"/>
                      <w:vertAlign w:val="baseline"/>
                      <w:lang w:val="en-US" w:eastAsia="zh-CN"/>
                    </w:rPr>
                  </w:pPr>
                  <w:r>
                    <w:rPr>
                      <w:rFonts w:hint="eastAsia"/>
                      <w:vertAlign w:val="baseline"/>
                      <w:lang w:val="en-US" w:eastAsia="zh-CN"/>
                    </w:rPr>
                    <w:t>6盒</w:t>
                  </w:r>
                </w:p>
              </w:tc>
              <w:tc>
                <w:tcPr>
                  <w:tcW w:w="826" w:type="pct"/>
                  <w:vAlign w:val="center"/>
                </w:tcPr>
                <w:p w14:paraId="5D111A5C">
                  <w:pPr>
                    <w:jc w:val="center"/>
                    <w:rPr>
                      <w:vertAlign w:val="baseline"/>
                    </w:rPr>
                  </w:pPr>
                  <w:r>
                    <w:rPr>
                      <w:rFonts w:hint="eastAsia"/>
                      <w:vertAlign w:val="baseline"/>
                      <w:lang w:val="en-US" w:eastAsia="zh-CN"/>
                    </w:rPr>
                    <w:t>外购</w:t>
                  </w:r>
                </w:p>
              </w:tc>
              <w:tc>
                <w:tcPr>
                  <w:tcW w:w="826" w:type="pct"/>
                  <w:vAlign w:val="center"/>
                </w:tcPr>
                <w:p w14:paraId="2776B922">
                  <w:pPr>
                    <w:jc w:val="center"/>
                    <w:rPr>
                      <w:vertAlign w:val="baseline"/>
                    </w:rPr>
                  </w:pPr>
                </w:p>
              </w:tc>
            </w:tr>
            <w:tr w14:paraId="5B72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017D6525">
                  <w:pPr>
                    <w:jc w:val="center"/>
                    <w:rPr>
                      <w:rFonts w:hint="eastAsia"/>
                      <w:vertAlign w:val="baseline"/>
                      <w:lang w:val="en-US" w:eastAsia="zh-CN"/>
                    </w:rPr>
                  </w:pPr>
                </w:p>
              </w:tc>
              <w:tc>
                <w:tcPr>
                  <w:tcW w:w="1237" w:type="pct"/>
                  <w:vAlign w:val="center"/>
                </w:tcPr>
                <w:p w14:paraId="67AC4352">
                  <w:pPr>
                    <w:jc w:val="center"/>
                    <w:rPr>
                      <w:rFonts w:hint="default"/>
                      <w:vertAlign w:val="baseline"/>
                      <w:lang w:val="en-US" w:eastAsia="zh-CN"/>
                    </w:rPr>
                  </w:pPr>
                  <w:r>
                    <w:rPr>
                      <w:rFonts w:hint="eastAsia"/>
                      <w:vertAlign w:val="baseline"/>
                      <w:lang w:val="en-US" w:eastAsia="zh-CN"/>
                    </w:rPr>
                    <w:t>尿酸（UA）测定试剂盒</w:t>
                  </w:r>
                </w:p>
              </w:tc>
              <w:tc>
                <w:tcPr>
                  <w:tcW w:w="773" w:type="pct"/>
                  <w:vAlign w:val="center"/>
                </w:tcPr>
                <w:p w14:paraId="564ACF1C">
                  <w:pPr>
                    <w:jc w:val="center"/>
                    <w:rPr>
                      <w:rFonts w:hint="eastAsia"/>
                      <w:vertAlign w:val="baseline"/>
                      <w:lang w:val="en-US" w:eastAsia="zh-CN"/>
                    </w:rPr>
                  </w:pPr>
                  <w:r>
                    <w:rPr>
                      <w:rFonts w:hint="eastAsia"/>
                      <w:vertAlign w:val="baseline"/>
                      <w:lang w:val="en-US" w:eastAsia="zh-CN"/>
                    </w:rPr>
                    <w:t>176mL/盒</w:t>
                  </w:r>
                </w:p>
              </w:tc>
              <w:tc>
                <w:tcPr>
                  <w:tcW w:w="674" w:type="pct"/>
                  <w:vAlign w:val="center"/>
                </w:tcPr>
                <w:p w14:paraId="396CC507">
                  <w:pPr>
                    <w:jc w:val="center"/>
                    <w:rPr>
                      <w:rFonts w:hint="eastAsia"/>
                      <w:vertAlign w:val="baseline"/>
                      <w:lang w:val="en-US" w:eastAsia="zh-CN"/>
                    </w:rPr>
                  </w:pPr>
                  <w:r>
                    <w:rPr>
                      <w:rFonts w:hint="eastAsia"/>
                      <w:vertAlign w:val="baseline"/>
                      <w:lang w:val="en-US" w:eastAsia="zh-CN"/>
                    </w:rPr>
                    <w:t>7盒</w:t>
                  </w:r>
                </w:p>
              </w:tc>
              <w:tc>
                <w:tcPr>
                  <w:tcW w:w="826" w:type="pct"/>
                  <w:vAlign w:val="center"/>
                </w:tcPr>
                <w:p w14:paraId="690A29A1">
                  <w:pPr>
                    <w:jc w:val="center"/>
                    <w:rPr>
                      <w:vertAlign w:val="baseline"/>
                    </w:rPr>
                  </w:pPr>
                  <w:r>
                    <w:rPr>
                      <w:rFonts w:hint="eastAsia"/>
                      <w:vertAlign w:val="baseline"/>
                      <w:lang w:val="en-US" w:eastAsia="zh-CN"/>
                    </w:rPr>
                    <w:t>外购</w:t>
                  </w:r>
                </w:p>
              </w:tc>
              <w:tc>
                <w:tcPr>
                  <w:tcW w:w="826" w:type="pct"/>
                  <w:vAlign w:val="center"/>
                </w:tcPr>
                <w:p w14:paraId="25F104CF">
                  <w:pPr>
                    <w:jc w:val="center"/>
                    <w:rPr>
                      <w:vertAlign w:val="baseline"/>
                    </w:rPr>
                  </w:pPr>
                </w:p>
              </w:tc>
            </w:tr>
            <w:tr w14:paraId="378C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A25DE7B">
                  <w:pPr>
                    <w:jc w:val="center"/>
                    <w:rPr>
                      <w:rFonts w:hint="eastAsia"/>
                      <w:vertAlign w:val="baseline"/>
                      <w:lang w:val="en-US" w:eastAsia="zh-CN"/>
                    </w:rPr>
                  </w:pPr>
                </w:p>
              </w:tc>
              <w:tc>
                <w:tcPr>
                  <w:tcW w:w="1237" w:type="pct"/>
                  <w:vAlign w:val="center"/>
                </w:tcPr>
                <w:p w14:paraId="46C3487A">
                  <w:pPr>
                    <w:jc w:val="center"/>
                    <w:rPr>
                      <w:rFonts w:hint="default"/>
                      <w:vertAlign w:val="baseline"/>
                      <w:lang w:val="en-US" w:eastAsia="zh-CN"/>
                    </w:rPr>
                  </w:pPr>
                  <w:r>
                    <w:rPr>
                      <w:rFonts w:hint="eastAsia"/>
                      <w:vertAlign w:val="baseline"/>
                      <w:lang w:val="en-US" w:eastAsia="zh-CN"/>
                    </w:rPr>
                    <w:t>葡萄糖（GLU）测定试剂盒</w:t>
                  </w:r>
                </w:p>
              </w:tc>
              <w:tc>
                <w:tcPr>
                  <w:tcW w:w="773" w:type="pct"/>
                  <w:vAlign w:val="center"/>
                </w:tcPr>
                <w:p w14:paraId="40909F3F">
                  <w:pPr>
                    <w:jc w:val="center"/>
                    <w:rPr>
                      <w:rFonts w:hint="eastAsia"/>
                      <w:vertAlign w:val="baseline"/>
                      <w:lang w:val="en-US" w:eastAsia="zh-CN"/>
                    </w:rPr>
                  </w:pPr>
                  <w:r>
                    <w:rPr>
                      <w:rFonts w:hint="eastAsia"/>
                      <w:vertAlign w:val="baseline"/>
                      <w:lang w:val="en-US" w:eastAsia="zh-CN"/>
                    </w:rPr>
                    <w:t>176mL/盒</w:t>
                  </w:r>
                </w:p>
              </w:tc>
              <w:tc>
                <w:tcPr>
                  <w:tcW w:w="674" w:type="pct"/>
                  <w:vAlign w:val="center"/>
                </w:tcPr>
                <w:p w14:paraId="001AFC78">
                  <w:pPr>
                    <w:jc w:val="center"/>
                    <w:rPr>
                      <w:rFonts w:hint="eastAsia"/>
                      <w:vertAlign w:val="baseline"/>
                      <w:lang w:val="en-US" w:eastAsia="zh-CN"/>
                    </w:rPr>
                  </w:pPr>
                  <w:r>
                    <w:rPr>
                      <w:rFonts w:hint="eastAsia"/>
                      <w:vertAlign w:val="baseline"/>
                      <w:lang w:val="en-US" w:eastAsia="zh-CN"/>
                    </w:rPr>
                    <w:t>0</w:t>
                  </w:r>
                </w:p>
              </w:tc>
              <w:tc>
                <w:tcPr>
                  <w:tcW w:w="826" w:type="pct"/>
                  <w:vAlign w:val="center"/>
                </w:tcPr>
                <w:p w14:paraId="5FCC3D59">
                  <w:pPr>
                    <w:jc w:val="center"/>
                    <w:rPr>
                      <w:vertAlign w:val="baseline"/>
                    </w:rPr>
                  </w:pPr>
                  <w:r>
                    <w:rPr>
                      <w:rFonts w:hint="eastAsia"/>
                      <w:vertAlign w:val="baseline"/>
                      <w:lang w:val="en-US" w:eastAsia="zh-CN"/>
                    </w:rPr>
                    <w:t>外购</w:t>
                  </w:r>
                </w:p>
              </w:tc>
              <w:tc>
                <w:tcPr>
                  <w:tcW w:w="826" w:type="pct"/>
                  <w:vAlign w:val="center"/>
                </w:tcPr>
                <w:p w14:paraId="5C9BD9CE">
                  <w:pPr>
                    <w:jc w:val="center"/>
                    <w:rPr>
                      <w:vertAlign w:val="baseline"/>
                    </w:rPr>
                  </w:pPr>
                </w:p>
              </w:tc>
            </w:tr>
            <w:tr w14:paraId="18FF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025D6CD9">
                  <w:pPr>
                    <w:jc w:val="center"/>
                    <w:rPr>
                      <w:rFonts w:hint="eastAsia"/>
                      <w:vertAlign w:val="baseline"/>
                      <w:lang w:val="en-US" w:eastAsia="zh-CN"/>
                    </w:rPr>
                  </w:pPr>
                </w:p>
              </w:tc>
              <w:tc>
                <w:tcPr>
                  <w:tcW w:w="1237" w:type="pct"/>
                  <w:vAlign w:val="center"/>
                </w:tcPr>
                <w:p w14:paraId="75443364">
                  <w:pPr>
                    <w:jc w:val="center"/>
                    <w:rPr>
                      <w:rFonts w:hint="eastAsia"/>
                      <w:vertAlign w:val="baseline"/>
                      <w:lang w:val="en-US" w:eastAsia="zh-CN"/>
                    </w:rPr>
                  </w:pPr>
                  <w:r>
                    <w:rPr>
                      <w:rFonts w:hint="eastAsia"/>
                      <w:vertAlign w:val="baseline"/>
                      <w:lang w:val="en-US" w:eastAsia="zh-CN"/>
                    </w:rPr>
                    <w:t xml:space="preserve">丙氨酸氨基转移酶 </w:t>
                  </w:r>
                </w:p>
                <w:p w14:paraId="19F2AC58">
                  <w:pPr>
                    <w:jc w:val="center"/>
                    <w:rPr>
                      <w:rFonts w:hint="eastAsia"/>
                      <w:vertAlign w:val="baseline"/>
                      <w:lang w:val="en-US" w:eastAsia="zh-CN"/>
                    </w:rPr>
                  </w:pPr>
                  <w:r>
                    <w:rPr>
                      <w:rFonts w:hint="eastAsia"/>
                      <w:vertAlign w:val="baseline"/>
                      <w:lang w:val="en-US" w:eastAsia="zh-CN"/>
                    </w:rPr>
                    <w:t>(ALT)测定试剂盒</w:t>
                  </w:r>
                </w:p>
              </w:tc>
              <w:tc>
                <w:tcPr>
                  <w:tcW w:w="773" w:type="pct"/>
                  <w:vAlign w:val="center"/>
                </w:tcPr>
                <w:p w14:paraId="2E44849B">
                  <w:pPr>
                    <w:jc w:val="center"/>
                    <w:rPr>
                      <w:rFonts w:hint="eastAsia"/>
                      <w:vertAlign w:val="baseline"/>
                      <w:lang w:val="en-US" w:eastAsia="zh-CN"/>
                    </w:rPr>
                  </w:pPr>
                  <w:r>
                    <w:rPr>
                      <w:rFonts w:hint="eastAsia"/>
                      <w:vertAlign w:val="baseline"/>
                      <w:lang w:val="en-US" w:eastAsia="zh-CN"/>
                    </w:rPr>
                    <w:t>176mL/盒</w:t>
                  </w:r>
                </w:p>
              </w:tc>
              <w:tc>
                <w:tcPr>
                  <w:tcW w:w="674" w:type="pct"/>
                  <w:vAlign w:val="center"/>
                </w:tcPr>
                <w:p w14:paraId="3780FCF7">
                  <w:pPr>
                    <w:jc w:val="center"/>
                    <w:rPr>
                      <w:rFonts w:hint="eastAsia"/>
                      <w:vertAlign w:val="baseline"/>
                      <w:lang w:val="en-US" w:eastAsia="zh-CN"/>
                    </w:rPr>
                  </w:pPr>
                  <w:r>
                    <w:rPr>
                      <w:rFonts w:hint="eastAsia"/>
                      <w:vertAlign w:val="baseline"/>
                      <w:lang w:val="en-US" w:eastAsia="zh-CN"/>
                    </w:rPr>
                    <w:t>5盒</w:t>
                  </w:r>
                </w:p>
              </w:tc>
              <w:tc>
                <w:tcPr>
                  <w:tcW w:w="826" w:type="pct"/>
                  <w:vAlign w:val="center"/>
                </w:tcPr>
                <w:p w14:paraId="319DCDC5">
                  <w:pPr>
                    <w:jc w:val="center"/>
                    <w:rPr>
                      <w:vertAlign w:val="baseline"/>
                    </w:rPr>
                  </w:pPr>
                  <w:r>
                    <w:rPr>
                      <w:rFonts w:hint="eastAsia"/>
                      <w:vertAlign w:val="baseline"/>
                      <w:lang w:val="en-US" w:eastAsia="zh-CN"/>
                    </w:rPr>
                    <w:t>外购</w:t>
                  </w:r>
                </w:p>
              </w:tc>
              <w:tc>
                <w:tcPr>
                  <w:tcW w:w="826" w:type="pct"/>
                  <w:vAlign w:val="center"/>
                </w:tcPr>
                <w:p w14:paraId="7B794CC7">
                  <w:pPr>
                    <w:jc w:val="center"/>
                    <w:rPr>
                      <w:vertAlign w:val="baseline"/>
                    </w:rPr>
                  </w:pPr>
                </w:p>
              </w:tc>
            </w:tr>
            <w:tr w14:paraId="34BA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60" w:type="pct"/>
                  <w:vMerge w:val="continue"/>
                  <w:vAlign w:val="center"/>
                </w:tcPr>
                <w:p w14:paraId="62F10B50">
                  <w:pPr>
                    <w:jc w:val="center"/>
                    <w:rPr>
                      <w:rFonts w:hint="eastAsia"/>
                      <w:vertAlign w:val="baseline"/>
                      <w:lang w:val="en-US" w:eastAsia="zh-CN"/>
                    </w:rPr>
                  </w:pPr>
                </w:p>
              </w:tc>
              <w:tc>
                <w:tcPr>
                  <w:tcW w:w="1237" w:type="pct"/>
                  <w:vAlign w:val="center"/>
                </w:tcPr>
                <w:p w14:paraId="5204E35A">
                  <w:pPr>
                    <w:jc w:val="center"/>
                    <w:rPr>
                      <w:rFonts w:hint="eastAsia"/>
                      <w:vertAlign w:val="baseline"/>
                      <w:lang w:val="en-US" w:eastAsia="zh-CN"/>
                    </w:rPr>
                  </w:pPr>
                  <w:r>
                    <w:rPr>
                      <w:rFonts w:hint="eastAsia"/>
                      <w:vertAlign w:val="baseline"/>
                      <w:lang w:val="en-US" w:eastAsia="zh-CN"/>
                    </w:rPr>
                    <w:t>白蛋白(ALB)测定试剂盒</w:t>
                  </w:r>
                </w:p>
              </w:tc>
              <w:tc>
                <w:tcPr>
                  <w:tcW w:w="773" w:type="pct"/>
                  <w:vAlign w:val="center"/>
                </w:tcPr>
                <w:p w14:paraId="725C1FC6">
                  <w:pPr>
                    <w:jc w:val="center"/>
                    <w:rPr>
                      <w:rFonts w:hint="eastAsia"/>
                      <w:vertAlign w:val="baseline"/>
                      <w:lang w:val="en-US" w:eastAsia="zh-CN"/>
                    </w:rPr>
                  </w:pPr>
                  <w:r>
                    <w:rPr>
                      <w:rFonts w:hint="eastAsia"/>
                      <w:vertAlign w:val="baseline"/>
                      <w:lang w:val="en-US" w:eastAsia="zh-CN"/>
                    </w:rPr>
                    <w:t>160mL/盒</w:t>
                  </w:r>
                </w:p>
              </w:tc>
              <w:tc>
                <w:tcPr>
                  <w:tcW w:w="674" w:type="pct"/>
                  <w:vAlign w:val="center"/>
                </w:tcPr>
                <w:p w14:paraId="4941D843">
                  <w:pPr>
                    <w:jc w:val="center"/>
                    <w:rPr>
                      <w:rFonts w:hint="eastAsia"/>
                      <w:vertAlign w:val="baseline"/>
                      <w:lang w:val="en-US" w:eastAsia="zh-CN"/>
                    </w:rPr>
                  </w:pPr>
                  <w:r>
                    <w:rPr>
                      <w:rFonts w:hint="eastAsia"/>
                      <w:vertAlign w:val="baseline"/>
                      <w:lang w:val="en-US" w:eastAsia="zh-CN"/>
                    </w:rPr>
                    <w:t>6盒</w:t>
                  </w:r>
                </w:p>
              </w:tc>
              <w:tc>
                <w:tcPr>
                  <w:tcW w:w="826" w:type="pct"/>
                  <w:vAlign w:val="center"/>
                </w:tcPr>
                <w:p w14:paraId="2C619D33">
                  <w:pPr>
                    <w:jc w:val="center"/>
                    <w:rPr>
                      <w:vertAlign w:val="baseline"/>
                    </w:rPr>
                  </w:pPr>
                  <w:r>
                    <w:rPr>
                      <w:rFonts w:hint="eastAsia"/>
                      <w:vertAlign w:val="baseline"/>
                      <w:lang w:val="en-US" w:eastAsia="zh-CN"/>
                    </w:rPr>
                    <w:t>外购</w:t>
                  </w:r>
                </w:p>
              </w:tc>
              <w:tc>
                <w:tcPr>
                  <w:tcW w:w="826" w:type="pct"/>
                  <w:vAlign w:val="center"/>
                </w:tcPr>
                <w:p w14:paraId="22C2EF06">
                  <w:pPr>
                    <w:jc w:val="center"/>
                    <w:rPr>
                      <w:vertAlign w:val="baseline"/>
                    </w:rPr>
                  </w:pPr>
                </w:p>
              </w:tc>
            </w:tr>
            <w:tr w14:paraId="1634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384C0CED">
                  <w:pPr>
                    <w:jc w:val="center"/>
                    <w:rPr>
                      <w:rFonts w:hint="eastAsia"/>
                      <w:vertAlign w:val="baseline"/>
                      <w:lang w:val="en-US" w:eastAsia="zh-CN"/>
                    </w:rPr>
                  </w:pPr>
                </w:p>
              </w:tc>
              <w:tc>
                <w:tcPr>
                  <w:tcW w:w="1237" w:type="pct"/>
                  <w:vAlign w:val="center"/>
                </w:tcPr>
                <w:p w14:paraId="33BF158F">
                  <w:pPr>
                    <w:jc w:val="center"/>
                    <w:rPr>
                      <w:rFonts w:hint="eastAsia"/>
                      <w:vertAlign w:val="baseline"/>
                      <w:lang w:val="en-US" w:eastAsia="zh-CN"/>
                    </w:rPr>
                  </w:pPr>
                  <w:r>
                    <w:rPr>
                      <w:rFonts w:hint="eastAsia"/>
                      <w:vertAlign w:val="baseline"/>
                      <w:lang w:val="en-US" w:eastAsia="zh-CN"/>
                    </w:rPr>
                    <w:t>总蛋白(TP)测定试剂盒</w:t>
                  </w:r>
                </w:p>
              </w:tc>
              <w:tc>
                <w:tcPr>
                  <w:tcW w:w="773" w:type="pct"/>
                  <w:vAlign w:val="center"/>
                </w:tcPr>
                <w:p w14:paraId="07E171E5">
                  <w:pPr>
                    <w:jc w:val="center"/>
                    <w:rPr>
                      <w:rFonts w:hint="eastAsia"/>
                      <w:vertAlign w:val="baseline"/>
                      <w:lang w:val="en-US" w:eastAsia="zh-CN"/>
                    </w:rPr>
                  </w:pPr>
                  <w:r>
                    <w:rPr>
                      <w:rFonts w:hint="eastAsia"/>
                      <w:vertAlign w:val="baseline"/>
                      <w:lang w:val="en-US" w:eastAsia="zh-CN"/>
                    </w:rPr>
                    <w:t>196mL/盒</w:t>
                  </w:r>
                </w:p>
              </w:tc>
              <w:tc>
                <w:tcPr>
                  <w:tcW w:w="674" w:type="pct"/>
                  <w:vAlign w:val="center"/>
                </w:tcPr>
                <w:p w14:paraId="0F765AE9">
                  <w:pPr>
                    <w:jc w:val="center"/>
                    <w:rPr>
                      <w:rFonts w:hint="eastAsia"/>
                      <w:vertAlign w:val="baseline"/>
                      <w:lang w:val="en-US" w:eastAsia="zh-CN"/>
                    </w:rPr>
                  </w:pPr>
                  <w:r>
                    <w:rPr>
                      <w:rFonts w:hint="eastAsia"/>
                      <w:vertAlign w:val="baseline"/>
                      <w:lang w:val="en-US" w:eastAsia="zh-CN"/>
                    </w:rPr>
                    <w:t>2盒</w:t>
                  </w:r>
                </w:p>
              </w:tc>
              <w:tc>
                <w:tcPr>
                  <w:tcW w:w="826" w:type="pct"/>
                  <w:vAlign w:val="center"/>
                </w:tcPr>
                <w:p w14:paraId="0EFBD794">
                  <w:pPr>
                    <w:jc w:val="center"/>
                    <w:rPr>
                      <w:vertAlign w:val="baseline"/>
                    </w:rPr>
                  </w:pPr>
                  <w:r>
                    <w:rPr>
                      <w:rFonts w:hint="eastAsia"/>
                      <w:vertAlign w:val="baseline"/>
                      <w:lang w:val="en-US" w:eastAsia="zh-CN"/>
                    </w:rPr>
                    <w:t>外购</w:t>
                  </w:r>
                </w:p>
              </w:tc>
              <w:tc>
                <w:tcPr>
                  <w:tcW w:w="826" w:type="pct"/>
                  <w:vAlign w:val="center"/>
                </w:tcPr>
                <w:p w14:paraId="2FF364F8">
                  <w:pPr>
                    <w:jc w:val="center"/>
                    <w:rPr>
                      <w:vertAlign w:val="baseline"/>
                    </w:rPr>
                  </w:pPr>
                </w:p>
              </w:tc>
            </w:tr>
            <w:tr w14:paraId="6DFC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vAlign w:val="center"/>
                </w:tcPr>
                <w:p w14:paraId="010FD5AD">
                  <w:pPr>
                    <w:jc w:val="center"/>
                    <w:rPr>
                      <w:rFonts w:hint="default"/>
                      <w:vertAlign w:val="baseline"/>
                      <w:lang w:val="en-US" w:eastAsia="zh-CN"/>
                    </w:rPr>
                  </w:pPr>
                  <w:r>
                    <w:rPr>
                      <w:rFonts w:hint="eastAsia"/>
                      <w:vertAlign w:val="baseline"/>
                      <w:lang w:val="en-US" w:eastAsia="zh-CN"/>
                    </w:rPr>
                    <w:t>水处理</w:t>
                  </w:r>
                </w:p>
              </w:tc>
              <w:tc>
                <w:tcPr>
                  <w:tcW w:w="1237" w:type="pct"/>
                  <w:vAlign w:val="center"/>
                </w:tcPr>
                <w:p w14:paraId="5070341A">
                  <w:pPr>
                    <w:jc w:val="center"/>
                    <w:rPr>
                      <w:rFonts w:hint="default"/>
                      <w:vertAlign w:val="baseline"/>
                      <w:lang w:val="en-US" w:eastAsia="zh-CN"/>
                    </w:rPr>
                  </w:pPr>
                  <w:r>
                    <w:rPr>
                      <w:rFonts w:hint="eastAsia"/>
                      <w:vertAlign w:val="baseline"/>
                      <w:lang w:val="en-US" w:eastAsia="zh-CN"/>
                    </w:rPr>
                    <w:t>二氧化氯消毒粉</w:t>
                  </w:r>
                </w:p>
              </w:tc>
              <w:tc>
                <w:tcPr>
                  <w:tcW w:w="773" w:type="pct"/>
                  <w:vAlign w:val="center"/>
                </w:tcPr>
                <w:p w14:paraId="2D2DBF9D">
                  <w:pPr>
                    <w:jc w:val="center"/>
                    <w:rPr>
                      <w:rFonts w:hint="default"/>
                      <w:vertAlign w:val="baseline"/>
                      <w:lang w:val="en-US" w:eastAsia="zh-CN"/>
                    </w:rPr>
                  </w:pPr>
                  <w:r>
                    <w:rPr>
                      <w:rFonts w:hint="eastAsia"/>
                      <w:vertAlign w:val="baseline"/>
                      <w:lang w:val="en-US" w:eastAsia="zh-CN"/>
                    </w:rPr>
                    <w:t>4KG</w:t>
                  </w:r>
                </w:p>
              </w:tc>
              <w:tc>
                <w:tcPr>
                  <w:tcW w:w="674" w:type="pct"/>
                  <w:vAlign w:val="center"/>
                </w:tcPr>
                <w:p w14:paraId="6277C761">
                  <w:pPr>
                    <w:jc w:val="center"/>
                    <w:rPr>
                      <w:rFonts w:hint="default"/>
                      <w:vertAlign w:val="baseline"/>
                      <w:lang w:val="en-US" w:eastAsia="zh-CN"/>
                    </w:rPr>
                  </w:pPr>
                  <w:r>
                    <w:rPr>
                      <w:rFonts w:hint="eastAsia"/>
                      <w:vertAlign w:val="baseline"/>
                      <w:lang w:val="en-US" w:eastAsia="zh-CN"/>
                    </w:rPr>
                    <w:t>4瓶</w:t>
                  </w:r>
                </w:p>
              </w:tc>
              <w:tc>
                <w:tcPr>
                  <w:tcW w:w="826" w:type="pct"/>
                  <w:vAlign w:val="center"/>
                </w:tcPr>
                <w:p w14:paraId="5E41DDC3">
                  <w:pPr>
                    <w:jc w:val="center"/>
                    <w:rPr>
                      <w:vertAlign w:val="baseline"/>
                    </w:rPr>
                  </w:pPr>
                  <w:r>
                    <w:rPr>
                      <w:rFonts w:hint="eastAsia"/>
                      <w:vertAlign w:val="baseline"/>
                      <w:lang w:val="en-US" w:eastAsia="zh-CN"/>
                    </w:rPr>
                    <w:t>外购</w:t>
                  </w:r>
                </w:p>
              </w:tc>
              <w:tc>
                <w:tcPr>
                  <w:tcW w:w="826" w:type="pct"/>
                  <w:vAlign w:val="center"/>
                </w:tcPr>
                <w:p w14:paraId="348B1327">
                  <w:pPr>
                    <w:jc w:val="center"/>
                    <w:rPr>
                      <w:rFonts w:hint="default" w:eastAsia="宋体"/>
                      <w:vertAlign w:val="baseline"/>
                      <w:lang w:val="en-US" w:eastAsia="zh-CN"/>
                    </w:rPr>
                  </w:pPr>
                  <w:r>
                    <w:rPr>
                      <w:rFonts w:hint="eastAsia"/>
                      <w:vertAlign w:val="baseline"/>
                      <w:lang w:val="en-US" w:eastAsia="zh-CN"/>
                    </w:rPr>
                    <w:t>备用用于污水处理消毒</w:t>
                  </w:r>
                </w:p>
              </w:tc>
            </w:tr>
            <w:tr w14:paraId="6BEE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7863825">
                  <w:pPr>
                    <w:jc w:val="center"/>
                    <w:rPr>
                      <w:rFonts w:hint="eastAsia"/>
                      <w:vertAlign w:val="baseline"/>
                      <w:lang w:val="en-US" w:eastAsia="zh-CN"/>
                    </w:rPr>
                  </w:pPr>
                </w:p>
              </w:tc>
              <w:tc>
                <w:tcPr>
                  <w:tcW w:w="1237" w:type="pct"/>
                  <w:vAlign w:val="center"/>
                </w:tcPr>
                <w:p w14:paraId="03EA675F">
                  <w:pPr>
                    <w:jc w:val="center"/>
                    <w:rPr>
                      <w:rFonts w:hint="default"/>
                      <w:vertAlign w:val="baseline"/>
                      <w:lang w:val="en-US" w:eastAsia="zh-CN"/>
                    </w:rPr>
                  </w:pPr>
                  <w:r>
                    <w:rPr>
                      <w:rFonts w:hint="eastAsia"/>
                      <w:vertAlign w:val="baseline"/>
                      <w:lang w:val="en-US" w:eastAsia="zh-CN"/>
                    </w:rPr>
                    <w:t>PAM</w:t>
                  </w:r>
                </w:p>
              </w:tc>
              <w:tc>
                <w:tcPr>
                  <w:tcW w:w="773" w:type="pct"/>
                  <w:vAlign w:val="center"/>
                </w:tcPr>
                <w:p w14:paraId="30DC5F20">
                  <w:pPr>
                    <w:jc w:val="center"/>
                    <w:rPr>
                      <w:rFonts w:hint="default"/>
                      <w:vertAlign w:val="baseline"/>
                      <w:lang w:val="en-US" w:eastAsia="zh-CN"/>
                    </w:rPr>
                  </w:pPr>
                  <w:r>
                    <w:rPr>
                      <w:rFonts w:hint="eastAsia"/>
                      <w:vertAlign w:val="baseline"/>
                      <w:lang w:val="en-US" w:eastAsia="zh-CN"/>
                    </w:rPr>
                    <w:t>10K</w:t>
                  </w:r>
                </w:p>
              </w:tc>
              <w:tc>
                <w:tcPr>
                  <w:tcW w:w="674" w:type="pct"/>
                  <w:vAlign w:val="center"/>
                </w:tcPr>
                <w:p w14:paraId="7CFCD72C">
                  <w:pPr>
                    <w:jc w:val="center"/>
                    <w:rPr>
                      <w:rFonts w:hint="default"/>
                      <w:vertAlign w:val="baseline"/>
                      <w:lang w:val="en-US" w:eastAsia="zh-CN"/>
                    </w:rPr>
                  </w:pPr>
                  <w:r>
                    <w:rPr>
                      <w:rFonts w:hint="eastAsia"/>
                      <w:vertAlign w:val="baseline"/>
                      <w:lang w:val="en-US" w:eastAsia="zh-CN"/>
                    </w:rPr>
                    <w:t>10K</w:t>
                  </w:r>
                </w:p>
              </w:tc>
              <w:tc>
                <w:tcPr>
                  <w:tcW w:w="826" w:type="pct"/>
                  <w:vAlign w:val="center"/>
                </w:tcPr>
                <w:p w14:paraId="2503FCC9">
                  <w:pPr>
                    <w:jc w:val="center"/>
                    <w:rPr>
                      <w:rFonts w:hint="eastAsia" w:eastAsia="宋体"/>
                      <w:vertAlign w:val="baseline"/>
                      <w:lang w:val="en-US" w:eastAsia="zh-CN"/>
                    </w:rPr>
                  </w:pPr>
                  <w:r>
                    <w:rPr>
                      <w:rFonts w:hint="eastAsia"/>
                      <w:vertAlign w:val="baseline"/>
                      <w:lang w:val="en-US" w:eastAsia="zh-CN"/>
                    </w:rPr>
                    <w:t>外购</w:t>
                  </w:r>
                </w:p>
              </w:tc>
              <w:tc>
                <w:tcPr>
                  <w:tcW w:w="826" w:type="pct"/>
                  <w:vAlign w:val="center"/>
                </w:tcPr>
                <w:p w14:paraId="520EECD8">
                  <w:pPr>
                    <w:jc w:val="center"/>
                    <w:rPr>
                      <w:rFonts w:hint="eastAsia" w:eastAsia="宋体"/>
                      <w:vertAlign w:val="baseline"/>
                      <w:lang w:val="en-US" w:eastAsia="zh-CN"/>
                    </w:rPr>
                  </w:pPr>
                  <w:r>
                    <w:rPr>
                      <w:rFonts w:hint="eastAsia"/>
                      <w:vertAlign w:val="baseline"/>
                      <w:lang w:val="en-US" w:eastAsia="zh-CN"/>
                    </w:rPr>
                    <w:t>污水处理</w:t>
                  </w:r>
                </w:p>
              </w:tc>
            </w:tr>
            <w:tr w14:paraId="20DF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1D6DA5E1">
                  <w:pPr>
                    <w:jc w:val="center"/>
                    <w:rPr>
                      <w:rFonts w:hint="eastAsia"/>
                      <w:vertAlign w:val="baseline"/>
                      <w:lang w:val="en-US" w:eastAsia="zh-CN"/>
                    </w:rPr>
                  </w:pPr>
                </w:p>
              </w:tc>
              <w:tc>
                <w:tcPr>
                  <w:tcW w:w="1237" w:type="pct"/>
                  <w:vAlign w:val="center"/>
                </w:tcPr>
                <w:p w14:paraId="6D290FB9">
                  <w:pPr>
                    <w:jc w:val="center"/>
                    <w:rPr>
                      <w:rFonts w:hint="default"/>
                      <w:vertAlign w:val="baseline"/>
                      <w:lang w:val="en-US" w:eastAsia="zh-CN"/>
                    </w:rPr>
                  </w:pPr>
                  <w:r>
                    <w:rPr>
                      <w:rFonts w:hint="eastAsia"/>
                      <w:vertAlign w:val="baseline"/>
                      <w:lang w:val="en-US" w:eastAsia="zh-CN"/>
                    </w:rPr>
                    <w:t>PAC</w:t>
                  </w:r>
                </w:p>
              </w:tc>
              <w:tc>
                <w:tcPr>
                  <w:tcW w:w="773" w:type="pct"/>
                  <w:vAlign w:val="center"/>
                </w:tcPr>
                <w:p w14:paraId="73264D91">
                  <w:pPr>
                    <w:jc w:val="center"/>
                    <w:rPr>
                      <w:rFonts w:hint="default"/>
                      <w:vertAlign w:val="baseline"/>
                      <w:lang w:val="en-US" w:eastAsia="zh-CN"/>
                    </w:rPr>
                  </w:pPr>
                  <w:r>
                    <w:rPr>
                      <w:rFonts w:hint="eastAsia"/>
                      <w:vertAlign w:val="baseline"/>
                      <w:lang w:val="en-US" w:eastAsia="zh-CN"/>
                    </w:rPr>
                    <w:t>10KG</w:t>
                  </w:r>
                </w:p>
              </w:tc>
              <w:tc>
                <w:tcPr>
                  <w:tcW w:w="674" w:type="pct"/>
                  <w:vAlign w:val="center"/>
                </w:tcPr>
                <w:p w14:paraId="416B320C">
                  <w:pPr>
                    <w:jc w:val="center"/>
                    <w:rPr>
                      <w:rFonts w:hint="default"/>
                      <w:vertAlign w:val="baseline"/>
                      <w:lang w:val="en-US" w:eastAsia="zh-CN"/>
                    </w:rPr>
                  </w:pPr>
                  <w:r>
                    <w:rPr>
                      <w:rFonts w:hint="eastAsia"/>
                      <w:vertAlign w:val="baseline"/>
                      <w:lang w:val="en-US" w:eastAsia="zh-CN"/>
                    </w:rPr>
                    <w:t>10KG</w:t>
                  </w:r>
                </w:p>
              </w:tc>
              <w:tc>
                <w:tcPr>
                  <w:tcW w:w="826" w:type="pct"/>
                  <w:vAlign w:val="center"/>
                </w:tcPr>
                <w:p w14:paraId="78814BED">
                  <w:pPr>
                    <w:jc w:val="center"/>
                    <w:rPr>
                      <w:vertAlign w:val="baseline"/>
                    </w:rPr>
                  </w:pPr>
                  <w:r>
                    <w:rPr>
                      <w:rFonts w:hint="eastAsia"/>
                      <w:vertAlign w:val="baseline"/>
                      <w:lang w:val="en-US" w:eastAsia="zh-CN"/>
                    </w:rPr>
                    <w:t>外购</w:t>
                  </w:r>
                </w:p>
              </w:tc>
              <w:tc>
                <w:tcPr>
                  <w:tcW w:w="826" w:type="pct"/>
                  <w:vAlign w:val="center"/>
                </w:tcPr>
                <w:p w14:paraId="455DF99F">
                  <w:pPr>
                    <w:jc w:val="center"/>
                    <w:rPr>
                      <w:rFonts w:hint="eastAsia" w:eastAsia="宋体"/>
                      <w:vertAlign w:val="baseline"/>
                      <w:lang w:val="en-US" w:eastAsia="zh-CN"/>
                    </w:rPr>
                  </w:pPr>
                  <w:r>
                    <w:rPr>
                      <w:rFonts w:hint="eastAsia"/>
                      <w:vertAlign w:val="baseline"/>
                      <w:lang w:val="en-US" w:eastAsia="zh-CN"/>
                    </w:rPr>
                    <w:t>污水处理</w:t>
                  </w:r>
                </w:p>
              </w:tc>
            </w:tr>
            <w:tr w14:paraId="4B1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6B856CF8">
                  <w:pPr>
                    <w:jc w:val="center"/>
                    <w:rPr>
                      <w:rFonts w:hint="eastAsia"/>
                      <w:vertAlign w:val="baseline"/>
                      <w:lang w:val="en-US" w:eastAsia="zh-CN"/>
                    </w:rPr>
                  </w:pPr>
                </w:p>
              </w:tc>
              <w:tc>
                <w:tcPr>
                  <w:tcW w:w="1237" w:type="pct"/>
                  <w:vAlign w:val="center"/>
                </w:tcPr>
                <w:p w14:paraId="4B6E4805">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活性氧消毒剂</w:t>
                  </w:r>
                </w:p>
              </w:tc>
              <w:tc>
                <w:tcPr>
                  <w:tcW w:w="773" w:type="pct"/>
                  <w:vAlign w:val="center"/>
                </w:tcPr>
                <w:p w14:paraId="1A9B174A">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0.050t/a</w:t>
                  </w:r>
                </w:p>
              </w:tc>
              <w:tc>
                <w:tcPr>
                  <w:tcW w:w="674" w:type="pct"/>
                  <w:vAlign w:val="center"/>
                </w:tcPr>
                <w:p w14:paraId="7B55AE7E">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1kg/瓶</w:t>
                  </w:r>
                </w:p>
              </w:tc>
              <w:tc>
                <w:tcPr>
                  <w:tcW w:w="826" w:type="pct"/>
                  <w:vAlign w:val="center"/>
                </w:tcPr>
                <w:p w14:paraId="229E137C">
                  <w:pPr>
                    <w:jc w:val="center"/>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由污水站运营人员添加</w:t>
                  </w:r>
                </w:p>
              </w:tc>
              <w:tc>
                <w:tcPr>
                  <w:tcW w:w="826" w:type="pct"/>
                  <w:vAlign w:val="center"/>
                </w:tcPr>
                <w:p w14:paraId="65EC33AC">
                  <w:pPr>
                    <w:jc w:val="center"/>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院内不暂存</w:t>
                  </w:r>
                </w:p>
              </w:tc>
            </w:tr>
            <w:tr w14:paraId="3082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restart"/>
                  <w:vAlign w:val="center"/>
                </w:tcPr>
                <w:p w14:paraId="4E1C110D">
                  <w:pPr>
                    <w:jc w:val="center"/>
                    <w:rPr>
                      <w:rFonts w:hint="default"/>
                      <w:vertAlign w:val="baseline"/>
                      <w:lang w:val="en-US" w:eastAsia="zh-CN"/>
                    </w:rPr>
                  </w:pPr>
                  <w:r>
                    <w:rPr>
                      <w:rFonts w:hint="eastAsia"/>
                      <w:vertAlign w:val="baseline"/>
                      <w:lang w:val="en-US" w:eastAsia="zh-CN"/>
                    </w:rPr>
                    <w:t>能耗</w:t>
                  </w:r>
                </w:p>
              </w:tc>
              <w:tc>
                <w:tcPr>
                  <w:tcW w:w="1237" w:type="pct"/>
                  <w:vAlign w:val="center"/>
                </w:tcPr>
                <w:p w14:paraId="21A6CF2B">
                  <w:pPr>
                    <w:jc w:val="center"/>
                    <w:rPr>
                      <w:rFonts w:hint="default"/>
                      <w:vertAlign w:val="baseline"/>
                      <w:lang w:val="en-US" w:eastAsia="zh-CN"/>
                    </w:rPr>
                  </w:pPr>
                  <w:r>
                    <w:rPr>
                      <w:rFonts w:hint="eastAsia"/>
                      <w:vertAlign w:val="baseline"/>
                      <w:lang w:val="en-US" w:eastAsia="zh-CN"/>
                    </w:rPr>
                    <w:t>电</w:t>
                  </w:r>
                </w:p>
              </w:tc>
              <w:tc>
                <w:tcPr>
                  <w:tcW w:w="773" w:type="pct"/>
                  <w:vAlign w:val="center"/>
                </w:tcPr>
                <w:p w14:paraId="7789A8B0">
                  <w:pPr>
                    <w:jc w:val="center"/>
                    <w:rPr>
                      <w:rFonts w:hint="default"/>
                      <w:vertAlign w:val="baseline"/>
                      <w:lang w:val="en-US" w:eastAsia="zh-CN"/>
                    </w:rPr>
                  </w:pPr>
                  <w:r>
                    <w:rPr>
                      <w:rFonts w:hint="eastAsia"/>
                      <w:vertAlign w:val="baseline"/>
                      <w:lang w:val="en-US" w:eastAsia="zh-CN"/>
                    </w:rPr>
                    <w:t>0.8</w:t>
                  </w:r>
                </w:p>
              </w:tc>
              <w:tc>
                <w:tcPr>
                  <w:tcW w:w="674" w:type="pct"/>
                  <w:vAlign w:val="center"/>
                </w:tcPr>
                <w:p w14:paraId="1497FFD9">
                  <w:pPr>
                    <w:jc w:val="center"/>
                    <w:rPr>
                      <w:rFonts w:hint="eastAsia" w:eastAsiaTheme="minorEastAsia"/>
                      <w:vertAlign w:val="baseline"/>
                      <w:lang w:val="en-US" w:eastAsia="zh-CN"/>
                    </w:rPr>
                  </w:pPr>
                  <w:r>
                    <w:rPr>
                      <w:rFonts w:hint="eastAsia"/>
                      <w:vertAlign w:val="baseline"/>
                      <w:lang w:val="en-US" w:eastAsia="zh-CN"/>
                    </w:rPr>
                    <w:t>2983瓦时</w:t>
                  </w:r>
                </w:p>
              </w:tc>
              <w:tc>
                <w:tcPr>
                  <w:tcW w:w="826" w:type="pct"/>
                  <w:vAlign w:val="center"/>
                </w:tcPr>
                <w:p w14:paraId="771A92BC">
                  <w:pPr>
                    <w:jc w:val="center"/>
                    <w:rPr>
                      <w:rFonts w:hint="default" w:eastAsia="宋体"/>
                      <w:vertAlign w:val="baseline"/>
                      <w:lang w:val="en-US" w:eastAsia="zh-CN"/>
                    </w:rPr>
                  </w:pPr>
                  <w:r>
                    <w:rPr>
                      <w:rFonts w:hint="eastAsia"/>
                      <w:vertAlign w:val="baseline"/>
                      <w:lang w:val="en-US" w:eastAsia="zh-CN"/>
                    </w:rPr>
                    <w:t>市政电网</w:t>
                  </w:r>
                </w:p>
              </w:tc>
              <w:tc>
                <w:tcPr>
                  <w:tcW w:w="826" w:type="pct"/>
                  <w:vAlign w:val="center"/>
                </w:tcPr>
                <w:p w14:paraId="02B7CC2E">
                  <w:pPr>
                    <w:jc w:val="center"/>
                    <w:rPr>
                      <w:vertAlign w:val="baseline"/>
                    </w:rPr>
                  </w:pPr>
                </w:p>
              </w:tc>
            </w:tr>
            <w:tr w14:paraId="08AC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EAF0E13">
                  <w:pPr>
                    <w:jc w:val="center"/>
                    <w:rPr>
                      <w:rFonts w:hint="eastAsia"/>
                      <w:vertAlign w:val="baseline"/>
                      <w:lang w:val="en-US" w:eastAsia="zh-CN"/>
                    </w:rPr>
                  </w:pPr>
                </w:p>
              </w:tc>
              <w:tc>
                <w:tcPr>
                  <w:tcW w:w="1237" w:type="pct"/>
                  <w:vAlign w:val="center"/>
                </w:tcPr>
                <w:p w14:paraId="3E05C323">
                  <w:pPr>
                    <w:jc w:val="center"/>
                    <w:rPr>
                      <w:rFonts w:hint="default"/>
                      <w:vertAlign w:val="baseline"/>
                      <w:lang w:val="en-US" w:eastAsia="zh-CN"/>
                    </w:rPr>
                  </w:pPr>
                  <w:r>
                    <w:rPr>
                      <w:rFonts w:hint="eastAsia"/>
                      <w:vertAlign w:val="baseline"/>
                      <w:lang w:val="en-US" w:eastAsia="zh-CN"/>
                    </w:rPr>
                    <w:t>氧气</w:t>
                  </w:r>
                </w:p>
              </w:tc>
              <w:tc>
                <w:tcPr>
                  <w:tcW w:w="773" w:type="pct"/>
                  <w:vAlign w:val="center"/>
                </w:tcPr>
                <w:p w14:paraId="7A7B323C">
                  <w:pPr>
                    <w:jc w:val="center"/>
                    <w:rPr>
                      <w:rFonts w:hint="default"/>
                      <w:vertAlign w:val="baseline"/>
                      <w:lang w:val="en-US" w:eastAsia="zh-CN"/>
                    </w:rPr>
                  </w:pPr>
                  <w:r>
                    <w:rPr>
                      <w:rFonts w:hint="eastAsia"/>
                      <w:vertAlign w:val="baseline"/>
                      <w:lang w:val="en-US" w:eastAsia="zh-CN"/>
                    </w:rPr>
                    <w:t>40L</w:t>
                  </w:r>
                </w:p>
              </w:tc>
              <w:tc>
                <w:tcPr>
                  <w:tcW w:w="674" w:type="pct"/>
                  <w:vAlign w:val="center"/>
                </w:tcPr>
                <w:p w14:paraId="3ABD6FE6">
                  <w:pPr>
                    <w:jc w:val="center"/>
                    <w:rPr>
                      <w:rFonts w:hint="eastAsia" w:eastAsiaTheme="minorEastAsia"/>
                      <w:vertAlign w:val="baseline"/>
                      <w:lang w:val="en-US" w:eastAsia="zh-CN"/>
                    </w:rPr>
                  </w:pPr>
                  <w:r>
                    <w:rPr>
                      <w:rFonts w:hint="eastAsia"/>
                      <w:vertAlign w:val="baseline"/>
                      <w:lang w:val="en-US" w:eastAsia="zh-CN"/>
                    </w:rPr>
                    <w:t>1瓶</w:t>
                  </w:r>
                </w:p>
              </w:tc>
              <w:tc>
                <w:tcPr>
                  <w:tcW w:w="826" w:type="pct"/>
                  <w:vAlign w:val="center"/>
                </w:tcPr>
                <w:p w14:paraId="05B96E6A">
                  <w:pPr>
                    <w:jc w:val="center"/>
                    <w:rPr>
                      <w:vertAlign w:val="baseline"/>
                    </w:rPr>
                  </w:pPr>
                  <w:r>
                    <w:rPr>
                      <w:rFonts w:hint="eastAsia"/>
                      <w:vertAlign w:val="baseline"/>
                      <w:lang w:val="en-US" w:eastAsia="zh-CN"/>
                    </w:rPr>
                    <w:t>外购</w:t>
                  </w:r>
                </w:p>
              </w:tc>
              <w:tc>
                <w:tcPr>
                  <w:tcW w:w="826" w:type="pct"/>
                  <w:vAlign w:val="center"/>
                </w:tcPr>
                <w:p w14:paraId="6C8C701A">
                  <w:pPr>
                    <w:jc w:val="center"/>
                    <w:rPr>
                      <w:vertAlign w:val="baseline"/>
                    </w:rPr>
                  </w:pPr>
                </w:p>
              </w:tc>
            </w:tr>
            <w:tr w14:paraId="4C1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pct"/>
                  <w:vMerge w:val="continue"/>
                  <w:vAlign w:val="center"/>
                </w:tcPr>
                <w:p w14:paraId="275B5796">
                  <w:pPr>
                    <w:jc w:val="center"/>
                    <w:rPr>
                      <w:rFonts w:hint="eastAsia"/>
                      <w:vertAlign w:val="baseline"/>
                      <w:lang w:val="en-US" w:eastAsia="zh-CN"/>
                    </w:rPr>
                  </w:pPr>
                </w:p>
              </w:tc>
              <w:tc>
                <w:tcPr>
                  <w:tcW w:w="1237" w:type="pct"/>
                  <w:vAlign w:val="center"/>
                </w:tcPr>
                <w:p w14:paraId="5B1D4057">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液化气</w:t>
                  </w:r>
                </w:p>
              </w:tc>
              <w:tc>
                <w:tcPr>
                  <w:tcW w:w="773" w:type="pct"/>
                  <w:vAlign w:val="center"/>
                </w:tcPr>
                <w:p w14:paraId="6F7F50F5">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30瓶</w:t>
                  </w:r>
                </w:p>
              </w:tc>
              <w:tc>
                <w:tcPr>
                  <w:tcW w:w="674" w:type="pct"/>
                  <w:vAlign w:val="center"/>
                </w:tcPr>
                <w:p w14:paraId="65F09972">
                  <w:pPr>
                    <w:widowControl w:val="0"/>
                    <w:kinsoku/>
                    <w:autoSpaceDE/>
                    <w:autoSpaceDN/>
                    <w:adjustRightInd w:val="0"/>
                    <w:snapToGrid w:val="0"/>
                    <w:spacing w:line="240" w:lineRule="auto"/>
                    <w:jc w:val="center"/>
                    <w:textAlignment w:val="auto"/>
                    <w:rPr>
                      <w:rFonts w:hint="eastAsia"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15kg/瓶</w:t>
                  </w:r>
                </w:p>
              </w:tc>
              <w:tc>
                <w:tcPr>
                  <w:tcW w:w="826" w:type="pct"/>
                  <w:vAlign w:val="center"/>
                </w:tcPr>
                <w:p w14:paraId="185B2210">
                  <w:pPr>
                    <w:widowControl w:val="0"/>
                    <w:kinsoku/>
                    <w:autoSpaceDE/>
                    <w:autoSpaceDN/>
                    <w:adjustRightInd w:val="0"/>
                    <w:snapToGrid w:val="0"/>
                    <w:spacing w:line="240" w:lineRule="auto"/>
                    <w:jc w:val="center"/>
                    <w:textAlignment w:val="auto"/>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snapToGrid/>
                      <w:kern w:val="2"/>
                      <w:sz w:val="21"/>
                      <w:szCs w:val="21"/>
                      <w:highlight w:val="none"/>
                      <w:lang w:val="en-US" w:eastAsia="zh-CN" w:bidi="ar-SA"/>
                    </w:rPr>
                    <w:t>外购</w:t>
                  </w:r>
                </w:p>
              </w:tc>
              <w:tc>
                <w:tcPr>
                  <w:tcW w:w="826" w:type="pct"/>
                  <w:vAlign w:val="center"/>
                </w:tcPr>
                <w:p w14:paraId="31FE0270">
                  <w:pPr>
                    <w:widowControl w:val="0"/>
                    <w:kinsoku/>
                    <w:autoSpaceDE/>
                    <w:autoSpaceDN/>
                    <w:adjustRightInd w:val="0"/>
                    <w:snapToGrid w:val="0"/>
                    <w:spacing w:line="240" w:lineRule="auto"/>
                    <w:jc w:val="center"/>
                    <w:textAlignment w:val="auto"/>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snapToGrid/>
                      <w:kern w:val="2"/>
                      <w:sz w:val="21"/>
                      <w:szCs w:val="21"/>
                      <w:highlight w:val="none"/>
                      <w:lang w:val="en-US" w:eastAsia="zh-CN" w:bidi="ar-SA"/>
                    </w:rPr>
                    <w:t>钢瓶，用于食堂</w:t>
                  </w:r>
                </w:p>
              </w:tc>
            </w:tr>
            <w:tr w14:paraId="10BF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699F0265">
                  <w:pPr>
                    <w:widowControl w:val="0"/>
                    <w:kinsoku/>
                    <w:autoSpaceDE/>
                    <w:autoSpaceDN/>
                    <w:adjustRightInd w:val="0"/>
                    <w:snapToGrid w:val="0"/>
                    <w:spacing w:line="240" w:lineRule="auto"/>
                    <w:jc w:val="left"/>
                    <w:textAlignment w:val="auto"/>
                    <w:rPr>
                      <w:rFonts w:hint="default" w:ascii="Times New Roman" w:hAnsi="Times New Roman" w:eastAsia="宋体" w:cs="Times New Roman"/>
                      <w:snapToGrid/>
                      <w:kern w:val="2"/>
                      <w:sz w:val="21"/>
                      <w:szCs w:val="21"/>
                      <w:highlight w:val="none"/>
                      <w:lang w:val="en-US" w:eastAsia="zh-CN" w:bidi="ar-SA"/>
                    </w:rPr>
                  </w:pPr>
                  <w:r>
                    <w:rPr>
                      <w:rFonts w:hint="eastAsia" w:ascii="Times New Roman" w:hAnsi="Times New Roman" w:eastAsia="宋体" w:cs="Times New Roman"/>
                      <w:snapToGrid/>
                      <w:kern w:val="2"/>
                      <w:sz w:val="21"/>
                      <w:szCs w:val="21"/>
                      <w:highlight w:val="none"/>
                      <w:lang w:val="en-US" w:eastAsia="zh-CN" w:bidi="ar-SA"/>
                    </w:rPr>
                    <w:t>备注：</w:t>
                  </w:r>
                  <w:r>
                    <w:rPr>
                      <w:rFonts w:hint="eastAsia" w:ascii="Times New Roman" w:hAnsi="Times New Roman" w:eastAsia="宋体" w:cs="Times New Roman"/>
                      <w:color w:val="auto"/>
                      <w:spacing w:val="0"/>
                      <w:kern w:val="0"/>
                      <w:position w:val="0"/>
                      <w:sz w:val="21"/>
                      <w:szCs w:val="21"/>
                      <w:u w:val="none" w:color="auto"/>
                      <w:lang w:val="en-US" w:eastAsia="zh-CN"/>
                    </w:rPr>
                    <w:t>柴油</w:t>
                  </w:r>
                  <w:r>
                    <w:rPr>
                      <w:rFonts w:hint="default" w:ascii="Times New Roman" w:hAnsi="Times New Roman" w:eastAsia="宋体" w:cs="Times New Roman"/>
                      <w:color w:val="auto"/>
                      <w:spacing w:val="0"/>
                      <w:kern w:val="0"/>
                      <w:position w:val="0"/>
                      <w:sz w:val="21"/>
                      <w:szCs w:val="21"/>
                      <w:u w:val="none" w:color="auto"/>
                      <w:lang w:val="en-US" w:eastAsia="zh-CN"/>
                    </w:rPr>
                    <w:t>不在</w:t>
                  </w:r>
                  <w:r>
                    <w:rPr>
                      <w:rFonts w:hint="eastAsia" w:ascii="Times New Roman" w:hAnsi="Times New Roman" w:eastAsia="宋体" w:cs="Times New Roman"/>
                      <w:color w:val="auto"/>
                      <w:spacing w:val="0"/>
                      <w:kern w:val="0"/>
                      <w:position w:val="0"/>
                      <w:sz w:val="21"/>
                      <w:szCs w:val="21"/>
                      <w:u w:val="none" w:color="auto"/>
                      <w:lang w:val="en-US" w:eastAsia="zh-CN"/>
                    </w:rPr>
                    <w:t>院</w:t>
                  </w:r>
                  <w:r>
                    <w:rPr>
                      <w:rFonts w:hint="default" w:ascii="Times New Roman" w:hAnsi="Times New Roman" w:eastAsia="宋体" w:cs="Times New Roman"/>
                      <w:color w:val="auto"/>
                      <w:spacing w:val="0"/>
                      <w:kern w:val="0"/>
                      <w:position w:val="0"/>
                      <w:sz w:val="21"/>
                      <w:szCs w:val="21"/>
                      <w:u w:val="none" w:color="auto"/>
                      <w:lang w:val="en-US" w:eastAsia="zh-CN"/>
                    </w:rPr>
                    <w:t>内储存，使用时由附近的加油站提供</w:t>
                  </w:r>
                  <w:r>
                    <w:rPr>
                      <w:rFonts w:hint="eastAsia" w:ascii="Times New Roman" w:hAnsi="Times New Roman" w:eastAsia="宋体" w:cs="Times New Roman"/>
                      <w:color w:val="auto"/>
                      <w:spacing w:val="0"/>
                      <w:kern w:val="0"/>
                      <w:position w:val="0"/>
                      <w:sz w:val="21"/>
                      <w:szCs w:val="21"/>
                      <w:u w:val="none" w:color="auto"/>
                      <w:lang w:val="en-US" w:eastAsia="zh-CN"/>
                    </w:rPr>
                    <w:t>。</w:t>
                  </w:r>
                  <w:r>
                    <w:rPr>
                      <w:rFonts w:hint="eastAsia" w:ascii="Times New Roman" w:hAnsi="Times New Roman" w:eastAsia="宋体" w:cs="Times New Roman"/>
                      <w:snapToGrid/>
                      <w:kern w:val="2"/>
                      <w:sz w:val="21"/>
                      <w:szCs w:val="21"/>
                      <w:highlight w:val="none"/>
                      <w:lang w:val="en-US" w:eastAsia="zh-CN" w:bidi="ar-SA"/>
                    </w:rPr>
                    <w:t>活性氧消毒剂</w:t>
                  </w:r>
                  <w:r>
                    <w:rPr>
                      <w:rFonts w:hint="eastAsia"/>
                      <w:vertAlign w:val="baseline"/>
                      <w:lang w:val="en-US" w:eastAsia="zh-CN"/>
                    </w:rPr>
                    <w:t>由污水站运营人员添加院内不暂存。</w:t>
                  </w:r>
                </w:p>
              </w:tc>
            </w:tr>
          </w:tbl>
          <w:p w14:paraId="0EFC427B">
            <w:pPr>
              <w:jc w:val="center"/>
              <w:rPr>
                <w:rFonts w:hint="eastAsia" w:ascii="宋体" w:hAnsi="宋体" w:eastAsia="宋体" w:cs="宋体"/>
                <w:b/>
                <w:color w:val="000000" w:themeColor="text1"/>
                <w:spacing w:val="8"/>
                <w:sz w:val="21"/>
                <w:szCs w:val="21"/>
                <w14:textFill>
                  <w14:solidFill>
                    <w14:schemeClr w14:val="tx1"/>
                  </w14:solidFill>
                </w14:textFill>
              </w:rPr>
            </w:pPr>
          </w:p>
          <w:p w14:paraId="0D43F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ascii="Times New Roman" w:hAnsi="Times New Roman" w:eastAsia="宋体" w:cs="宋体"/>
                <w:color w:val="000000" w:themeColor="text1"/>
                <w:spacing w:val="0"/>
                <w:position w:val="0"/>
                <w:sz w:val="24"/>
                <w:szCs w:val="24"/>
                <w14:textFill>
                  <w14:solidFill>
                    <w14:schemeClr w14:val="tx1"/>
                  </w14:solidFill>
                </w14:textFill>
              </w:rPr>
            </w:pPr>
            <w:r>
              <w:rPr>
                <w:rFonts w:hint="eastAsia" w:cs="宋体"/>
                <w:color w:val="000000" w:themeColor="text1"/>
                <w:spacing w:val="0"/>
                <w:position w:val="0"/>
                <w:sz w:val="24"/>
                <w:szCs w:val="24"/>
                <w:lang w:val="en-US" w:eastAsia="zh-CN"/>
                <w14:textFill>
                  <w14:solidFill>
                    <w14:schemeClr w14:val="tx1"/>
                  </w14:solidFill>
                </w14:textFill>
              </w:rPr>
              <w:t>6</w:t>
            </w:r>
            <w:r>
              <w:rPr>
                <w:rFonts w:hint="eastAsia" w:ascii="Times New Roman" w:hAnsi="Times New Roman" w:eastAsia="宋体" w:cs="宋体"/>
                <w:color w:val="000000" w:themeColor="text1"/>
                <w:spacing w:val="0"/>
                <w:position w:val="0"/>
                <w:sz w:val="24"/>
                <w:szCs w:val="24"/>
                <w:lang w:val="en-US" w:eastAsia="zh-CN"/>
                <w14:textFill>
                  <w14:solidFill>
                    <w14:schemeClr w14:val="tx1"/>
                  </w14:solidFill>
                </w14:textFill>
              </w:rPr>
              <w:t>、</w:t>
            </w:r>
            <w:r>
              <w:rPr>
                <w:rFonts w:ascii="Times New Roman" w:hAnsi="Times New Roman" w:eastAsia="宋体" w:cs="宋体"/>
                <w:color w:val="000000" w:themeColor="text1"/>
                <w:spacing w:val="0"/>
                <w:position w:val="0"/>
                <w:sz w:val="24"/>
                <w:szCs w:val="24"/>
                <w14:textFill>
                  <w14:solidFill>
                    <w14:schemeClr w14:val="tx1"/>
                  </w14:solidFill>
                </w14:textFill>
              </w:rPr>
              <w:t>公用工程</w:t>
            </w:r>
          </w:p>
          <w:p w14:paraId="46D97DB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（1）给水：本项目运营过程中有医疗用水、生活用水、食堂用水，采用本地</w:t>
            </w:r>
            <w:r>
              <w:rPr>
                <w:rFonts w:hint="eastAsia" w:ascii="Times New Roman" w:hAnsi="Times New Roman" w:eastAsia="宋体" w:cs="Times New Roman"/>
                <w:sz w:val="24"/>
                <w:szCs w:val="24"/>
                <w:u w:val="none" w:color="auto"/>
                <w:lang w:val="en-US" w:eastAsia="zh-CN"/>
              </w:rPr>
              <w:t>自来水</w:t>
            </w:r>
            <w:r>
              <w:rPr>
                <w:rFonts w:hint="default" w:ascii="Times New Roman" w:hAnsi="Times New Roman" w:eastAsia="宋体" w:cs="Times New Roman"/>
                <w:sz w:val="24"/>
                <w:szCs w:val="24"/>
                <w:u w:val="none" w:color="auto"/>
                <w:lang w:val="en-US" w:eastAsia="zh-CN"/>
              </w:rPr>
              <w:t>供水管网为项目</w:t>
            </w:r>
            <w:r>
              <w:rPr>
                <w:rFonts w:hint="eastAsia" w:ascii="Times New Roman" w:hAnsi="Times New Roman" w:eastAsia="宋体" w:cs="Times New Roman"/>
                <w:sz w:val="24"/>
                <w:szCs w:val="24"/>
                <w:u w:val="none" w:color="auto"/>
                <w:lang w:val="en-US" w:eastAsia="zh-CN"/>
              </w:rPr>
              <w:t>供水</w:t>
            </w:r>
            <w:r>
              <w:rPr>
                <w:rFonts w:hint="default" w:ascii="Times New Roman" w:hAnsi="Times New Roman" w:eastAsia="宋体" w:cs="Times New Roman"/>
                <w:sz w:val="24"/>
                <w:szCs w:val="24"/>
                <w:u w:val="none" w:color="auto"/>
                <w:lang w:val="en-US" w:eastAsia="zh-CN"/>
              </w:rPr>
              <w:t>水源。</w:t>
            </w:r>
          </w:p>
          <w:p w14:paraId="19F7CB5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2）排水：本项目主要污水为医疗废水、生活污水和食堂废水，院区排水实行雨污分流制，雨水排入市政雨水管网。院区排水实行雨污分流制，医疗废水主要包含门诊急诊废水、住院病人废水、医务人员用水及检验科设备清洗废水(其中检验科废液量较小，作为危险废物管理及委托有资质单位处理)。食堂废水经隔油池处理后与生活污水、医疗废水一并进入污水处理站处理，污水处理站处理后排入洣</w:t>
            </w:r>
            <w:r>
              <w:rPr>
                <w:rFonts w:hint="eastAsia" w:cs="Times New Roman"/>
                <w:sz w:val="24"/>
                <w:szCs w:val="24"/>
                <w:u w:val="none" w:color="auto"/>
                <w:lang w:val="en-US" w:eastAsia="zh-CN"/>
              </w:rPr>
              <w:t>水</w:t>
            </w:r>
            <w:r>
              <w:rPr>
                <w:rFonts w:hint="eastAsia" w:ascii="Times New Roman" w:hAnsi="Times New Roman" w:eastAsia="宋体" w:cs="Times New Roman"/>
                <w:sz w:val="24"/>
                <w:szCs w:val="24"/>
                <w:u w:val="none" w:color="auto"/>
                <w:lang w:val="en-US" w:eastAsia="zh-CN"/>
              </w:rPr>
              <w:t>。</w:t>
            </w:r>
          </w:p>
          <w:p w14:paraId="44F4BAE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（3）供电：本项目用电由本地电网供给。</w:t>
            </w:r>
          </w:p>
          <w:p w14:paraId="7BBD816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（4）消防：本项目配置若干室外消火栓、</w:t>
            </w:r>
            <w:r>
              <w:rPr>
                <w:rFonts w:hint="eastAsia" w:ascii="Times New Roman" w:hAnsi="Times New Roman" w:eastAsia="宋体" w:cs="Times New Roman"/>
                <w:sz w:val="24"/>
                <w:szCs w:val="24"/>
                <w:u w:val="none" w:color="auto"/>
                <w:lang w:val="en-US" w:eastAsia="zh-CN"/>
              </w:rPr>
              <w:t>室内消火栓</w:t>
            </w:r>
            <w:r>
              <w:rPr>
                <w:rFonts w:hint="default" w:ascii="Times New Roman" w:hAnsi="Times New Roman" w:eastAsia="宋体" w:cs="Times New Roman"/>
                <w:sz w:val="24"/>
                <w:szCs w:val="24"/>
                <w:u w:val="none" w:color="auto"/>
                <w:lang w:val="en-US" w:eastAsia="zh-CN"/>
              </w:rPr>
              <w:t>、建筑灭火器。</w:t>
            </w:r>
          </w:p>
          <w:p w14:paraId="3C4FC18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w:t>
            </w:r>
            <w:r>
              <w:rPr>
                <w:rFonts w:hint="eastAsia" w:ascii="Times New Roman" w:hAnsi="Times New Roman" w:eastAsia="宋体" w:cs="Times New Roman"/>
                <w:sz w:val="24"/>
                <w:szCs w:val="24"/>
                <w:u w:val="none" w:color="auto"/>
                <w:lang w:val="en-US" w:eastAsia="zh-CN"/>
              </w:rPr>
              <w:t>5</w:t>
            </w:r>
            <w:r>
              <w:rPr>
                <w:rFonts w:hint="default" w:ascii="Times New Roman" w:hAnsi="Times New Roman" w:eastAsia="宋体" w:cs="Times New Roman"/>
                <w:sz w:val="24"/>
                <w:szCs w:val="24"/>
                <w:u w:val="none" w:color="auto"/>
                <w:lang w:val="en-US" w:eastAsia="zh-CN"/>
              </w:rPr>
              <w:t>）消毒：本项目各病房内以及所有公共区域定期由保洁人员喷洒水与消毒液按照一定比例配置的溶液进行喷洒消毒。</w:t>
            </w:r>
          </w:p>
          <w:p w14:paraId="31955CD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Times New Roman" w:hAnsi="Times New Roman" w:eastAsia="宋体"/>
                <w:spacing w:val="0"/>
                <w:w w:val="100"/>
                <w:position w:val="0"/>
                <w:sz w:val="24"/>
                <w:szCs w:val="24"/>
                <w:lang w:val="en-US" w:eastAsia="zh-CN"/>
              </w:rPr>
            </w:pPr>
            <w:r>
              <w:rPr>
                <w:rFonts w:hint="eastAsia" w:ascii="Times New Roman" w:hAnsi="Times New Roman"/>
                <w:spacing w:val="0"/>
                <w:w w:val="100"/>
                <w:position w:val="0"/>
                <w:sz w:val="24"/>
                <w:szCs w:val="24"/>
                <w:lang w:val="en-US" w:eastAsia="zh-CN"/>
              </w:rPr>
              <w:t>7</w:t>
            </w:r>
            <w:r>
              <w:rPr>
                <w:rFonts w:hint="eastAsia" w:ascii="Times New Roman" w:hAnsi="Times New Roman" w:eastAsia="宋体"/>
                <w:spacing w:val="0"/>
                <w:w w:val="100"/>
                <w:position w:val="0"/>
                <w:sz w:val="24"/>
                <w:szCs w:val="24"/>
                <w:lang w:val="en-US" w:eastAsia="zh-CN"/>
              </w:rPr>
              <w:t>、水平衡</w:t>
            </w:r>
          </w:p>
          <w:p w14:paraId="46A420A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trike w:val="0"/>
                <w:dstrike w:val="0"/>
                <w:color w:val="auto"/>
                <w:sz w:val="21"/>
                <w:szCs w:val="21"/>
                <w:highlight w:val="none"/>
                <w:u w:val="none" w:color="auto"/>
                <w:lang w:val="en-US" w:eastAsia="zh-CN"/>
              </w:rPr>
            </w:pPr>
            <w:r>
              <w:rPr>
                <w:rFonts w:hint="default" w:ascii="Times New Roman" w:hAnsi="Times New Roman" w:eastAsia="宋体" w:cs="Times New Roman"/>
                <w:color w:val="auto"/>
                <w:sz w:val="24"/>
                <w:szCs w:val="24"/>
                <w:u w:val="none" w:color="auto"/>
                <w:lang w:val="en-US" w:eastAsia="zh-CN"/>
              </w:rPr>
              <w:t>本项目为已建成运行的项目，污水站出口暂未安装流量计，因此排水量根据排污系数核算。根据《湖南省用水定额》(DB43/T388-2020)、《建筑给水排水设计规范》（</w:t>
            </w:r>
            <w:r>
              <w:rPr>
                <w:rFonts w:hint="default" w:ascii="Times New Roman" w:hAnsi="Times New Roman" w:eastAsia="宋体" w:cs="Times New Roman"/>
                <w:i w:val="0"/>
                <w:iCs w:val="0"/>
                <w:caps w:val="0"/>
                <w:color w:val="000000"/>
                <w:spacing w:val="0"/>
                <w:sz w:val="24"/>
                <w:szCs w:val="24"/>
                <w:u w:val="none" w:color="auto"/>
                <w:shd w:val="clear" w:fill="FFFFFF"/>
              </w:rPr>
              <w:t>GB50015-2019</w:t>
            </w:r>
            <w:r>
              <w:rPr>
                <w:rFonts w:hint="default" w:ascii="Times New Roman" w:hAnsi="Times New Roman" w:eastAsia="宋体" w:cs="Times New Roman"/>
                <w:color w:val="auto"/>
                <w:sz w:val="24"/>
                <w:szCs w:val="24"/>
                <w:u w:val="none" w:color="auto"/>
                <w:lang w:val="en-US" w:eastAsia="zh-CN"/>
              </w:rPr>
              <w:t>）和</w:t>
            </w:r>
            <w:r>
              <w:rPr>
                <w:rStyle w:val="19"/>
                <w:rFonts w:hint="default" w:ascii="Times New Roman" w:hAnsi="Times New Roman" w:eastAsia="宋体" w:cs="Times New Roman"/>
                <w:kern w:val="0"/>
                <w:sz w:val="24"/>
                <w:szCs w:val="24"/>
                <w:highlight w:val="none"/>
                <w:u w:val="none" w:color="auto"/>
                <w:lang w:val="en-US" w:eastAsia="zh-CN"/>
              </w:rPr>
              <w:t>参照《综合医院建筑设计规范》（GB51039-2014）中相关的用水标准，本项目</w:t>
            </w:r>
            <w:r>
              <w:rPr>
                <w:rFonts w:hint="default" w:ascii="Times New Roman" w:hAnsi="Times New Roman" w:eastAsia="宋体" w:cs="Times New Roman"/>
                <w:color w:val="auto"/>
                <w:sz w:val="24"/>
                <w:szCs w:val="24"/>
                <w:u w:val="none" w:color="auto"/>
                <w:lang w:val="en-US" w:eastAsia="zh-CN"/>
              </w:rPr>
              <w:t>用水按</w:t>
            </w:r>
            <w:r>
              <w:rPr>
                <w:rFonts w:hint="eastAsia" w:cs="Times New Roman"/>
                <w:color w:val="auto"/>
                <w:sz w:val="24"/>
                <w:szCs w:val="24"/>
                <w:u w:val="none" w:color="auto"/>
                <w:lang w:val="en-US" w:eastAsia="zh-CN"/>
              </w:rPr>
              <w:t>250</w:t>
            </w:r>
            <w:r>
              <w:rPr>
                <w:rFonts w:hint="default" w:ascii="Times New Roman" w:hAnsi="Times New Roman" w:eastAsia="宋体" w:cs="Times New Roman"/>
                <w:color w:val="auto"/>
                <w:sz w:val="24"/>
                <w:szCs w:val="24"/>
                <w:u w:val="none" w:color="auto"/>
                <w:lang w:val="en-US" w:eastAsia="zh-CN"/>
              </w:rPr>
              <w:t>L/床•d（全院综合）</w:t>
            </w:r>
            <w:r>
              <w:rPr>
                <w:rFonts w:hint="default" w:ascii="Times New Roman" w:hAnsi="Times New Roman" w:eastAsia="宋体" w:cs="Times New Roman"/>
                <w:sz w:val="24"/>
                <w:szCs w:val="24"/>
                <w:u w:val="none" w:color="auto"/>
                <w:lang w:val="en-US" w:eastAsia="zh-CN"/>
              </w:rPr>
              <w:t>，病床数量按最大量</w:t>
            </w:r>
            <w:r>
              <w:rPr>
                <w:rFonts w:hint="eastAsia" w:cs="Times New Roman"/>
                <w:sz w:val="24"/>
                <w:szCs w:val="24"/>
                <w:u w:val="none" w:color="auto"/>
                <w:lang w:val="en-US" w:eastAsia="zh-CN"/>
              </w:rPr>
              <w:t>3</w:t>
            </w:r>
            <w:r>
              <w:rPr>
                <w:rFonts w:hint="default" w:ascii="Times New Roman" w:hAnsi="Times New Roman" w:eastAsia="宋体" w:cs="Times New Roman"/>
                <w:sz w:val="24"/>
                <w:szCs w:val="24"/>
                <w:u w:val="none" w:color="auto"/>
                <w:lang w:val="en-US" w:eastAsia="zh-CN"/>
              </w:rPr>
              <w:t>0计算；门急诊用水量为 1</w:t>
            </w:r>
            <w:r>
              <w:rPr>
                <w:rFonts w:hint="eastAsia" w:cs="Times New Roman"/>
                <w:sz w:val="24"/>
                <w:szCs w:val="24"/>
                <w:u w:val="none" w:color="auto"/>
                <w:lang w:val="en-US" w:eastAsia="zh-CN"/>
              </w:rPr>
              <w:t>5</w:t>
            </w:r>
            <w:r>
              <w:rPr>
                <w:rFonts w:hint="default" w:ascii="Times New Roman" w:hAnsi="Times New Roman" w:eastAsia="宋体" w:cs="Times New Roman"/>
                <w:sz w:val="24"/>
                <w:szCs w:val="24"/>
                <w:u w:val="none" w:color="auto"/>
                <w:lang w:val="en-US" w:eastAsia="zh-CN"/>
              </w:rPr>
              <w:t>L/人•次，</w:t>
            </w:r>
            <w:r>
              <w:rPr>
                <w:rFonts w:hint="default" w:ascii="Times New Roman" w:hAnsi="Times New Roman" w:eastAsia="宋体" w:cs="Times New Roman"/>
                <w:sz w:val="24"/>
                <w:szCs w:val="24"/>
                <w:highlight w:val="none"/>
                <w:u w:val="none" w:color="auto"/>
                <w:lang w:val="en-US" w:eastAsia="zh-CN"/>
              </w:rPr>
              <w:t>每日门急诊人数约35人</w:t>
            </w:r>
            <w:r>
              <w:rPr>
                <w:rFonts w:hint="default" w:ascii="Times New Roman" w:hAnsi="Times New Roman" w:eastAsia="宋体" w:cs="Times New Roman"/>
                <w:sz w:val="24"/>
                <w:szCs w:val="24"/>
                <w:u w:val="none" w:color="auto"/>
                <w:lang w:val="en-US" w:eastAsia="zh-CN"/>
              </w:rPr>
              <w:t>；医务人员用水量</w:t>
            </w:r>
            <w:r>
              <w:rPr>
                <w:rFonts w:hint="eastAsia" w:cs="Times New Roman"/>
                <w:sz w:val="24"/>
                <w:szCs w:val="24"/>
                <w:u w:val="none" w:color="auto"/>
                <w:lang w:val="en-US" w:eastAsia="zh-CN"/>
              </w:rPr>
              <w:t>45</w:t>
            </w:r>
            <w:r>
              <w:rPr>
                <w:rFonts w:hint="default" w:ascii="Times New Roman" w:hAnsi="Times New Roman" w:eastAsia="宋体" w:cs="Times New Roman"/>
                <w:sz w:val="24"/>
                <w:szCs w:val="24"/>
                <w:u w:val="none" w:color="auto"/>
                <w:lang w:val="en-US" w:eastAsia="zh-CN"/>
              </w:rPr>
              <w:t>L/人•班，</w:t>
            </w:r>
            <w:r>
              <w:rPr>
                <w:rFonts w:hint="default" w:ascii="Times New Roman" w:hAnsi="Times New Roman" w:eastAsia="宋体" w:cs="Times New Roman"/>
                <w:sz w:val="24"/>
                <w:szCs w:val="24"/>
                <w:highlight w:val="none"/>
                <w:u w:val="none" w:color="auto"/>
                <w:lang w:val="en-US" w:eastAsia="zh-CN"/>
              </w:rPr>
              <w:t>医务人员为</w:t>
            </w:r>
            <w:r>
              <w:rPr>
                <w:rFonts w:hint="eastAsia" w:cs="Times New Roman"/>
                <w:sz w:val="24"/>
                <w:szCs w:val="24"/>
                <w:highlight w:val="none"/>
                <w:u w:val="none" w:color="auto"/>
                <w:lang w:val="en-US" w:eastAsia="zh-CN"/>
              </w:rPr>
              <w:t>26</w:t>
            </w:r>
            <w:r>
              <w:rPr>
                <w:rFonts w:hint="default" w:ascii="Times New Roman" w:hAnsi="Times New Roman" w:eastAsia="宋体" w:cs="Times New Roman"/>
                <w:sz w:val="24"/>
                <w:szCs w:val="24"/>
                <w:highlight w:val="none"/>
                <w:u w:val="none" w:color="auto"/>
                <w:lang w:val="en-US" w:eastAsia="zh-CN"/>
              </w:rPr>
              <w:t>人</w:t>
            </w:r>
            <w:r>
              <w:rPr>
                <w:rFonts w:hint="default" w:ascii="Times New Roman" w:hAnsi="Times New Roman" w:eastAsia="宋体" w:cs="Times New Roman"/>
                <w:sz w:val="24"/>
                <w:szCs w:val="24"/>
                <w:u w:val="none" w:color="auto"/>
                <w:lang w:val="en-US" w:eastAsia="zh-CN"/>
              </w:rPr>
              <w:t>；食堂用水量为 20L/人•次，食堂早上用餐人数为</w:t>
            </w:r>
            <w:r>
              <w:rPr>
                <w:rFonts w:hint="eastAsia" w:cs="Times New Roman"/>
                <w:sz w:val="24"/>
                <w:szCs w:val="24"/>
                <w:u w:val="none" w:color="auto"/>
                <w:lang w:val="en-US" w:eastAsia="zh-CN"/>
              </w:rPr>
              <w:t>15</w:t>
            </w:r>
            <w:r>
              <w:rPr>
                <w:rFonts w:hint="default" w:ascii="Times New Roman" w:hAnsi="Times New Roman" w:eastAsia="宋体" w:cs="Times New Roman"/>
                <w:sz w:val="24"/>
                <w:szCs w:val="24"/>
                <w:u w:val="none" w:color="auto"/>
                <w:lang w:val="en-US" w:eastAsia="zh-CN"/>
              </w:rPr>
              <w:t>人，中午为</w:t>
            </w:r>
            <w:r>
              <w:rPr>
                <w:rFonts w:hint="eastAsia" w:cs="Times New Roman"/>
                <w:sz w:val="24"/>
                <w:szCs w:val="24"/>
                <w:u w:val="none" w:color="auto"/>
                <w:lang w:val="en-US" w:eastAsia="zh-CN"/>
              </w:rPr>
              <w:t>26</w:t>
            </w:r>
            <w:r>
              <w:rPr>
                <w:rFonts w:hint="default" w:ascii="Times New Roman" w:hAnsi="Times New Roman" w:eastAsia="宋体" w:cs="Times New Roman"/>
                <w:sz w:val="24"/>
                <w:szCs w:val="24"/>
                <w:u w:val="none" w:color="auto"/>
                <w:lang w:val="en-US" w:eastAsia="zh-CN"/>
              </w:rPr>
              <w:t>人，晚上为</w:t>
            </w:r>
            <w:r>
              <w:rPr>
                <w:rFonts w:hint="eastAsia" w:cs="Times New Roman"/>
                <w:sz w:val="24"/>
                <w:szCs w:val="24"/>
                <w:u w:val="none" w:color="auto"/>
                <w:lang w:val="en-US" w:eastAsia="zh-CN"/>
              </w:rPr>
              <w:t>10</w:t>
            </w:r>
            <w:r>
              <w:rPr>
                <w:rFonts w:hint="default" w:ascii="Times New Roman" w:hAnsi="Times New Roman" w:eastAsia="宋体" w:cs="Times New Roman"/>
                <w:sz w:val="24"/>
                <w:szCs w:val="24"/>
                <w:u w:val="none" w:color="auto"/>
                <w:lang w:val="en-US" w:eastAsia="zh-CN"/>
              </w:rPr>
              <w:t>人；</w:t>
            </w:r>
            <w:r>
              <w:rPr>
                <w:rFonts w:hint="default" w:ascii="Times New Roman" w:hAnsi="Times New Roman" w:eastAsia="宋体" w:cs="Times New Roman"/>
                <w:color w:val="auto"/>
                <w:sz w:val="24"/>
                <w:szCs w:val="24"/>
                <w:u w:val="none" w:color="auto"/>
                <w:lang w:val="en-US" w:eastAsia="zh-CN"/>
              </w:rPr>
              <w:t>本项目门诊、住院楼</w:t>
            </w:r>
            <w:r>
              <w:rPr>
                <w:rFonts w:hint="eastAsia" w:cs="Times New Roman"/>
                <w:color w:val="auto"/>
                <w:sz w:val="24"/>
                <w:szCs w:val="24"/>
                <w:u w:val="none" w:color="auto"/>
                <w:lang w:val="en-US" w:eastAsia="zh-CN"/>
              </w:rPr>
              <w:t>等</w:t>
            </w:r>
            <w:r>
              <w:rPr>
                <w:rFonts w:hint="default" w:ascii="Times New Roman" w:hAnsi="Times New Roman" w:eastAsia="宋体" w:cs="Times New Roman"/>
                <w:color w:val="auto"/>
                <w:sz w:val="24"/>
                <w:szCs w:val="24"/>
                <w:u w:val="none" w:color="auto"/>
                <w:lang w:val="en-US" w:eastAsia="zh-CN"/>
              </w:rPr>
              <w:t>建筑面积约</w:t>
            </w:r>
            <w:r>
              <w:rPr>
                <w:rFonts w:hint="eastAsia" w:cs="Times New Roman"/>
                <w:color w:val="auto"/>
                <w:sz w:val="24"/>
                <w:szCs w:val="24"/>
                <w:highlight w:val="none"/>
                <w:u w:val="none" w:color="auto"/>
                <w:lang w:val="en-US" w:eastAsia="zh-CN"/>
              </w:rPr>
              <w:t>21</w:t>
            </w:r>
            <w:r>
              <w:rPr>
                <w:rFonts w:hint="default" w:ascii="Times New Roman" w:hAnsi="Times New Roman" w:eastAsia="宋体" w:cs="Times New Roman"/>
                <w:color w:val="auto"/>
                <w:sz w:val="24"/>
                <w:szCs w:val="24"/>
                <w:highlight w:val="none"/>
                <w:u w:val="none" w:color="auto"/>
                <w:lang w:val="en-US" w:eastAsia="zh-CN"/>
              </w:rPr>
              <w:t>77m</w:t>
            </w:r>
            <w:r>
              <w:rPr>
                <w:rFonts w:hint="default" w:ascii="Times New Roman" w:hAnsi="Times New Roman" w:eastAsia="宋体" w:cs="Times New Roman"/>
                <w:color w:val="auto"/>
                <w:sz w:val="24"/>
                <w:szCs w:val="24"/>
                <w:highlight w:val="none"/>
                <w:u w:val="none" w:color="auto"/>
                <w:vertAlign w:val="superscript"/>
                <w:lang w:val="en-US" w:eastAsia="zh-CN"/>
              </w:rPr>
              <w:t>2</w:t>
            </w:r>
            <w:r>
              <w:rPr>
                <w:rFonts w:hint="default" w:ascii="Times New Roman" w:hAnsi="Times New Roman" w:eastAsia="宋体" w:cs="Times New Roman"/>
                <w:color w:val="auto"/>
                <w:sz w:val="24"/>
                <w:szCs w:val="24"/>
                <w:u w:val="none" w:color="auto"/>
                <w:lang w:val="en-US" w:eastAsia="zh-CN"/>
              </w:rPr>
              <w:t>，</w:t>
            </w:r>
            <w:r>
              <w:rPr>
                <w:rStyle w:val="19"/>
                <w:rFonts w:hint="default" w:ascii="Times New Roman" w:hAnsi="Times New Roman" w:eastAsia="宋体" w:cs="Times New Roman"/>
                <w:color w:val="auto"/>
                <w:kern w:val="0"/>
                <w:sz w:val="24"/>
                <w:szCs w:val="24"/>
                <w:highlight w:val="none"/>
                <w:u w:val="none" w:color="auto"/>
                <w:lang w:val="en-US" w:eastAsia="zh-CN"/>
              </w:rPr>
              <w:t>地面消毒、拖地用水按</w:t>
            </w:r>
            <w:r>
              <w:rPr>
                <w:rStyle w:val="19"/>
                <w:rFonts w:hint="eastAsia" w:cs="Times New Roman"/>
                <w:color w:val="auto"/>
                <w:kern w:val="0"/>
                <w:sz w:val="24"/>
                <w:szCs w:val="24"/>
                <w:highlight w:val="none"/>
                <w:u w:val="none" w:color="auto"/>
                <w:lang w:val="en-US" w:eastAsia="zh-CN"/>
              </w:rPr>
              <w:t>每周一次，一次2</w:t>
            </w:r>
            <w:r>
              <w:rPr>
                <w:rStyle w:val="19"/>
                <w:rFonts w:hint="default" w:ascii="Times New Roman" w:hAnsi="Times New Roman" w:eastAsia="宋体" w:cs="Times New Roman"/>
                <w:color w:val="auto"/>
                <w:kern w:val="0"/>
                <w:sz w:val="24"/>
                <w:szCs w:val="24"/>
                <w:highlight w:val="none"/>
                <w:u w:val="none" w:color="auto"/>
                <w:lang w:val="en-US" w:eastAsia="zh-CN"/>
              </w:rPr>
              <w:t>L/m</w:t>
            </w:r>
            <w:r>
              <w:rPr>
                <w:rStyle w:val="19"/>
                <w:rFonts w:hint="default" w:ascii="Times New Roman" w:hAnsi="Times New Roman" w:eastAsia="宋体" w:cs="Times New Roman"/>
                <w:color w:val="auto"/>
                <w:kern w:val="0"/>
                <w:sz w:val="24"/>
                <w:szCs w:val="24"/>
                <w:highlight w:val="none"/>
                <w:u w:val="none" w:color="auto"/>
                <w:vertAlign w:val="superscript"/>
                <w:lang w:val="en-US" w:eastAsia="zh-CN"/>
              </w:rPr>
              <w:t>2</w:t>
            </w:r>
            <w:r>
              <w:rPr>
                <w:rStyle w:val="19"/>
                <w:rFonts w:hint="default" w:ascii="Times New Roman" w:hAnsi="Times New Roman" w:eastAsia="宋体" w:cs="Times New Roman"/>
                <w:color w:val="auto"/>
                <w:kern w:val="0"/>
                <w:sz w:val="24"/>
                <w:szCs w:val="24"/>
                <w:highlight w:val="none"/>
                <w:u w:val="none" w:color="auto"/>
                <w:lang w:val="en-US" w:eastAsia="zh-CN"/>
              </w:rPr>
              <w:t>，</w:t>
            </w:r>
            <w:r>
              <w:rPr>
                <w:rStyle w:val="19"/>
                <w:rFonts w:hint="eastAsia" w:cs="Times New Roman"/>
                <w:color w:val="auto"/>
                <w:kern w:val="0"/>
                <w:sz w:val="24"/>
                <w:szCs w:val="24"/>
                <w:highlight w:val="none"/>
                <w:u w:val="none" w:color="auto"/>
                <w:lang w:val="en-US" w:eastAsia="zh-CN"/>
              </w:rPr>
              <w:t>每年54次；</w:t>
            </w:r>
            <w:r>
              <w:rPr>
                <w:rStyle w:val="19"/>
                <w:rFonts w:hint="default" w:ascii="Times New Roman" w:hAnsi="Times New Roman" w:eastAsia="宋体" w:cs="Times New Roman"/>
                <w:color w:val="auto"/>
                <w:kern w:val="0"/>
                <w:sz w:val="24"/>
                <w:szCs w:val="24"/>
                <w:highlight w:val="none"/>
                <w:u w:val="none" w:color="auto"/>
                <w:lang w:val="en-US" w:eastAsia="zh-CN"/>
              </w:rPr>
              <w:t>则拖地用水为</w:t>
            </w:r>
            <w:r>
              <w:rPr>
                <w:rStyle w:val="19"/>
                <w:rFonts w:hint="eastAsia" w:cs="Times New Roman"/>
                <w:color w:val="auto"/>
                <w:kern w:val="0"/>
                <w:sz w:val="24"/>
                <w:szCs w:val="24"/>
                <w:highlight w:val="none"/>
                <w:u w:val="none" w:color="auto"/>
                <w:lang w:val="en-US" w:eastAsia="zh-CN"/>
              </w:rPr>
              <w:t>236.507</w:t>
            </w:r>
            <w:r>
              <w:rPr>
                <w:rStyle w:val="19"/>
                <w:rFonts w:hint="default" w:ascii="Times New Roman" w:hAnsi="Times New Roman" w:eastAsia="宋体" w:cs="Times New Roman"/>
                <w:color w:val="auto"/>
                <w:kern w:val="0"/>
                <w:sz w:val="24"/>
                <w:szCs w:val="24"/>
                <w:highlight w:val="none"/>
                <w:u w:val="none" w:color="auto"/>
                <w:lang w:val="en-US" w:eastAsia="zh-CN"/>
              </w:rPr>
              <w:t>t</w:t>
            </w:r>
            <w:r>
              <w:rPr>
                <w:rStyle w:val="19"/>
                <w:rFonts w:hint="default" w:ascii="Times New Roman" w:hAnsi="Times New Roman" w:eastAsia="宋体" w:cs="Times New Roman"/>
                <w:kern w:val="0"/>
                <w:sz w:val="24"/>
                <w:szCs w:val="24"/>
                <w:highlight w:val="none"/>
                <w:u w:val="none" w:color="auto"/>
                <w:lang w:val="en-US" w:eastAsia="zh-CN"/>
              </w:rPr>
              <w:t>/</w:t>
            </w:r>
            <w:r>
              <w:rPr>
                <w:rStyle w:val="19"/>
                <w:rFonts w:hint="eastAsia" w:cs="Times New Roman"/>
                <w:kern w:val="0"/>
                <w:sz w:val="24"/>
                <w:szCs w:val="24"/>
                <w:highlight w:val="none"/>
                <w:u w:val="none" w:color="auto"/>
                <w:lang w:val="en-US" w:eastAsia="zh-CN"/>
              </w:rPr>
              <w:t>a，0.648t/d</w:t>
            </w:r>
            <w:r>
              <w:rPr>
                <w:rStyle w:val="19"/>
                <w:rFonts w:hint="default" w:ascii="Times New Roman" w:hAnsi="Times New Roman" w:eastAsia="宋体" w:cs="Times New Roman"/>
                <w:kern w:val="0"/>
                <w:sz w:val="24"/>
                <w:szCs w:val="24"/>
                <w:highlight w:val="none"/>
                <w:u w:val="none" w:color="auto"/>
                <w:lang w:val="en-US" w:eastAsia="zh-CN"/>
              </w:rPr>
              <w:t>；</w:t>
            </w:r>
            <w:r>
              <w:rPr>
                <w:rFonts w:hint="eastAsia" w:cs="Times New Roman"/>
                <w:sz w:val="24"/>
                <w:szCs w:val="24"/>
                <w:highlight w:val="none"/>
                <w:u w:val="none" w:color="auto"/>
                <w:lang w:val="en-US" w:eastAsia="zh-CN"/>
              </w:rPr>
              <w:t>床单被套及住院洗涤用水</w:t>
            </w:r>
            <w:r>
              <w:rPr>
                <w:rFonts w:hint="default" w:ascii="Times New Roman" w:hAnsi="Times New Roman" w:eastAsia="宋体" w:cs="Times New Roman"/>
                <w:sz w:val="24"/>
                <w:szCs w:val="24"/>
                <w:highlight w:val="none"/>
                <w:u w:val="none" w:color="auto"/>
                <w:lang w:val="en-US" w:eastAsia="zh-CN"/>
              </w:rPr>
              <w:t>按每天</w:t>
            </w:r>
            <w:r>
              <w:rPr>
                <w:rFonts w:hint="eastAsia" w:cs="Times New Roman"/>
                <w:sz w:val="24"/>
                <w:szCs w:val="24"/>
                <w:highlight w:val="none"/>
                <w:u w:val="none" w:color="auto"/>
                <w:lang w:val="en-US" w:eastAsia="zh-CN"/>
              </w:rPr>
              <w:t>60</w:t>
            </w:r>
            <w:r>
              <w:rPr>
                <w:rFonts w:hint="default" w:cs="Times New Roman"/>
                <w:sz w:val="24"/>
                <w:szCs w:val="24"/>
                <w:highlight w:val="none"/>
                <w:u w:val="none" w:color="auto"/>
                <w:lang w:val="en-US" w:eastAsia="zh-CN"/>
              </w:rPr>
              <w:t>L</w:t>
            </w:r>
            <w:r>
              <w:rPr>
                <w:rFonts w:hint="eastAsia" w:cs="Times New Roman"/>
                <w:sz w:val="24"/>
                <w:szCs w:val="24"/>
                <w:highlight w:val="none"/>
                <w:u w:val="none" w:color="auto"/>
                <w:lang w:val="en-US" w:eastAsia="zh-CN"/>
              </w:rPr>
              <w:t>/kg，每床位1kg，最大床位30，则床单被套及住院洗涤用水为1.8t/d，6657t/a；检验用水按1.5</w:t>
            </w:r>
            <w:r>
              <w:rPr>
                <w:rFonts w:hint="default" w:cs="Times New Roman"/>
                <w:sz w:val="24"/>
                <w:szCs w:val="24"/>
                <w:highlight w:val="none"/>
                <w:u w:val="none" w:color="auto"/>
                <w:lang w:val="en-US" w:eastAsia="zh-CN"/>
              </w:rPr>
              <w:t>L/</w:t>
            </w:r>
            <w:r>
              <w:rPr>
                <w:rFonts w:hint="eastAsia" w:cs="Times New Roman"/>
                <w:sz w:val="24"/>
                <w:szCs w:val="24"/>
                <w:highlight w:val="none"/>
                <w:u w:val="none" w:color="auto"/>
                <w:lang w:val="en-US" w:eastAsia="zh-CN"/>
              </w:rPr>
              <w:t>人次</w:t>
            </w:r>
            <w:r>
              <w:rPr>
                <w:rFonts w:hint="default" w:ascii="Times New Roman" w:hAnsi="Times New Roman" w:eastAsia="宋体" w:cs="Times New Roman"/>
                <w:i w:val="0"/>
                <w:iCs w:val="0"/>
                <w:color w:val="000000"/>
                <w:kern w:val="0"/>
                <w:sz w:val="24"/>
                <w:szCs w:val="24"/>
                <w:u w:val="none" w:color="auto"/>
                <w:lang w:val="en-US" w:eastAsia="zh-CN" w:bidi="ar"/>
              </w:rPr>
              <w:t>•</w:t>
            </w:r>
            <w:r>
              <w:rPr>
                <w:rFonts w:hint="eastAsia" w:eastAsia="宋体" w:cs="Times New Roman"/>
                <w:i w:val="0"/>
                <w:iCs w:val="0"/>
                <w:color w:val="000000"/>
                <w:kern w:val="0"/>
                <w:sz w:val="24"/>
                <w:szCs w:val="24"/>
                <w:u w:val="none" w:color="auto"/>
                <w:lang w:val="en-US" w:eastAsia="zh-CN" w:bidi="ar"/>
              </w:rPr>
              <w:t>d，则检验用水为0.015t/d，5.475t/a（</w:t>
            </w:r>
            <w:r>
              <w:rPr>
                <w:rFonts w:hint="eastAsia" w:cs="Times New Roman"/>
                <w:i w:val="0"/>
                <w:iCs w:val="0"/>
                <w:color w:val="000000"/>
                <w:kern w:val="0"/>
                <w:sz w:val="24"/>
                <w:szCs w:val="24"/>
                <w:u w:val="none" w:color="auto"/>
                <w:lang w:val="en-US" w:eastAsia="zh-CN" w:bidi="ar"/>
              </w:rPr>
              <w:t>其中20%为</w:t>
            </w:r>
            <w:r>
              <w:rPr>
                <w:rFonts w:hint="eastAsia" w:eastAsia="宋体" w:cs="Times New Roman"/>
                <w:i w:val="0"/>
                <w:iCs w:val="0"/>
                <w:color w:val="000000"/>
                <w:kern w:val="0"/>
                <w:sz w:val="24"/>
                <w:szCs w:val="24"/>
                <w:u w:val="none" w:color="auto"/>
                <w:lang w:val="en-US" w:eastAsia="zh-CN" w:bidi="ar"/>
              </w:rPr>
              <w:t>检验废</w:t>
            </w:r>
            <w:r>
              <w:rPr>
                <w:rFonts w:hint="eastAsia" w:cs="Times New Roman"/>
                <w:i w:val="0"/>
                <w:iCs w:val="0"/>
                <w:color w:val="000000"/>
                <w:kern w:val="0"/>
                <w:sz w:val="24"/>
                <w:szCs w:val="24"/>
                <w:u w:val="none" w:color="auto"/>
                <w:lang w:val="en-US" w:eastAsia="zh-CN" w:bidi="ar"/>
              </w:rPr>
              <w:t>液</w:t>
            </w:r>
            <w:r>
              <w:rPr>
                <w:rFonts w:hint="eastAsia" w:eastAsia="宋体" w:cs="Times New Roman"/>
                <w:i w:val="0"/>
                <w:iCs w:val="0"/>
                <w:color w:val="000000"/>
                <w:kern w:val="0"/>
                <w:sz w:val="24"/>
                <w:szCs w:val="24"/>
                <w:u w:val="none" w:color="auto"/>
                <w:lang w:val="en-US" w:eastAsia="zh-CN" w:bidi="ar"/>
              </w:rPr>
              <w:t>单独收集做危废处理</w:t>
            </w:r>
            <w:r>
              <w:rPr>
                <w:rFonts w:hint="eastAsia" w:cs="Times New Roman"/>
                <w:i w:val="0"/>
                <w:iCs w:val="0"/>
                <w:color w:val="000000"/>
                <w:kern w:val="0"/>
                <w:sz w:val="24"/>
                <w:szCs w:val="24"/>
                <w:u w:val="none" w:color="auto"/>
                <w:lang w:val="en-US" w:eastAsia="zh-CN" w:bidi="ar"/>
              </w:rPr>
              <w:t>，剩下80%为检验废水排入自建污水处理厂</w:t>
            </w:r>
            <w:r>
              <w:rPr>
                <w:rFonts w:hint="eastAsia" w:eastAsia="宋体" w:cs="Times New Roman"/>
                <w:i w:val="0"/>
                <w:iCs w:val="0"/>
                <w:color w:val="000000"/>
                <w:kern w:val="0"/>
                <w:sz w:val="24"/>
                <w:szCs w:val="24"/>
                <w:u w:val="none" w:color="auto"/>
                <w:lang w:val="en-US" w:eastAsia="zh-CN" w:bidi="ar"/>
              </w:rPr>
              <w:t>）</w:t>
            </w:r>
            <w:r>
              <w:rPr>
                <w:rFonts w:hint="eastAsia" w:cs="Times New Roman"/>
                <w:sz w:val="24"/>
                <w:szCs w:val="24"/>
                <w:highlight w:val="none"/>
                <w:u w:val="none" w:color="auto"/>
                <w:lang w:val="en-US" w:eastAsia="zh-CN"/>
              </w:rPr>
              <w:t>。综上总</w:t>
            </w:r>
            <w:r>
              <w:rPr>
                <w:rFonts w:hint="default" w:ascii="Times New Roman" w:hAnsi="Times New Roman" w:eastAsia="宋体" w:cs="Times New Roman"/>
                <w:sz w:val="24"/>
                <w:szCs w:val="24"/>
                <w:u w:val="none" w:color="auto"/>
                <w:lang w:val="en-US" w:eastAsia="zh-CN"/>
              </w:rPr>
              <w:t>用水量为</w:t>
            </w:r>
            <w:r>
              <w:rPr>
                <w:rFonts w:hint="eastAsia" w:cs="Times New Roman"/>
                <w:sz w:val="24"/>
                <w:szCs w:val="24"/>
                <w:u w:val="none" w:color="auto"/>
                <w:lang w:val="en-US" w:eastAsia="zh-CN"/>
              </w:rPr>
              <w:t>12.758</w:t>
            </w:r>
            <w:r>
              <w:rPr>
                <w:rFonts w:hint="default" w:ascii="Times New Roman" w:hAnsi="Times New Roman" w:eastAsia="宋体" w:cs="Times New Roman"/>
                <w:sz w:val="24"/>
                <w:szCs w:val="24"/>
                <w:u w:val="none" w:color="auto"/>
                <w:lang w:val="en-US" w:eastAsia="zh-CN"/>
              </w:rPr>
              <w:t>t/d、</w:t>
            </w:r>
            <w:r>
              <w:rPr>
                <w:rFonts w:hint="eastAsia" w:cs="Times New Roman"/>
                <w:sz w:val="24"/>
                <w:szCs w:val="24"/>
                <w:u w:val="none" w:color="auto"/>
                <w:lang w:val="en-US" w:eastAsia="zh-CN"/>
              </w:rPr>
              <w:t>4956.66</w:t>
            </w:r>
            <w:r>
              <w:rPr>
                <w:rFonts w:hint="default" w:ascii="Times New Roman" w:hAnsi="Times New Roman" w:eastAsia="宋体" w:cs="Times New Roman"/>
                <w:sz w:val="24"/>
                <w:szCs w:val="24"/>
                <w:u w:val="none" w:color="auto"/>
                <w:lang w:val="en-US" w:eastAsia="zh-CN"/>
              </w:rPr>
              <w:t>t/a。</w:t>
            </w:r>
            <w:r>
              <w:rPr>
                <w:rFonts w:hint="default" w:ascii="Times New Roman" w:hAnsi="Times New Roman" w:eastAsia="宋体" w:cs="Times New Roman"/>
                <w:strike w:val="0"/>
                <w:dstrike w:val="0"/>
                <w:color w:val="auto"/>
                <w:sz w:val="24"/>
                <w:szCs w:val="24"/>
                <w:highlight w:val="none"/>
                <w:u w:val="none" w:color="auto"/>
                <w:lang w:val="en-US" w:eastAsia="zh-CN"/>
              </w:rPr>
              <w:t>根据《城镇生活源产排污系数手册》，项目排水系数按0.8计，则项目排水量约为</w:t>
            </w:r>
            <w:r>
              <w:rPr>
                <w:rFonts w:hint="eastAsia" w:cs="Times New Roman"/>
                <w:i w:val="0"/>
                <w:iCs w:val="0"/>
                <w:color w:val="000000"/>
                <w:kern w:val="0"/>
                <w:sz w:val="24"/>
                <w:szCs w:val="24"/>
                <w:u w:val="none" w:color="auto"/>
                <w:lang w:val="en-US" w:eastAsia="zh-CN" w:bidi="ar"/>
              </w:rPr>
              <w:t>10.206</w:t>
            </w:r>
            <w:r>
              <w:rPr>
                <w:rFonts w:hint="default" w:ascii="Times New Roman" w:hAnsi="Times New Roman" w:eastAsia="宋体" w:cs="Times New Roman"/>
                <w:strike w:val="0"/>
                <w:dstrike w:val="0"/>
                <w:color w:val="auto"/>
                <w:sz w:val="24"/>
                <w:szCs w:val="24"/>
                <w:highlight w:val="none"/>
                <w:u w:val="none" w:color="auto"/>
                <w:lang w:val="en-US" w:eastAsia="zh-CN"/>
              </w:rPr>
              <w:t>t/d、</w:t>
            </w:r>
            <w:r>
              <w:rPr>
                <w:rFonts w:hint="eastAsia" w:cs="Times New Roman"/>
                <w:i w:val="0"/>
                <w:iCs w:val="0"/>
                <w:color w:val="000000"/>
                <w:kern w:val="0"/>
                <w:sz w:val="24"/>
                <w:szCs w:val="24"/>
                <w:u w:val="none" w:color="auto"/>
                <w:lang w:val="en-US" w:eastAsia="zh-CN" w:bidi="ar"/>
              </w:rPr>
              <w:t>3725.33</w:t>
            </w:r>
            <w:r>
              <w:rPr>
                <w:rFonts w:hint="default" w:ascii="Times New Roman" w:hAnsi="Times New Roman" w:eastAsia="宋体" w:cs="Times New Roman"/>
                <w:strike w:val="0"/>
                <w:dstrike w:val="0"/>
                <w:color w:val="auto"/>
                <w:sz w:val="24"/>
                <w:szCs w:val="24"/>
                <w:highlight w:val="none"/>
                <w:u w:val="none" w:color="auto"/>
                <w:lang w:val="en-US" w:eastAsia="zh-CN"/>
              </w:rPr>
              <w:t>t/a</w:t>
            </w:r>
            <w:r>
              <w:rPr>
                <w:rFonts w:hint="eastAsia" w:cs="Times New Roman"/>
                <w:strike w:val="0"/>
                <w:dstrike w:val="0"/>
                <w:color w:val="auto"/>
                <w:sz w:val="24"/>
                <w:szCs w:val="24"/>
                <w:highlight w:val="none"/>
                <w:u w:val="none" w:color="auto"/>
                <w:lang w:val="en-US" w:eastAsia="zh-CN"/>
              </w:rPr>
              <w:t>；除去单独处理的检验室废液则项目废水排水量约为10.204t/d，3724.45t/a。</w:t>
            </w:r>
          </w:p>
          <w:p w14:paraId="7E40BFC0">
            <w:pPr>
              <w:spacing w:line="240" w:lineRule="auto"/>
              <w:jc w:val="center"/>
              <w:rPr>
                <w:rFonts w:hint="default" w:ascii="Times New Roman" w:hAnsi="Times New Roman" w:eastAsia="宋体" w:cs="Times New Roman"/>
                <w:b/>
                <w:bCs/>
                <w:kern w:val="44"/>
                <w:sz w:val="21"/>
                <w:szCs w:val="21"/>
                <w:u w:val="none" w:color="auto"/>
              </w:rPr>
            </w:pPr>
            <w:r>
              <w:rPr>
                <w:rFonts w:hint="default" w:ascii="Times New Roman" w:hAnsi="Times New Roman" w:eastAsia="宋体" w:cs="Times New Roman"/>
                <w:b/>
                <w:bCs/>
                <w:sz w:val="21"/>
                <w:szCs w:val="21"/>
                <w:u w:val="none" w:color="auto"/>
              </w:rPr>
              <w:t>表2-</w:t>
            </w:r>
            <w:r>
              <w:rPr>
                <w:rFonts w:hint="default" w:ascii="Times New Roman" w:hAnsi="Times New Roman" w:eastAsia="宋体" w:cs="Times New Roman"/>
                <w:b/>
                <w:bCs/>
                <w:sz w:val="21"/>
                <w:szCs w:val="21"/>
                <w:u w:val="none" w:color="auto"/>
                <w:lang w:val="en-US" w:eastAsia="zh-CN"/>
              </w:rPr>
              <w:t>4</w:t>
            </w:r>
            <w:r>
              <w:rPr>
                <w:rFonts w:hint="default" w:ascii="Times New Roman" w:hAnsi="Times New Roman" w:eastAsia="宋体" w:cs="Times New Roman"/>
                <w:b/>
                <w:bCs/>
                <w:sz w:val="21"/>
                <w:szCs w:val="21"/>
                <w:u w:val="none" w:color="auto"/>
              </w:rPr>
              <w:t xml:space="preserve"> </w:t>
            </w:r>
            <w:r>
              <w:rPr>
                <w:rFonts w:hint="default" w:ascii="Times New Roman" w:hAnsi="Times New Roman" w:eastAsia="宋体" w:cs="Times New Roman"/>
                <w:b/>
                <w:bCs/>
                <w:sz w:val="21"/>
                <w:szCs w:val="21"/>
                <w:u w:val="none" w:color="auto"/>
                <w:lang w:val="en-US" w:eastAsia="zh-CN"/>
              </w:rPr>
              <w:t>项目</w:t>
            </w:r>
            <w:r>
              <w:rPr>
                <w:rFonts w:hint="default" w:ascii="Times New Roman" w:hAnsi="Times New Roman" w:eastAsia="宋体" w:cs="Times New Roman"/>
                <w:b/>
                <w:bCs/>
                <w:kern w:val="44"/>
                <w:sz w:val="21"/>
                <w:szCs w:val="21"/>
                <w:u w:val="none" w:color="auto"/>
              </w:rPr>
              <w:t>用水</w:t>
            </w:r>
            <w:r>
              <w:rPr>
                <w:rFonts w:hint="default" w:ascii="Times New Roman" w:hAnsi="Times New Roman" w:eastAsia="宋体" w:cs="Times New Roman"/>
                <w:b/>
                <w:bCs/>
                <w:kern w:val="44"/>
                <w:sz w:val="21"/>
                <w:szCs w:val="21"/>
                <w:u w:val="none" w:color="auto"/>
                <w:lang w:eastAsia="zh-CN"/>
              </w:rPr>
              <w:t>、</w:t>
            </w:r>
            <w:r>
              <w:rPr>
                <w:rFonts w:hint="default" w:ascii="Times New Roman" w:hAnsi="Times New Roman" w:eastAsia="宋体" w:cs="Times New Roman"/>
                <w:b/>
                <w:bCs/>
                <w:kern w:val="44"/>
                <w:sz w:val="21"/>
                <w:szCs w:val="21"/>
                <w:u w:val="none" w:color="auto"/>
                <w:lang w:val="en-US" w:eastAsia="zh-CN"/>
              </w:rPr>
              <w:t>排水</w:t>
            </w:r>
            <w:r>
              <w:rPr>
                <w:rFonts w:hint="default" w:ascii="Times New Roman" w:hAnsi="Times New Roman" w:eastAsia="宋体" w:cs="Times New Roman"/>
                <w:b/>
                <w:bCs/>
                <w:kern w:val="44"/>
                <w:sz w:val="21"/>
                <w:szCs w:val="21"/>
                <w:u w:val="none" w:color="auto"/>
              </w:rPr>
              <w:t>情况一览表</w:t>
            </w:r>
          </w:p>
          <w:tbl>
            <w:tblPr>
              <w:tblStyle w:val="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96"/>
              <w:gridCol w:w="1040"/>
              <w:gridCol w:w="766"/>
              <w:gridCol w:w="762"/>
              <w:gridCol w:w="608"/>
              <w:gridCol w:w="782"/>
              <w:gridCol w:w="1095"/>
              <w:gridCol w:w="1282"/>
              <w:gridCol w:w="1420"/>
            </w:tblGrid>
            <w:tr w14:paraId="3CB2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6" w:type="dxa"/>
                  <w:tcBorders>
                    <w:tl2br w:val="nil"/>
                    <w:tr2bl w:val="nil"/>
                  </w:tcBorders>
                  <w:noWrap w:val="0"/>
                  <w:vAlign w:val="center"/>
                </w:tcPr>
                <w:p w14:paraId="21727BCB">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序号</w:t>
                  </w:r>
                </w:p>
              </w:tc>
              <w:tc>
                <w:tcPr>
                  <w:tcW w:w="1040" w:type="dxa"/>
                  <w:tcBorders>
                    <w:tl2br w:val="nil"/>
                    <w:tr2bl w:val="nil"/>
                  </w:tcBorders>
                  <w:noWrap w:val="0"/>
                  <w:vAlign w:val="center"/>
                </w:tcPr>
                <w:p w14:paraId="522A7C14">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项目</w:t>
                  </w:r>
                </w:p>
              </w:tc>
              <w:tc>
                <w:tcPr>
                  <w:tcW w:w="766" w:type="dxa"/>
                  <w:tcBorders>
                    <w:tl2br w:val="nil"/>
                    <w:tr2bl w:val="nil"/>
                  </w:tcBorders>
                  <w:noWrap w:val="0"/>
                  <w:vAlign w:val="center"/>
                </w:tcPr>
                <w:p w14:paraId="6D8C22F0">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数量</w:t>
                  </w:r>
                </w:p>
              </w:tc>
              <w:tc>
                <w:tcPr>
                  <w:tcW w:w="762" w:type="dxa"/>
                  <w:tcBorders>
                    <w:tl2br w:val="nil"/>
                    <w:tr2bl w:val="nil"/>
                  </w:tcBorders>
                  <w:noWrap w:val="0"/>
                  <w:vAlign w:val="center"/>
                </w:tcPr>
                <w:p w14:paraId="4C89FA76">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单位</w:t>
                  </w:r>
                </w:p>
              </w:tc>
              <w:tc>
                <w:tcPr>
                  <w:tcW w:w="608" w:type="dxa"/>
                  <w:tcBorders>
                    <w:tl2br w:val="nil"/>
                    <w:tr2bl w:val="nil"/>
                  </w:tcBorders>
                  <w:noWrap w:val="0"/>
                  <w:vAlign w:val="center"/>
                </w:tcPr>
                <w:p w14:paraId="50DA4C32">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用水标准</w:t>
                  </w:r>
                </w:p>
              </w:tc>
              <w:tc>
                <w:tcPr>
                  <w:tcW w:w="782" w:type="dxa"/>
                  <w:tcBorders>
                    <w:tl2br w:val="nil"/>
                    <w:tr2bl w:val="nil"/>
                  </w:tcBorders>
                  <w:noWrap w:val="0"/>
                  <w:vAlign w:val="center"/>
                </w:tcPr>
                <w:p w14:paraId="33D96216">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日用水量</w:t>
                  </w:r>
                </w:p>
                <w:p w14:paraId="31DB7DA5">
                  <w:pPr>
                    <w:pStyle w:val="24"/>
                    <w:bidi w:val="0"/>
                    <w:rPr>
                      <w:rFonts w:hint="default" w:ascii="Times New Roman" w:hAnsi="Times New Roman" w:eastAsia="宋体" w:cs="Times New Roman"/>
                      <w:b/>
                      <w:bCs/>
                      <w:u w:val="none" w:color="auto"/>
                      <w:lang w:val="en-US" w:eastAsia="zh-CN"/>
                    </w:rPr>
                  </w:pPr>
                  <w:r>
                    <w:rPr>
                      <w:rFonts w:hint="eastAsia" w:cs="Times New Roman"/>
                      <w:b/>
                      <w:bCs/>
                      <w:u w:val="none" w:color="auto"/>
                      <w:lang w:val="en-US" w:eastAsia="zh-CN"/>
                    </w:rPr>
                    <w:t>t</w:t>
                  </w:r>
                  <w:r>
                    <w:rPr>
                      <w:rFonts w:hint="default" w:ascii="Times New Roman" w:hAnsi="Times New Roman" w:eastAsia="宋体" w:cs="Times New Roman"/>
                      <w:b/>
                      <w:bCs/>
                      <w:u w:val="none" w:color="auto"/>
                      <w:lang w:val="en-US" w:eastAsia="zh-CN"/>
                    </w:rPr>
                    <w:t>/d</w:t>
                  </w:r>
                </w:p>
              </w:tc>
              <w:tc>
                <w:tcPr>
                  <w:tcW w:w="1095" w:type="dxa"/>
                  <w:tcBorders>
                    <w:tl2br w:val="nil"/>
                    <w:tr2bl w:val="nil"/>
                  </w:tcBorders>
                  <w:noWrap w:val="0"/>
                  <w:vAlign w:val="center"/>
                </w:tcPr>
                <w:p w14:paraId="24F3AD18">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年用水量（</w:t>
                  </w:r>
                  <w:r>
                    <w:rPr>
                      <w:rFonts w:hint="default" w:cs="Times New Roman"/>
                      <w:b/>
                      <w:bCs/>
                      <w:u w:val="none" w:color="auto"/>
                      <w:lang w:val="en-US" w:eastAsia="zh-CN"/>
                    </w:rPr>
                    <w:t>t</w:t>
                  </w:r>
                  <w:r>
                    <w:rPr>
                      <w:rFonts w:hint="default" w:ascii="Times New Roman" w:hAnsi="Times New Roman" w:eastAsia="宋体" w:cs="Times New Roman"/>
                      <w:b/>
                      <w:bCs/>
                      <w:u w:val="none" w:color="auto"/>
                      <w:lang w:val="en-US" w:eastAsia="zh-CN"/>
                    </w:rPr>
                    <w:t>/a)</w:t>
                  </w:r>
                </w:p>
              </w:tc>
              <w:tc>
                <w:tcPr>
                  <w:tcW w:w="1282" w:type="dxa"/>
                  <w:tcBorders>
                    <w:tl2br w:val="nil"/>
                    <w:tr2bl w:val="nil"/>
                  </w:tcBorders>
                  <w:noWrap w:val="0"/>
                  <w:vAlign w:val="center"/>
                </w:tcPr>
                <w:p w14:paraId="58B27754">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日排水量</w:t>
                  </w:r>
                  <w:r>
                    <w:rPr>
                      <w:rFonts w:hint="default" w:cs="Times New Roman"/>
                      <w:b/>
                      <w:bCs/>
                      <w:u w:val="none" w:color="auto"/>
                      <w:lang w:val="en-US" w:eastAsia="zh-CN"/>
                    </w:rPr>
                    <w:t>t</w:t>
                  </w:r>
                  <w:r>
                    <w:rPr>
                      <w:rFonts w:hint="default" w:ascii="Times New Roman" w:hAnsi="Times New Roman" w:eastAsia="宋体" w:cs="Times New Roman"/>
                      <w:b/>
                      <w:bCs/>
                      <w:u w:val="none" w:color="auto"/>
                      <w:lang w:val="en-US" w:eastAsia="zh-CN"/>
                    </w:rPr>
                    <w:t>/d</w:t>
                  </w:r>
                </w:p>
              </w:tc>
              <w:tc>
                <w:tcPr>
                  <w:tcW w:w="1420" w:type="dxa"/>
                  <w:tcBorders>
                    <w:tl2br w:val="nil"/>
                    <w:tr2bl w:val="nil"/>
                  </w:tcBorders>
                  <w:noWrap w:val="0"/>
                  <w:vAlign w:val="center"/>
                </w:tcPr>
                <w:p w14:paraId="65645359">
                  <w:pPr>
                    <w:pStyle w:val="24"/>
                    <w:bidi w:val="0"/>
                    <w:rPr>
                      <w:rFonts w:hint="default" w:ascii="Times New Roman" w:hAnsi="Times New Roman" w:eastAsia="宋体" w:cs="Times New Roman"/>
                      <w:b/>
                      <w:bCs/>
                      <w:u w:val="none" w:color="auto"/>
                      <w:lang w:val="en-US" w:eastAsia="zh-CN"/>
                    </w:rPr>
                  </w:pPr>
                  <w:r>
                    <w:rPr>
                      <w:rFonts w:hint="default" w:ascii="Times New Roman" w:hAnsi="Times New Roman" w:eastAsia="宋体" w:cs="Times New Roman"/>
                      <w:b/>
                      <w:bCs/>
                      <w:u w:val="none" w:color="auto"/>
                      <w:lang w:val="en-US" w:eastAsia="zh-CN"/>
                    </w:rPr>
                    <w:t>年排水量（</w:t>
                  </w:r>
                  <w:r>
                    <w:rPr>
                      <w:rFonts w:hint="default" w:cs="Times New Roman"/>
                      <w:b/>
                      <w:bCs/>
                      <w:u w:val="none" w:color="auto"/>
                      <w:lang w:val="en-US" w:eastAsia="zh-CN"/>
                    </w:rPr>
                    <w:t>t</w:t>
                  </w:r>
                  <w:r>
                    <w:rPr>
                      <w:rFonts w:hint="default" w:ascii="Times New Roman" w:hAnsi="Times New Roman" w:eastAsia="宋体" w:cs="Times New Roman"/>
                      <w:b/>
                      <w:bCs/>
                      <w:u w:val="none" w:color="auto"/>
                      <w:lang w:val="en-US" w:eastAsia="zh-CN"/>
                    </w:rPr>
                    <w:t>/a)</w:t>
                  </w:r>
                </w:p>
              </w:tc>
            </w:tr>
            <w:tr w14:paraId="28B6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6" w:type="dxa"/>
                  <w:tcBorders>
                    <w:tl2br w:val="nil"/>
                    <w:tr2bl w:val="nil"/>
                  </w:tcBorders>
                  <w:noWrap w:val="0"/>
                  <w:vAlign w:val="center"/>
                </w:tcPr>
                <w:p w14:paraId="14165F29">
                  <w:pPr>
                    <w:pStyle w:val="24"/>
                    <w:bidi w:val="0"/>
                    <w:rPr>
                      <w:rFonts w:hint="default" w:ascii="Times New Roman" w:hAnsi="Times New Roman" w:eastAsia="宋体" w:cs="Times New Roman"/>
                      <w:u w:val="none" w:color="auto"/>
                      <w:lang w:val="en-US" w:eastAsia="zh-CN"/>
                    </w:rPr>
                  </w:pPr>
                  <w:r>
                    <w:rPr>
                      <w:rFonts w:hint="default" w:ascii="Times New Roman" w:hAnsi="Times New Roman" w:eastAsia="宋体" w:cs="Times New Roman"/>
                      <w:u w:val="none" w:color="auto"/>
                      <w:lang w:val="en-US" w:eastAsia="zh-CN"/>
                    </w:rPr>
                    <w:t>1</w:t>
                  </w:r>
                </w:p>
              </w:tc>
              <w:tc>
                <w:tcPr>
                  <w:tcW w:w="1040" w:type="dxa"/>
                  <w:tcBorders>
                    <w:tl2br w:val="nil"/>
                    <w:tr2bl w:val="nil"/>
                  </w:tcBorders>
                  <w:noWrap w:val="0"/>
                  <w:vAlign w:val="center"/>
                </w:tcPr>
                <w:p w14:paraId="14953A45">
                  <w:pPr>
                    <w:pStyle w:val="24"/>
                    <w:bidi w:val="0"/>
                    <w:rPr>
                      <w:rFonts w:hint="default" w:ascii="Times New Roman" w:hAnsi="Times New Roman" w:eastAsia="宋体" w:cs="Times New Roman"/>
                      <w:u w:val="none" w:color="auto"/>
                      <w:lang w:val="en-US" w:eastAsia="zh-CN"/>
                    </w:rPr>
                  </w:pPr>
                  <w:r>
                    <w:rPr>
                      <w:rFonts w:hint="eastAsia" w:cs="Times New Roman"/>
                      <w:u w:val="none" w:color="auto"/>
                      <w:lang w:val="en-US" w:eastAsia="zh-CN"/>
                    </w:rPr>
                    <w:t>住院病人用水</w:t>
                  </w:r>
                </w:p>
              </w:tc>
              <w:tc>
                <w:tcPr>
                  <w:tcW w:w="766" w:type="dxa"/>
                  <w:tcBorders>
                    <w:tl2br w:val="nil"/>
                    <w:tr2bl w:val="nil"/>
                  </w:tcBorders>
                  <w:noWrap w:val="0"/>
                  <w:vAlign w:val="center"/>
                </w:tcPr>
                <w:p w14:paraId="38B63405">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eastAsia" w:cs="Times New Roman"/>
                      <w:u w:val="none" w:color="auto"/>
                      <w:lang w:val="en-US" w:eastAsia="zh-CN"/>
                    </w:rPr>
                    <w:t>30床</w:t>
                  </w:r>
                </w:p>
              </w:tc>
              <w:tc>
                <w:tcPr>
                  <w:tcW w:w="762" w:type="dxa"/>
                  <w:tcBorders>
                    <w:tl2br w:val="nil"/>
                    <w:tr2bl w:val="nil"/>
                  </w:tcBorders>
                  <w:noWrap w:val="0"/>
                  <w:vAlign w:val="center"/>
                </w:tcPr>
                <w:p w14:paraId="5F6E2BE1">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L/床•d</w:t>
                  </w:r>
                </w:p>
              </w:tc>
              <w:tc>
                <w:tcPr>
                  <w:tcW w:w="608" w:type="dxa"/>
                  <w:tcBorders>
                    <w:tl2br w:val="nil"/>
                    <w:tr2bl w:val="nil"/>
                  </w:tcBorders>
                  <w:noWrap w:val="0"/>
                  <w:vAlign w:val="center"/>
                </w:tcPr>
                <w:p w14:paraId="6AFC5C5A">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eastAsia" w:cs="Times New Roman"/>
                      <w:u w:val="none" w:color="auto"/>
                      <w:lang w:val="en-US" w:eastAsia="zh-CN"/>
                    </w:rPr>
                    <w:t>250</w:t>
                  </w:r>
                </w:p>
              </w:tc>
              <w:tc>
                <w:tcPr>
                  <w:tcW w:w="782" w:type="dxa"/>
                  <w:tcBorders>
                    <w:tl2br w:val="nil"/>
                    <w:tr2bl w:val="nil"/>
                  </w:tcBorders>
                  <w:noWrap w:val="0"/>
                  <w:vAlign w:val="center"/>
                </w:tcPr>
                <w:p w14:paraId="1EF62353">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7.5</w:t>
                  </w:r>
                </w:p>
              </w:tc>
              <w:tc>
                <w:tcPr>
                  <w:tcW w:w="1095" w:type="dxa"/>
                  <w:tcBorders>
                    <w:tl2br w:val="nil"/>
                    <w:tr2bl w:val="nil"/>
                  </w:tcBorders>
                  <w:noWrap w:val="0"/>
                  <w:vAlign w:val="center"/>
                </w:tcPr>
                <w:p w14:paraId="0825C339">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2737.5</w:t>
                  </w:r>
                </w:p>
              </w:tc>
              <w:tc>
                <w:tcPr>
                  <w:tcW w:w="1282" w:type="dxa"/>
                  <w:tcBorders>
                    <w:tl2br w:val="nil"/>
                    <w:tr2bl w:val="nil"/>
                  </w:tcBorders>
                  <w:noWrap w:val="0"/>
                  <w:vAlign w:val="center"/>
                </w:tcPr>
                <w:p w14:paraId="53B24FA4">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6</w:t>
                  </w:r>
                </w:p>
              </w:tc>
              <w:tc>
                <w:tcPr>
                  <w:tcW w:w="1420" w:type="dxa"/>
                  <w:tcBorders>
                    <w:tl2br w:val="nil"/>
                    <w:tr2bl w:val="nil"/>
                  </w:tcBorders>
                  <w:noWrap w:val="0"/>
                  <w:vAlign w:val="center"/>
                </w:tcPr>
                <w:p w14:paraId="416A4BAA">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2190</w:t>
                  </w:r>
                </w:p>
              </w:tc>
            </w:tr>
            <w:tr w14:paraId="7002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6" w:type="dxa"/>
                  <w:tcBorders>
                    <w:tl2br w:val="nil"/>
                    <w:tr2bl w:val="nil"/>
                  </w:tcBorders>
                  <w:noWrap w:val="0"/>
                  <w:vAlign w:val="center"/>
                </w:tcPr>
                <w:p w14:paraId="4BCF13A7">
                  <w:pPr>
                    <w:pStyle w:val="24"/>
                    <w:bidi w:val="0"/>
                    <w:rPr>
                      <w:rFonts w:hint="default" w:ascii="Times New Roman" w:hAnsi="Times New Roman" w:eastAsia="宋体" w:cs="Times New Roman"/>
                      <w:u w:val="none" w:color="auto"/>
                      <w:lang w:val="en-US" w:eastAsia="zh-CN"/>
                    </w:rPr>
                  </w:pPr>
                  <w:r>
                    <w:rPr>
                      <w:rFonts w:hint="default" w:ascii="Times New Roman" w:hAnsi="Times New Roman" w:eastAsia="宋体" w:cs="Times New Roman"/>
                      <w:u w:val="none" w:color="auto"/>
                      <w:lang w:val="en-US" w:eastAsia="zh-CN"/>
                    </w:rPr>
                    <w:t>2</w:t>
                  </w:r>
                </w:p>
              </w:tc>
              <w:tc>
                <w:tcPr>
                  <w:tcW w:w="1040" w:type="dxa"/>
                  <w:tcBorders>
                    <w:tl2br w:val="nil"/>
                    <w:tr2bl w:val="nil"/>
                  </w:tcBorders>
                  <w:noWrap w:val="0"/>
                  <w:vAlign w:val="center"/>
                </w:tcPr>
                <w:p w14:paraId="349B86D7">
                  <w:pPr>
                    <w:pStyle w:val="24"/>
                    <w:bidi w:val="0"/>
                    <w:rPr>
                      <w:rFonts w:hint="default" w:ascii="Times New Roman" w:hAnsi="Times New Roman" w:eastAsia="宋体" w:cs="Times New Roman"/>
                      <w:u w:val="none" w:color="auto"/>
                      <w:lang w:val="en-US" w:eastAsia="zh-CN"/>
                    </w:rPr>
                  </w:pPr>
                  <w:r>
                    <w:rPr>
                      <w:rFonts w:hint="default" w:ascii="Times New Roman" w:hAnsi="Times New Roman" w:eastAsia="宋体" w:cs="Times New Roman"/>
                      <w:u w:val="none" w:color="auto"/>
                      <w:lang w:val="en-US" w:eastAsia="zh-CN"/>
                    </w:rPr>
                    <w:t>门诊病人</w:t>
                  </w:r>
                  <w:r>
                    <w:rPr>
                      <w:rFonts w:hint="eastAsia" w:cs="Times New Roman"/>
                      <w:u w:val="none" w:color="auto"/>
                      <w:lang w:val="en-US" w:eastAsia="zh-CN"/>
                    </w:rPr>
                    <w:t>用水</w:t>
                  </w:r>
                </w:p>
              </w:tc>
              <w:tc>
                <w:tcPr>
                  <w:tcW w:w="766" w:type="dxa"/>
                  <w:tcBorders>
                    <w:tl2br w:val="nil"/>
                    <w:tr2bl w:val="nil"/>
                  </w:tcBorders>
                  <w:noWrap w:val="0"/>
                  <w:vAlign w:val="center"/>
                </w:tcPr>
                <w:p w14:paraId="17CB5367">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eastAsia" w:cs="Times New Roman"/>
                      <w:u w:val="none" w:color="auto"/>
                      <w:lang w:val="en-US" w:eastAsia="zh-CN"/>
                    </w:rPr>
                    <w:t>35人</w:t>
                  </w:r>
                </w:p>
              </w:tc>
              <w:tc>
                <w:tcPr>
                  <w:tcW w:w="762" w:type="dxa"/>
                  <w:tcBorders>
                    <w:tl2br w:val="nil"/>
                    <w:tr2bl w:val="nil"/>
                  </w:tcBorders>
                  <w:noWrap w:val="0"/>
                  <w:vAlign w:val="center"/>
                </w:tcPr>
                <w:p w14:paraId="127A7534">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L/人•d</w:t>
                  </w:r>
                </w:p>
              </w:tc>
              <w:tc>
                <w:tcPr>
                  <w:tcW w:w="608" w:type="dxa"/>
                  <w:tcBorders>
                    <w:tl2br w:val="nil"/>
                    <w:tr2bl w:val="nil"/>
                  </w:tcBorders>
                  <w:noWrap w:val="0"/>
                  <w:vAlign w:val="center"/>
                </w:tcPr>
                <w:p w14:paraId="7FC24220">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eastAsia" w:cs="Times New Roman"/>
                      <w:i w:val="0"/>
                      <w:iCs w:val="0"/>
                      <w:color w:val="000000"/>
                      <w:kern w:val="0"/>
                      <w:sz w:val="21"/>
                      <w:szCs w:val="21"/>
                      <w:u w:val="none" w:color="auto"/>
                      <w:lang w:val="en-US" w:eastAsia="zh-CN" w:bidi="ar"/>
                    </w:rPr>
                    <w:t>15</w:t>
                  </w:r>
                </w:p>
              </w:tc>
              <w:tc>
                <w:tcPr>
                  <w:tcW w:w="782" w:type="dxa"/>
                  <w:tcBorders>
                    <w:tl2br w:val="nil"/>
                    <w:tr2bl w:val="nil"/>
                  </w:tcBorders>
                  <w:noWrap w:val="0"/>
                  <w:vAlign w:val="center"/>
                </w:tcPr>
                <w:p w14:paraId="5B0C04B5">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0.525</w:t>
                  </w:r>
                </w:p>
              </w:tc>
              <w:tc>
                <w:tcPr>
                  <w:tcW w:w="1095" w:type="dxa"/>
                  <w:tcBorders>
                    <w:tl2br w:val="nil"/>
                    <w:tr2bl w:val="nil"/>
                  </w:tcBorders>
                  <w:noWrap w:val="0"/>
                  <w:vAlign w:val="center"/>
                </w:tcPr>
                <w:p w14:paraId="615882BA">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191.625</w:t>
                  </w:r>
                </w:p>
              </w:tc>
              <w:tc>
                <w:tcPr>
                  <w:tcW w:w="1282" w:type="dxa"/>
                  <w:tcBorders>
                    <w:tl2br w:val="nil"/>
                    <w:tr2bl w:val="nil"/>
                  </w:tcBorders>
                  <w:noWrap w:val="0"/>
                  <w:vAlign w:val="center"/>
                </w:tcPr>
                <w:p w14:paraId="15BA3EFB">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0.42</w:t>
                  </w:r>
                </w:p>
              </w:tc>
              <w:tc>
                <w:tcPr>
                  <w:tcW w:w="1420" w:type="dxa"/>
                  <w:tcBorders>
                    <w:tl2br w:val="nil"/>
                    <w:tr2bl w:val="nil"/>
                  </w:tcBorders>
                  <w:noWrap w:val="0"/>
                  <w:vAlign w:val="center"/>
                </w:tcPr>
                <w:p w14:paraId="6EC9C5E8">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153.3</w:t>
                  </w:r>
                </w:p>
              </w:tc>
            </w:tr>
            <w:tr w14:paraId="0018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6" w:type="dxa"/>
                  <w:tcBorders>
                    <w:tl2br w:val="nil"/>
                    <w:tr2bl w:val="nil"/>
                  </w:tcBorders>
                  <w:noWrap w:val="0"/>
                  <w:vAlign w:val="center"/>
                </w:tcPr>
                <w:p w14:paraId="441B5EFE">
                  <w:pPr>
                    <w:pStyle w:val="24"/>
                    <w:bidi w:val="0"/>
                    <w:rPr>
                      <w:rFonts w:hint="default" w:ascii="Times New Roman" w:hAnsi="Times New Roman" w:eastAsia="宋体" w:cs="Times New Roman"/>
                      <w:u w:val="none" w:color="auto"/>
                      <w:lang w:val="en-US" w:eastAsia="zh-CN"/>
                    </w:rPr>
                  </w:pPr>
                  <w:r>
                    <w:rPr>
                      <w:rFonts w:hint="default" w:ascii="Times New Roman" w:hAnsi="Times New Roman" w:eastAsia="宋体" w:cs="Times New Roman"/>
                      <w:u w:val="none" w:color="auto"/>
                      <w:lang w:val="en-US" w:eastAsia="zh-CN"/>
                    </w:rPr>
                    <w:t>3</w:t>
                  </w:r>
                </w:p>
              </w:tc>
              <w:tc>
                <w:tcPr>
                  <w:tcW w:w="1040" w:type="dxa"/>
                  <w:tcBorders>
                    <w:tl2br w:val="nil"/>
                    <w:tr2bl w:val="nil"/>
                  </w:tcBorders>
                  <w:noWrap w:val="0"/>
                  <w:vAlign w:val="center"/>
                </w:tcPr>
                <w:p w14:paraId="397596A0">
                  <w:pPr>
                    <w:pStyle w:val="24"/>
                    <w:bidi w:val="0"/>
                    <w:rPr>
                      <w:rFonts w:hint="default" w:ascii="Times New Roman" w:hAnsi="Times New Roman" w:eastAsia="宋体" w:cs="Times New Roman"/>
                      <w:u w:val="none" w:color="auto"/>
                      <w:lang w:val="en-US" w:eastAsia="zh-CN"/>
                    </w:rPr>
                  </w:pPr>
                  <w:r>
                    <w:rPr>
                      <w:rFonts w:hint="default" w:ascii="Times New Roman" w:hAnsi="Times New Roman" w:eastAsia="宋体" w:cs="Times New Roman"/>
                      <w:u w:val="none" w:color="auto"/>
                      <w:lang w:val="en-US" w:eastAsia="zh-CN"/>
                    </w:rPr>
                    <w:t>医务人员</w:t>
                  </w:r>
                  <w:r>
                    <w:rPr>
                      <w:rFonts w:hint="eastAsia" w:cs="Times New Roman"/>
                      <w:u w:val="none" w:color="auto"/>
                      <w:lang w:val="en-US" w:eastAsia="zh-CN"/>
                    </w:rPr>
                    <w:t>用水</w:t>
                  </w:r>
                </w:p>
              </w:tc>
              <w:tc>
                <w:tcPr>
                  <w:tcW w:w="766" w:type="dxa"/>
                  <w:tcBorders>
                    <w:tl2br w:val="nil"/>
                    <w:tr2bl w:val="nil"/>
                  </w:tcBorders>
                  <w:noWrap w:val="0"/>
                  <w:vAlign w:val="center"/>
                </w:tcPr>
                <w:p w14:paraId="0E4710EF">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eastAsia" w:cs="Times New Roman"/>
                      <w:i w:val="0"/>
                      <w:iCs w:val="0"/>
                      <w:color w:val="000000"/>
                      <w:kern w:val="0"/>
                      <w:sz w:val="21"/>
                      <w:szCs w:val="21"/>
                      <w:u w:val="none" w:color="auto"/>
                      <w:lang w:val="en-US" w:eastAsia="zh-CN" w:bidi="ar"/>
                    </w:rPr>
                    <w:t>26人</w:t>
                  </w:r>
                </w:p>
              </w:tc>
              <w:tc>
                <w:tcPr>
                  <w:tcW w:w="762" w:type="dxa"/>
                  <w:tcBorders>
                    <w:tl2br w:val="nil"/>
                    <w:tr2bl w:val="nil"/>
                  </w:tcBorders>
                  <w:noWrap w:val="0"/>
                  <w:vAlign w:val="center"/>
                </w:tcPr>
                <w:p w14:paraId="1B897825">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L/人•班</w:t>
                  </w:r>
                </w:p>
              </w:tc>
              <w:tc>
                <w:tcPr>
                  <w:tcW w:w="608" w:type="dxa"/>
                  <w:tcBorders>
                    <w:tl2br w:val="nil"/>
                    <w:tr2bl w:val="nil"/>
                  </w:tcBorders>
                  <w:noWrap w:val="0"/>
                  <w:vAlign w:val="center"/>
                </w:tcPr>
                <w:p w14:paraId="76DB8864">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eastAsia" w:cs="Times New Roman"/>
                      <w:u w:val="none" w:color="auto"/>
                      <w:lang w:val="en-US" w:eastAsia="zh-CN"/>
                    </w:rPr>
                    <w:t>45</w:t>
                  </w:r>
                </w:p>
              </w:tc>
              <w:tc>
                <w:tcPr>
                  <w:tcW w:w="782" w:type="dxa"/>
                  <w:tcBorders>
                    <w:tl2br w:val="nil"/>
                    <w:tr2bl w:val="nil"/>
                  </w:tcBorders>
                  <w:noWrap w:val="0"/>
                  <w:vAlign w:val="center"/>
                </w:tcPr>
                <w:p w14:paraId="3337AC0B">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1.17</w:t>
                  </w:r>
                </w:p>
              </w:tc>
              <w:tc>
                <w:tcPr>
                  <w:tcW w:w="1095" w:type="dxa"/>
                  <w:tcBorders>
                    <w:tl2br w:val="nil"/>
                    <w:tr2bl w:val="nil"/>
                  </w:tcBorders>
                  <w:noWrap w:val="0"/>
                  <w:vAlign w:val="center"/>
                </w:tcPr>
                <w:p w14:paraId="0D20E4DB">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427.05</w:t>
                  </w:r>
                </w:p>
              </w:tc>
              <w:tc>
                <w:tcPr>
                  <w:tcW w:w="1282" w:type="dxa"/>
                  <w:tcBorders>
                    <w:tl2br w:val="nil"/>
                    <w:tr2bl w:val="nil"/>
                  </w:tcBorders>
                  <w:noWrap w:val="0"/>
                  <w:vAlign w:val="center"/>
                </w:tcPr>
                <w:p w14:paraId="64618A1F">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0.936</w:t>
                  </w:r>
                </w:p>
              </w:tc>
              <w:tc>
                <w:tcPr>
                  <w:tcW w:w="1420" w:type="dxa"/>
                  <w:tcBorders>
                    <w:tl2br w:val="nil"/>
                    <w:tr2bl w:val="nil"/>
                  </w:tcBorders>
                  <w:noWrap w:val="0"/>
                  <w:vAlign w:val="center"/>
                </w:tcPr>
                <w:p w14:paraId="527BFB1E">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341.64</w:t>
                  </w:r>
                </w:p>
              </w:tc>
            </w:tr>
            <w:tr w14:paraId="4721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5" w:hRule="atLeast"/>
              </w:trPr>
              <w:tc>
                <w:tcPr>
                  <w:tcW w:w="396" w:type="dxa"/>
                  <w:vMerge w:val="restart"/>
                  <w:tcBorders>
                    <w:tl2br w:val="nil"/>
                    <w:tr2bl w:val="nil"/>
                  </w:tcBorders>
                  <w:noWrap w:val="0"/>
                  <w:vAlign w:val="center"/>
                </w:tcPr>
                <w:p w14:paraId="08077EEF">
                  <w:pPr>
                    <w:pStyle w:val="24"/>
                    <w:bidi w:val="0"/>
                    <w:rPr>
                      <w:rFonts w:hint="default" w:ascii="Times New Roman" w:hAnsi="Times New Roman" w:eastAsia="宋体" w:cs="Times New Roman"/>
                      <w:u w:val="none" w:color="auto"/>
                      <w:lang w:val="en-US" w:eastAsia="zh-CN"/>
                    </w:rPr>
                  </w:pPr>
                  <w:r>
                    <w:rPr>
                      <w:rFonts w:hint="eastAsia" w:cs="Times New Roman"/>
                      <w:u w:val="none" w:color="auto"/>
                      <w:lang w:val="en-US" w:eastAsia="zh-CN"/>
                    </w:rPr>
                    <w:t>4</w:t>
                  </w:r>
                </w:p>
              </w:tc>
              <w:tc>
                <w:tcPr>
                  <w:tcW w:w="1040" w:type="dxa"/>
                  <w:vMerge w:val="restart"/>
                  <w:tcBorders>
                    <w:tl2br w:val="nil"/>
                    <w:tr2bl w:val="nil"/>
                  </w:tcBorders>
                  <w:noWrap w:val="0"/>
                  <w:vAlign w:val="center"/>
                </w:tcPr>
                <w:p w14:paraId="7A96A800">
                  <w:pPr>
                    <w:pStyle w:val="24"/>
                    <w:bidi w:val="0"/>
                    <w:rPr>
                      <w:rFonts w:hint="default" w:ascii="Times New Roman" w:hAnsi="Times New Roman" w:eastAsia="宋体" w:cs="Times New Roman"/>
                      <w:u w:val="none" w:color="auto"/>
                      <w:lang w:val="en-US" w:eastAsia="zh-CN"/>
                    </w:rPr>
                  </w:pPr>
                  <w:r>
                    <w:rPr>
                      <w:rFonts w:hint="eastAsia" w:cs="Times New Roman"/>
                      <w:u w:val="none" w:color="auto"/>
                      <w:lang w:val="en-US" w:eastAsia="zh-CN"/>
                    </w:rPr>
                    <w:t>检验室用水</w:t>
                  </w:r>
                </w:p>
              </w:tc>
              <w:tc>
                <w:tcPr>
                  <w:tcW w:w="766" w:type="dxa"/>
                  <w:vMerge w:val="restart"/>
                  <w:tcBorders>
                    <w:tl2br w:val="nil"/>
                    <w:tr2bl w:val="nil"/>
                  </w:tcBorders>
                  <w:noWrap w:val="0"/>
                  <w:vAlign w:val="center"/>
                </w:tcPr>
                <w:p w14:paraId="1F6437F9">
                  <w:pPr>
                    <w:keepNext w:val="0"/>
                    <w:keepLines w:val="0"/>
                    <w:widowControl/>
                    <w:suppressLineNumbers w:val="0"/>
                    <w:jc w:val="center"/>
                    <w:textAlignment w:val="center"/>
                    <w:rPr>
                      <w:rFonts w:hint="default"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10人</w:t>
                  </w:r>
                </w:p>
              </w:tc>
              <w:tc>
                <w:tcPr>
                  <w:tcW w:w="762" w:type="dxa"/>
                  <w:vMerge w:val="restart"/>
                  <w:tcBorders>
                    <w:tl2br w:val="nil"/>
                    <w:tr2bl w:val="nil"/>
                  </w:tcBorders>
                  <w:noWrap w:val="0"/>
                  <w:vAlign w:val="center"/>
                </w:tcPr>
                <w:p w14:paraId="3CE9C3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default" w:ascii="Times New Roman" w:hAnsi="Times New Roman" w:eastAsia="宋体" w:cs="Times New Roman"/>
                      <w:i w:val="0"/>
                      <w:iCs w:val="0"/>
                      <w:color w:val="000000"/>
                      <w:kern w:val="0"/>
                      <w:sz w:val="21"/>
                      <w:szCs w:val="21"/>
                      <w:u w:val="none" w:color="auto"/>
                      <w:lang w:val="en-US" w:eastAsia="zh-CN" w:bidi="ar"/>
                    </w:rPr>
                    <w:t>L/人</w:t>
                  </w:r>
                  <w:r>
                    <w:rPr>
                      <w:rFonts w:hint="eastAsia" w:eastAsia="宋体" w:cs="Times New Roman"/>
                      <w:i w:val="0"/>
                      <w:iCs w:val="0"/>
                      <w:color w:val="000000"/>
                      <w:kern w:val="0"/>
                      <w:sz w:val="21"/>
                      <w:szCs w:val="21"/>
                      <w:u w:val="none" w:color="auto"/>
                      <w:lang w:val="en-US" w:eastAsia="zh-CN" w:bidi="ar"/>
                    </w:rPr>
                    <w:t>次</w:t>
                  </w:r>
                  <w:r>
                    <w:rPr>
                      <w:rFonts w:hint="default" w:ascii="Times New Roman" w:hAnsi="Times New Roman" w:eastAsia="宋体" w:cs="Times New Roman"/>
                      <w:i w:val="0"/>
                      <w:iCs w:val="0"/>
                      <w:color w:val="000000"/>
                      <w:kern w:val="0"/>
                      <w:sz w:val="21"/>
                      <w:szCs w:val="21"/>
                      <w:u w:val="none" w:color="auto"/>
                      <w:lang w:val="en-US" w:eastAsia="zh-CN" w:bidi="ar"/>
                    </w:rPr>
                    <w:t>•</w:t>
                  </w:r>
                  <w:r>
                    <w:rPr>
                      <w:rFonts w:hint="eastAsia" w:eastAsia="宋体" w:cs="Times New Roman"/>
                      <w:i w:val="0"/>
                      <w:iCs w:val="0"/>
                      <w:color w:val="000000"/>
                      <w:kern w:val="0"/>
                      <w:sz w:val="21"/>
                      <w:szCs w:val="21"/>
                      <w:u w:val="none" w:color="auto"/>
                      <w:lang w:val="en-US" w:eastAsia="zh-CN" w:bidi="ar"/>
                    </w:rPr>
                    <w:t>d</w:t>
                  </w:r>
                </w:p>
              </w:tc>
              <w:tc>
                <w:tcPr>
                  <w:tcW w:w="608" w:type="dxa"/>
                  <w:vMerge w:val="restart"/>
                  <w:tcBorders>
                    <w:tl2br w:val="nil"/>
                    <w:tr2bl w:val="nil"/>
                  </w:tcBorders>
                  <w:noWrap w:val="0"/>
                  <w:vAlign w:val="center"/>
                </w:tcPr>
                <w:p w14:paraId="23D7B276">
                  <w:pPr>
                    <w:keepNext w:val="0"/>
                    <w:keepLines w:val="0"/>
                    <w:widowControl/>
                    <w:suppressLineNumbers w:val="0"/>
                    <w:jc w:val="center"/>
                    <w:textAlignment w:val="center"/>
                    <w:rPr>
                      <w:rFonts w:hint="default" w:ascii="Times New Roman" w:hAnsi="Times New Roman" w:eastAsia="宋体" w:cs="Times New Roman"/>
                      <w:u w:val="none" w:color="auto"/>
                      <w:lang w:val="en-US" w:eastAsia="zh-CN"/>
                    </w:rPr>
                  </w:pPr>
                  <w:r>
                    <w:rPr>
                      <w:rFonts w:hint="eastAsia" w:cs="Times New Roman"/>
                      <w:u w:val="none" w:color="auto"/>
                      <w:lang w:val="en-US" w:eastAsia="zh-CN"/>
                    </w:rPr>
                    <w:t>1.5</w:t>
                  </w:r>
                </w:p>
              </w:tc>
              <w:tc>
                <w:tcPr>
                  <w:tcW w:w="782" w:type="dxa"/>
                  <w:vMerge w:val="restart"/>
                  <w:tcBorders>
                    <w:tl2br w:val="nil"/>
                    <w:tr2bl w:val="nil"/>
                  </w:tcBorders>
                  <w:noWrap w:val="0"/>
                  <w:vAlign w:val="center"/>
                </w:tcPr>
                <w:p w14:paraId="15B3BBCF">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0.015</w:t>
                  </w:r>
                </w:p>
              </w:tc>
              <w:tc>
                <w:tcPr>
                  <w:tcW w:w="1095" w:type="dxa"/>
                  <w:vMerge w:val="restart"/>
                  <w:tcBorders>
                    <w:tl2br w:val="nil"/>
                    <w:tr2bl w:val="nil"/>
                  </w:tcBorders>
                  <w:noWrap w:val="0"/>
                  <w:vAlign w:val="center"/>
                </w:tcPr>
                <w:p w14:paraId="1A6B112A">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5.475</w:t>
                  </w:r>
                </w:p>
              </w:tc>
              <w:tc>
                <w:tcPr>
                  <w:tcW w:w="1282" w:type="dxa"/>
                  <w:tcBorders>
                    <w:tl2br w:val="nil"/>
                    <w:tr2bl w:val="nil"/>
                  </w:tcBorders>
                  <w:noWrap w:val="0"/>
                  <w:vAlign w:val="center"/>
                </w:tcPr>
                <w:p w14:paraId="5CBFEA07">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0.0</w:t>
                  </w:r>
                  <w:r>
                    <w:rPr>
                      <w:rFonts w:hint="eastAsia" w:cs="Times New Roman"/>
                      <w:u w:val="none" w:color="auto"/>
                      <w:lang w:val="en-US" w:eastAsia="zh-CN"/>
                    </w:rPr>
                    <w:t>096</w:t>
                  </w:r>
                </w:p>
              </w:tc>
              <w:tc>
                <w:tcPr>
                  <w:tcW w:w="1420" w:type="dxa"/>
                  <w:tcBorders>
                    <w:tl2br w:val="nil"/>
                    <w:tr2bl w:val="nil"/>
                  </w:tcBorders>
                  <w:noWrap w:val="0"/>
                  <w:vAlign w:val="center"/>
                </w:tcPr>
                <w:p w14:paraId="6D69011E">
                  <w:pPr>
                    <w:keepNext w:val="0"/>
                    <w:keepLines w:val="0"/>
                    <w:widowControl/>
                    <w:suppressLineNumbers w:val="0"/>
                    <w:jc w:val="center"/>
                    <w:textAlignment w:val="center"/>
                    <w:rPr>
                      <w:rFonts w:hint="default" w:eastAsia="宋体" w:cs="Times New Roman"/>
                      <w:u w:val="none" w:color="auto"/>
                      <w:lang w:val="en-US" w:eastAsia="zh-CN"/>
                    </w:rPr>
                  </w:pPr>
                  <w:r>
                    <w:rPr>
                      <w:rFonts w:hint="eastAsia" w:cs="Times New Roman"/>
                      <w:u w:val="none" w:color="auto"/>
                      <w:lang w:val="en-US" w:eastAsia="zh-CN"/>
                    </w:rPr>
                    <w:t>3.504</w:t>
                  </w:r>
                </w:p>
              </w:tc>
            </w:tr>
            <w:tr w14:paraId="18E4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5" w:hRule="atLeast"/>
              </w:trPr>
              <w:tc>
                <w:tcPr>
                  <w:tcW w:w="396" w:type="dxa"/>
                  <w:vMerge w:val="continue"/>
                  <w:tcBorders>
                    <w:tl2br w:val="nil"/>
                    <w:tr2bl w:val="nil"/>
                  </w:tcBorders>
                  <w:noWrap w:val="0"/>
                  <w:vAlign w:val="center"/>
                </w:tcPr>
                <w:p w14:paraId="31D72B43">
                  <w:pPr>
                    <w:keepNext w:val="0"/>
                    <w:keepLines w:val="0"/>
                    <w:widowControl/>
                    <w:suppressLineNumbers w:val="0"/>
                    <w:jc w:val="center"/>
                    <w:textAlignment w:val="center"/>
                  </w:pPr>
                </w:p>
              </w:tc>
              <w:tc>
                <w:tcPr>
                  <w:tcW w:w="1040" w:type="dxa"/>
                  <w:vMerge w:val="continue"/>
                  <w:tcBorders>
                    <w:tl2br w:val="nil"/>
                    <w:tr2bl w:val="nil"/>
                  </w:tcBorders>
                  <w:noWrap w:val="0"/>
                  <w:vAlign w:val="center"/>
                </w:tcPr>
                <w:p w14:paraId="38CC639A">
                  <w:pPr>
                    <w:keepNext w:val="0"/>
                    <w:keepLines w:val="0"/>
                    <w:widowControl/>
                    <w:suppressLineNumbers w:val="0"/>
                    <w:jc w:val="center"/>
                    <w:textAlignment w:val="center"/>
                  </w:pPr>
                </w:p>
              </w:tc>
              <w:tc>
                <w:tcPr>
                  <w:tcW w:w="766" w:type="dxa"/>
                  <w:vMerge w:val="continue"/>
                  <w:tcBorders>
                    <w:tl2br w:val="nil"/>
                    <w:tr2bl w:val="nil"/>
                  </w:tcBorders>
                  <w:noWrap w:val="0"/>
                  <w:vAlign w:val="center"/>
                </w:tcPr>
                <w:p w14:paraId="18124294">
                  <w:pPr>
                    <w:keepNext w:val="0"/>
                    <w:keepLines w:val="0"/>
                    <w:widowControl/>
                    <w:suppressLineNumbers w:val="0"/>
                    <w:jc w:val="center"/>
                    <w:textAlignment w:val="center"/>
                  </w:pPr>
                </w:p>
              </w:tc>
              <w:tc>
                <w:tcPr>
                  <w:tcW w:w="762" w:type="dxa"/>
                  <w:vMerge w:val="continue"/>
                  <w:tcBorders>
                    <w:tl2br w:val="nil"/>
                    <w:tr2bl w:val="nil"/>
                  </w:tcBorders>
                  <w:noWrap w:val="0"/>
                  <w:vAlign w:val="center"/>
                </w:tcPr>
                <w:p w14:paraId="06E40697">
                  <w:pPr>
                    <w:keepNext w:val="0"/>
                    <w:keepLines w:val="0"/>
                    <w:widowControl/>
                    <w:suppressLineNumbers w:val="0"/>
                    <w:jc w:val="center"/>
                    <w:textAlignment w:val="center"/>
                  </w:pPr>
                </w:p>
              </w:tc>
              <w:tc>
                <w:tcPr>
                  <w:tcW w:w="608" w:type="dxa"/>
                  <w:vMerge w:val="continue"/>
                  <w:tcBorders>
                    <w:tl2br w:val="nil"/>
                    <w:tr2bl w:val="nil"/>
                  </w:tcBorders>
                  <w:noWrap w:val="0"/>
                  <w:vAlign w:val="center"/>
                </w:tcPr>
                <w:p w14:paraId="4E604894">
                  <w:pPr>
                    <w:keepNext w:val="0"/>
                    <w:keepLines w:val="0"/>
                    <w:widowControl/>
                    <w:suppressLineNumbers w:val="0"/>
                    <w:jc w:val="center"/>
                    <w:textAlignment w:val="center"/>
                  </w:pPr>
                </w:p>
              </w:tc>
              <w:tc>
                <w:tcPr>
                  <w:tcW w:w="782" w:type="dxa"/>
                  <w:vMerge w:val="continue"/>
                  <w:tcBorders>
                    <w:tl2br w:val="nil"/>
                    <w:tr2bl w:val="nil"/>
                  </w:tcBorders>
                  <w:noWrap w:val="0"/>
                  <w:vAlign w:val="center"/>
                </w:tcPr>
                <w:p w14:paraId="31F70650">
                  <w:pPr>
                    <w:keepNext w:val="0"/>
                    <w:keepLines w:val="0"/>
                    <w:widowControl/>
                    <w:suppressLineNumbers w:val="0"/>
                    <w:jc w:val="center"/>
                    <w:textAlignment w:val="center"/>
                  </w:pPr>
                </w:p>
              </w:tc>
              <w:tc>
                <w:tcPr>
                  <w:tcW w:w="1095" w:type="dxa"/>
                  <w:vMerge w:val="continue"/>
                  <w:tcBorders>
                    <w:tl2br w:val="nil"/>
                    <w:tr2bl w:val="nil"/>
                  </w:tcBorders>
                  <w:noWrap w:val="0"/>
                  <w:vAlign w:val="center"/>
                </w:tcPr>
                <w:p w14:paraId="36AF7685">
                  <w:pPr>
                    <w:keepNext w:val="0"/>
                    <w:keepLines w:val="0"/>
                    <w:widowControl/>
                    <w:suppressLineNumbers w:val="0"/>
                    <w:jc w:val="center"/>
                    <w:textAlignment w:val="center"/>
                  </w:pPr>
                </w:p>
              </w:tc>
              <w:tc>
                <w:tcPr>
                  <w:tcW w:w="1282" w:type="dxa"/>
                  <w:tcBorders>
                    <w:tl2br w:val="nil"/>
                    <w:tr2bl w:val="nil"/>
                  </w:tcBorders>
                  <w:noWrap w:val="0"/>
                  <w:vAlign w:val="center"/>
                </w:tcPr>
                <w:p w14:paraId="005C84A4">
                  <w:pPr>
                    <w:keepNext w:val="0"/>
                    <w:keepLines w:val="0"/>
                    <w:widowControl/>
                    <w:suppressLineNumbers w:val="0"/>
                    <w:jc w:val="center"/>
                    <w:textAlignment w:val="center"/>
                    <w:rPr>
                      <w:rFonts w:hint="eastAsia"/>
                      <w:lang w:val="en-US" w:eastAsia="zh-CN"/>
                    </w:rPr>
                  </w:pPr>
                  <w:r>
                    <w:rPr>
                      <w:rFonts w:hint="eastAsia"/>
                      <w:lang w:val="en-US" w:eastAsia="zh-CN"/>
                    </w:rPr>
                    <w:t>0.0024</w:t>
                  </w:r>
                </w:p>
                <w:p w14:paraId="1DD6D415">
                  <w:pPr>
                    <w:keepNext w:val="0"/>
                    <w:keepLines w:val="0"/>
                    <w:widowControl/>
                    <w:suppressLineNumbers w:val="0"/>
                    <w:jc w:val="center"/>
                    <w:textAlignment w:val="center"/>
                    <w:rPr>
                      <w:rFonts w:hint="default"/>
                      <w:lang w:val="en-US" w:eastAsia="zh-CN"/>
                    </w:rPr>
                  </w:pPr>
                  <w:r>
                    <w:rPr>
                      <w:rFonts w:hint="eastAsia" w:cs="Times New Roman"/>
                      <w:u w:val="none" w:color="auto"/>
                      <w:lang w:val="en-US" w:eastAsia="zh-CN"/>
                    </w:rPr>
                    <w:t>（单独收集做危废处理）</w:t>
                  </w:r>
                </w:p>
              </w:tc>
              <w:tc>
                <w:tcPr>
                  <w:tcW w:w="1420" w:type="dxa"/>
                  <w:tcBorders>
                    <w:tl2br w:val="nil"/>
                    <w:tr2bl w:val="nil"/>
                  </w:tcBorders>
                  <w:noWrap w:val="0"/>
                  <w:vAlign w:val="center"/>
                </w:tcPr>
                <w:p w14:paraId="0BA5F6C7">
                  <w:pPr>
                    <w:keepNext w:val="0"/>
                    <w:keepLines w:val="0"/>
                    <w:widowControl/>
                    <w:suppressLineNumbers w:val="0"/>
                    <w:jc w:val="center"/>
                    <w:textAlignment w:val="center"/>
                    <w:rPr>
                      <w:rFonts w:hint="eastAsia" w:cs="Times New Roman"/>
                      <w:u w:val="none" w:color="auto"/>
                      <w:lang w:val="en-US" w:eastAsia="zh-CN"/>
                    </w:rPr>
                  </w:pPr>
                  <w:r>
                    <w:rPr>
                      <w:rFonts w:hint="eastAsia" w:cs="Times New Roman"/>
                      <w:u w:val="none" w:color="auto"/>
                      <w:lang w:val="en-US" w:eastAsia="zh-CN"/>
                    </w:rPr>
                    <w:t>0.876</w:t>
                  </w:r>
                </w:p>
                <w:p w14:paraId="7ED73A18">
                  <w:pPr>
                    <w:keepNext w:val="0"/>
                    <w:keepLines w:val="0"/>
                    <w:widowControl/>
                    <w:suppressLineNumbers w:val="0"/>
                    <w:jc w:val="center"/>
                    <w:textAlignment w:val="center"/>
                    <w:rPr>
                      <w:rFonts w:hint="default" w:eastAsia="宋体" w:cs="Times New Roman"/>
                      <w:u w:val="none" w:color="auto"/>
                      <w:lang w:val="en-US" w:eastAsia="zh-CN"/>
                    </w:rPr>
                  </w:pPr>
                  <w:r>
                    <w:rPr>
                      <w:rFonts w:hint="eastAsia" w:cs="Times New Roman"/>
                      <w:u w:val="none" w:color="auto"/>
                      <w:lang w:val="en-US" w:eastAsia="zh-CN"/>
                    </w:rPr>
                    <w:t>（单独收集做危废处理）</w:t>
                  </w:r>
                </w:p>
              </w:tc>
            </w:tr>
            <w:tr w14:paraId="29D2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6" w:type="dxa"/>
                  <w:tcBorders>
                    <w:tl2br w:val="nil"/>
                    <w:tr2bl w:val="nil"/>
                  </w:tcBorders>
                  <w:noWrap w:val="0"/>
                  <w:vAlign w:val="center"/>
                </w:tcPr>
                <w:p w14:paraId="53F6441A">
                  <w:pPr>
                    <w:pStyle w:val="24"/>
                    <w:bidi w:val="0"/>
                    <w:ind w:firstLine="0" w:firstLineChars="0"/>
                    <w:rPr>
                      <w:rFonts w:hint="default" w:ascii="Times New Roman" w:hAnsi="Times New Roman" w:eastAsia="宋体" w:cs="Times New Roman"/>
                      <w:kern w:val="0"/>
                      <w:sz w:val="21"/>
                      <w:szCs w:val="20"/>
                      <w:u w:val="none" w:color="auto"/>
                      <w:lang w:val="en-US" w:eastAsia="zh-CN" w:bidi="ar-SA"/>
                    </w:rPr>
                  </w:pPr>
                  <w:r>
                    <w:rPr>
                      <w:rFonts w:hint="default" w:ascii="Times New Roman" w:hAnsi="Times New Roman" w:eastAsia="宋体" w:cs="Times New Roman"/>
                      <w:u w:val="none" w:color="auto"/>
                      <w:lang w:val="en-US" w:eastAsia="zh-CN"/>
                    </w:rPr>
                    <w:t>5</w:t>
                  </w:r>
                </w:p>
              </w:tc>
              <w:tc>
                <w:tcPr>
                  <w:tcW w:w="1040" w:type="dxa"/>
                  <w:tcBorders>
                    <w:tl2br w:val="nil"/>
                    <w:tr2bl w:val="nil"/>
                  </w:tcBorders>
                  <w:noWrap w:val="0"/>
                  <w:vAlign w:val="center"/>
                </w:tcPr>
                <w:p w14:paraId="48E1FACC">
                  <w:pPr>
                    <w:pStyle w:val="24"/>
                    <w:bidi w:val="0"/>
                    <w:ind w:firstLine="0" w:firstLineChars="0"/>
                    <w:rPr>
                      <w:rFonts w:hint="default" w:ascii="Times New Roman" w:hAnsi="Times New Roman" w:eastAsia="宋体" w:cs="Times New Roman"/>
                      <w:kern w:val="0"/>
                      <w:sz w:val="21"/>
                      <w:szCs w:val="20"/>
                      <w:u w:val="none" w:color="auto"/>
                      <w:lang w:val="en-US" w:eastAsia="zh-CN" w:bidi="ar-SA"/>
                    </w:rPr>
                  </w:pPr>
                  <w:r>
                    <w:rPr>
                      <w:rFonts w:hint="eastAsia" w:cs="Times New Roman"/>
                      <w:u w:val="none" w:color="auto"/>
                      <w:lang w:val="en-US" w:eastAsia="zh-CN"/>
                    </w:rPr>
                    <w:t>保洁用水</w:t>
                  </w:r>
                </w:p>
              </w:tc>
              <w:tc>
                <w:tcPr>
                  <w:tcW w:w="766" w:type="dxa"/>
                  <w:tcBorders>
                    <w:tl2br w:val="nil"/>
                    <w:tr2bl w:val="nil"/>
                  </w:tcBorders>
                  <w:noWrap w:val="0"/>
                  <w:vAlign w:val="center"/>
                </w:tcPr>
                <w:p w14:paraId="0EC39DF4">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21</w:t>
                  </w:r>
                  <w:r>
                    <w:rPr>
                      <w:rFonts w:hint="default" w:ascii="Times New Roman" w:hAnsi="Times New Roman" w:eastAsia="宋体" w:cs="Times New Roman"/>
                      <w:i w:val="0"/>
                      <w:iCs w:val="0"/>
                      <w:color w:val="000000"/>
                      <w:kern w:val="0"/>
                      <w:sz w:val="21"/>
                      <w:szCs w:val="21"/>
                      <w:u w:val="none" w:color="auto"/>
                      <w:lang w:val="en-US" w:eastAsia="zh-CN" w:bidi="ar"/>
                    </w:rPr>
                    <w:t>77m</w:t>
                  </w:r>
                  <w:r>
                    <w:rPr>
                      <w:rFonts w:hint="default" w:ascii="Times New Roman" w:hAnsi="Times New Roman" w:eastAsia="宋体" w:cs="Times New Roman"/>
                      <w:i w:val="0"/>
                      <w:iCs w:val="0"/>
                      <w:color w:val="000000"/>
                      <w:kern w:val="0"/>
                      <w:sz w:val="21"/>
                      <w:szCs w:val="21"/>
                      <w:u w:val="none" w:color="auto"/>
                      <w:vertAlign w:val="superscript"/>
                      <w:lang w:val="en-US" w:eastAsia="zh-CN" w:bidi="ar"/>
                    </w:rPr>
                    <w:t>2</w:t>
                  </w:r>
                </w:p>
              </w:tc>
              <w:tc>
                <w:tcPr>
                  <w:tcW w:w="762" w:type="dxa"/>
                  <w:tcBorders>
                    <w:tl2br w:val="nil"/>
                    <w:tr2bl w:val="nil"/>
                  </w:tcBorders>
                  <w:noWrap w:val="0"/>
                  <w:vAlign w:val="center"/>
                </w:tcPr>
                <w:p w14:paraId="670B712B">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L/m</w:t>
                  </w:r>
                  <w:r>
                    <w:rPr>
                      <w:rFonts w:hint="default" w:ascii="Times New Roman" w:hAnsi="Times New Roman" w:eastAsia="宋体" w:cs="Times New Roman"/>
                      <w:i w:val="0"/>
                      <w:iCs w:val="0"/>
                      <w:color w:val="000000"/>
                      <w:kern w:val="0"/>
                      <w:sz w:val="21"/>
                      <w:szCs w:val="21"/>
                      <w:u w:val="none" w:color="auto"/>
                      <w:vertAlign w:val="superscript"/>
                      <w:lang w:val="en-US" w:eastAsia="zh-CN" w:bidi="ar"/>
                    </w:rPr>
                    <w:t>2</w:t>
                  </w:r>
                  <w:r>
                    <w:rPr>
                      <w:rFonts w:hint="default" w:ascii="Times New Roman" w:hAnsi="Times New Roman" w:eastAsia="宋体" w:cs="Times New Roman"/>
                      <w:i w:val="0"/>
                      <w:iCs w:val="0"/>
                      <w:color w:val="000000"/>
                      <w:kern w:val="0"/>
                      <w:sz w:val="21"/>
                      <w:szCs w:val="21"/>
                      <w:u w:val="none" w:color="auto"/>
                      <w:lang w:val="en-US" w:eastAsia="zh-CN" w:bidi="ar"/>
                    </w:rPr>
                    <w:t>•</w:t>
                  </w:r>
                  <w:r>
                    <w:rPr>
                      <w:rFonts w:hint="eastAsia" w:eastAsia="宋体" w:cs="Times New Roman"/>
                      <w:i w:val="0"/>
                      <w:iCs w:val="0"/>
                      <w:color w:val="000000"/>
                      <w:kern w:val="0"/>
                      <w:sz w:val="21"/>
                      <w:szCs w:val="21"/>
                      <w:u w:val="none" w:color="auto"/>
                      <w:lang w:val="en-US" w:eastAsia="zh-CN" w:bidi="ar"/>
                    </w:rPr>
                    <w:t>周</w:t>
                  </w:r>
                </w:p>
              </w:tc>
              <w:tc>
                <w:tcPr>
                  <w:tcW w:w="608" w:type="dxa"/>
                  <w:tcBorders>
                    <w:tl2br w:val="nil"/>
                    <w:tr2bl w:val="nil"/>
                  </w:tcBorders>
                  <w:noWrap w:val="0"/>
                  <w:vAlign w:val="center"/>
                </w:tcPr>
                <w:p w14:paraId="1925FCAB">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2</w:t>
                  </w:r>
                </w:p>
              </w:tc>
              <w:tc>
                <w:tcPr>
                  <w:tcW w:w="782" w:type="dxa"/>
                  <w:tcBorders>
                    <w:tl2br w:val="nil"/>
                    <w:tr2bl w:val="nil"/>
                  </w:tcBorders>
                  <w:noWrap w:val="0"/>
                  <w:vAlign w:val="center"/>
                </w:tcPr>
                <w:p w14:paraId="23CD2F21">
                  <w:pPr>
                    <w:keepNext w:val="0"/>
                    <w:keepLines w:val="0"/>
                    <w:widowControl/>
                    <w:suppressLineNumbers w:val="0"/>
                    <w:jc w:val="center"/>
                    <w:textAlignment w:val="center"/>
                    <w:rPr>
                      <w:rFonts w:hint="default" w:eastAsia="宋体" w:cs="Times New Roman"/>
                      <w:u w:val="none" w:color="auto"/>
                      <w:lang w:val="en-US" w:eastAsia="zh-CN"/>
                    </w:rPr>
                  </w:pPr>
                  <w:r>
                    <w:rPr>
                      <w:rFonts w:hint="eastAsia" w:cs="Times New Roman"/>
                      <w:u w:val="none" w:color="auto"/>
                      <w:lang w:val="en-US" w:eastAsia="zh-CN"/>
                    </w:rPr>
                    <w:t>0.648</w:t>
                  </w:r>
                </w:p>
              </w:tc>
              <w:tc>
                <w:tcPr>
                  <w:tcW w:w="1095" w:type="dxa"/>
                  <w:tcBorders>
                    <w:tl2br w:val="nil"/>
                    <w:tr2bl w:val="nil"/>
                  </w:tcBorders>
                  <w:noWrap w:val="0"/>
                  <w:vAlign w:val="center"/>
                </w:tcPr>
                <w:p w14:paraId="1FFDD412">
                  <w:pPr>
                    <w:keepNext w:val="0"/>
                    <w:keepLines w:val="0"/>
                    <w:widowControl/>
                    <w:suppressLineNumbers w:val="0"/>
                    <w:jc w:val="center"/>
                    <w:textAlignment w:val="center"/>
                    <w:rPr>
                      <w:rFonts w:hint="default" w:eastAsia="宋体" w:cs="Times New Roman"/>
                      <w:u w:val="none" w:color="auto"/>
                      <w:lang w:val="en-US" w:eastAsia="zh-CN"/>
                    </w:rPr>
                  </w:pPr>
                  <w:r>
                    <w:rPr>
                      <w:rFonts w:hint="eastAsia" w:cs="Times New Roman"/>
                      <w:u w:val="none" w:color="auto"/>
                      <w:lang w:val="en-US" w:eastAsia="zh-CN"/>
                    </w:rPr>
                    <w:t>236.507</w:t>
                  </w:r>
                </w:p>
              </w:tc>
              <w:tc>
                <w:tcPr>
                  <w:tcW w:w="1282" w:type="dxa"/>
                  <w:tcBorders>
                    <w:tl2br w:val="nil"/>
                    <w:tr2bl w:val="nil"/>
                  </w:tcBorders>
                  <w:noWrap w:val="0"/>
                  <w:vAlign w:val="center"/>
                </w:tcPr>
                <w:p w14:paraId="687BD921">
                  <w:pPr>
                    <w:keepNext w:val="0"/>
                    <w:keepLines w:val="0"/>
                    <w:widowControl/>
                    <w:suppressLineNumbers w:val="0"/>
                    <w:jc w:val="center"/>
                    <w:textAlignment w:val="center"/>
                    <w:rPr>
                      <w:rFonts w:hint="default" w:eastAsia="宋体" w:cs="Times New Roman"/>
                      <w:u w:val="none" w:color="auto"/>
                      <w:lang w:val="en-US" w:eastAsia="zh-CN"/>
                    </w:rPr>
                  </w:pPr>
                  <w:r>
                    <w:rPr>
                      <w:rFonts w:hint="eastAsia" w:cs="Times New Roman"/>
                      <w:u w:val="none" w:color="auto"/>
                      <w:lang w:val="en-US" w:eastAsia="zh-CN"/>
                    </w:rPr>
                    <w:t>0.518</w:t>
                  </w:r>
                </w:p>
              </w:tc>
              <w:tc>
                <w:tcPr>
                  <w:tcW w:w="1420" w:type="dxa"/>
                  <w:tcBorders>
                    <w:tl2br w:val="nil"/>
                    <w:tr2bl w:val="nil"/>
                  </w:tcBorders>
                  <w:noWrap w:val="0"/>
                  <w:vAlign w:val="center"/>
                </w:tcPr>
                <w:p w14:paraId="786150AE">
                  <w:pPr>
                    <w:keepNext w:val="0"/>
                    <w:keepLines w:val="0"/>
                    <w:widowControl/>
                    <w:suppressLineNumbers w:val="0"/>
                    <w:jc w:val="center"/>
                    <w:textAlignment w:val="center"/>
                    <w:rPr>
                      <w:rFonts w:hint="default" w:eastAsia="宋体" w:cs="Times New Roman"/>
                      <w:u w:val="none" w:color="auto"/>
                      <w:lang w:val="en-US" w:eastAsia="zh-CN"/>
                    </w:rPr>
                  </w:pPr>
                  <w:r>
                    <w:rPr>
                      <w:rFonts w:hint="eastAsia" w:cs="Times New Roman"/>
                      <w:u w:val="none" w:color="auto"/>
                      <w:lang w:val="en-US" w:eastAsia="zh-CN"/>
                    </w:rPr>
                    <w:t>189.21</w:t>
                  </w:r>
                </w:p>
              </w:tc>
            </w:tr>
            <w:tr w14:paraId="4AD9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6" w:type="dxa"/>
                  <w:tcBorders>
                    <w:tl2br w:val="nil"/>
                    <w:tr2bl w:val="nil"/>
                  </w:tcBorders>
                  <w:noWrap w:val="0"/>
                  <w:vAlign w:val="center"/>
                </w:tcPr>
                <w:p w14:paraId="2601E46B">
                  <w:pPr>
                    <w:pStyle w:val="24"/>
                    <w:bidi w:val="0"/>
                    <w:ind w:firstLine="0" w:firstLineChars="0"/>
                    <w:rPr>
                      <w:rFonts w:hint="default" w:ascii="Times New Roman" w:hAnsi="Times New Roman" w:eastAsia="宋体" w:cs="Times New Roman"/>
                      <w:kern w:val="0"/>
                      <w:sz w:val="21"/>
                      <w:szCs w:val="20"/>
                      <w:u w:val="none" w:color="auto"/>
                      <w:lang w:val="en-US" w:eastAsia="zh-CN" w:bidi="ar-SA"/>
                    </w:rPr>
                  </w:pPr>
                  <w:r>
                    <w:rPr>
                      <w:rFonts w:hint="default" w:ascii="Times New Roman" w:hAnsi="Times New Roman" w:eastAsia="宋体" w:cs="Times New Roman"/>
                      <w:u w:val="none" w:color="auto"/>
                      <w:lang w:val="en-US" w:eastAsia="zh-CN"/>
                    </w:rPr>
                    <w:t>6</w:t>
                  </w:r>
                </w:p>
              </w:tc>
              <w:tc>
                <w:tcPr>
                  <w:tcW w:w="1040" w:type="dxa"/>
                  <w:tcBorders>
                    <w:tl2br w:val="nil"/>
                    <w:tr2bl w:val="nil"/>
                  </w:tcBorders>
                  <w:noWrap w:val="0"/>
                  <w:vAlign w:val="center"/>
                </w:tcPr>
                <w:p w14:paraId="08598EDB">
                  <w:pPr>
                    <w:pStyle w:val="24"/>
                    <w:bidi w:val="0"/>
                    <w:ind w:firstLine="0" w:firstLineChars="0"/>
                    <w:rPr>
                      <w:rFonts w:hint="default" w:ascii="Times New Roman" w:hAnsi="Times New Roman" w:eastAsia="宋体" w:cs="Times New Roman"/>
                      <w:kern w:val="0"/>
                      <w:sz w:val="21"/>
                      <w:szCs w:val="20"/>
                      <w:u w:val="none" w:color="auto"/>
                      <w:lang w:val="en-US" w:eastAsia="zh-CN" w:bidi="ar-SA"/>
                    </w:rPr>
                  </w:pPr>
                  <w:r>
                    <w:rPr>
                      <w:rFonts w:hint="default" w:ascii="Times New Roman" w:hAnsi="Times New Roman" w:eastAsia="宋体" w:cs="Times New Roman"/>
                      <w:u w:val="none" w:color="auto"/>
                      <w:lang w:val="en-US" w:eastAsia="zh-CN"/>
                    </w:rPr>
                    <w:t>食堂</w:t>
                  </w:r>
                  <w:r>
                    <w:rPr>
                      <w:rFonts w:hint="eastAsia" w:cs="Times New Roman"/>
                      <w:u w:val="none" w:color="auto"/>
                      <w:lang w:val="en-US" w:eastAsia="zh-CN"/>
                    </w:rPr>
                    <w:t>用水</w:t>
                  </w:r>
                </w:p>
              </w:tc>
              <w:tc>
                <w:tcPr>
                  <w:tcW w:w="766" w:type="dxa"/>
                  <w:tcBorders>
                    <w:tl2br w:val="nil"/>
                    <w:tr2bl w:val="nil"/>
                  </w:tcBorders>
                  <w:noWrap w:val="0"/>
                  <w:vAlign w:val="center"/>
                </w:tcPr>
                <w:p w14:paraId="0392D9B4">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ascii="Times New Roman" w:hAnsi="Times New Roman" w:eastAsia="宋体" w:cs="Times New Roman"/>
                      <w:kern w:val="2"/>
                      <w:sz w:val="21"/>
                      <w:szCs w:val="24"/>
                      <w:u w:val="none" w:color="auto"/>
                      <w:lang w:val="en-US" w:eastAsia="zh-CN" w:bidi="ar-SA"/>
                    </w:rPr>
                    <w:t>5</w:t>
                  </w:r>
                  <w:r>
                    <w:rPr>
                      <w:rFonts w:hint="eastAsia" w:cs="Times New Roman"/>
                      <w:kern w:val="2"/>
                      <w:sz w:val="21"/>
                      <w:szCs w:val="24"/>
                      <w:u w:val="none" w:color="auto"/>
                      <w:lang w:val="en-US" w:eastAsia="zh-CN" w:bidi="ar-SA"/>
                    </w:rPr>
                    <w:t>5人</w:t>
                  </w:r>
                </w:p>
              </w:tc>
              <w:tc>
                <w:tcPr>
                  <w:tcW w:w="762" w:type="dxa"/>
                  <w:tcBorders>
                    <w:tl2br w:val="nil"/>
                    <w:tr2bl w:val="nil"/>
                  </w:tcBorders>
                  <w:noWrap w:val="0"/>
                  <w:vAlign w:val="center"/>
                </w:tcPr>
                <w:p w14:paraId="6DCF792E">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L/人•次</w:t>
                  </w:r>
                </w:p>
              </w:tc>
              <w:tc>
                <w:tcPr>
                  <w:tcW w:w="608" w:type="dxa"/>
                  <w:tcBorders>
                    <w:tl2br w:val="nil"/>
                    <w:tr2bl w:val="nil"/>
                  </w:tcBorders>
                  <w:noWrap w:val="0"/>
                  <w:vAlign w:val="center"/>
                </w:tcPr>
                <w:p w14:paraId="30E3AF93">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ascii="Times New Roman" w:hAnsi="Times New Roman" w:eastAsia="宋体" w:cs="Times New Roman"/>
                      <w:kern w:val="2"/>
                      <w:sz w:val="21"/>
                      <w:szCs w:val="24"/>
                      <w:u w:val="none" w:color="auto"/>
                      <w:lang w:val="en-US" w:eastAsia="zh-CN" w:bidi="ar-SA"/>
                    </w:rPr>
                    <w:t>20</w:t>
                  </w:r>
                </w:p>
              </w:tc>
              <w:tc>
                <w:tcPr>
                  <w:tcW w:w="782" w:type="dxa"/>
                  <w:tcBorders>
                    <w:tl2br w:val="nil"/>
                    <w:tr2bl w:val="nil"/>
                  </w:tcBorders>
                  <w:noWrap w:val="0"/>
                  <w:vAlign w:val="center"/>
                </w:tcPr>
                <w:p w14:paraId="4C3BE7C2">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1.1</w:t>
                  </w:r>
                </w:p>
              </w:tc>
              <w:tc>
                <w:tcPr>
                  <w:tcW w:w="1095" w:type="dxa"/>
                  <w:tcBorders>
                    <w:tl2br w:val="nil"/>
                    <w:tr2bl w:val="nil"/>
                  </w:tcBorders>
                  <w:noWrap w:val="0"/>
                  <w:vAlign w:val="center"/>
                </w:tcPr>
                <w:p w14:paraId="7634B0B4">
                  <w:pPr>
                    <w:keepNext w:val="0"/>
                    <w:keepLines w:val="0"/>
                    <w:widowControl/>
                    <w:suppressLineNumbers w:val="0"/>
                    <w:jc w:val="center"/>
                    <w:textAlignment w:val="center"/>
                    <w:rPr>
                      <w:rFonts w:hint="default" w:eastAsia="宋体" w:cs="Times New Roman"/>
                      <w:u w:val="none" w:color="auto"/>
                      <w:lang w:val="en-US" w:eastAsia="zh-CN"/>
                    </w:rPr>
                  </w:pPr>
                  <w:r>
                    <w:rPr>
                      <w:rFonts w:hint="eastAsia" w:eastAsia="宋体" w:cs="Times New Roman"/>
                      <w:u w:val="none" w:color="auto"/>
                      <w:lang w:val="en-US" w:eastAsia="zh-CN"/>
                    </w:rPr>
                    <w:t>401.5</w:t>
                  </w:r>
                </w:p>
              </w:tc>
              <w:tc>
                <w:tcPr>
                  <w:tcW w:w="1282" w:type="dxa"/>
                  <w:tcBorders>
                    <w:tl2br w:val="nil"/>
                    <w:tr2bl w:val="nil"/>
                  </w:tcBorders>
                  <w:noWrap w:val="0"/>
                  <w:vAlign w:val="center"/>
                </w:tcPr>
                <w:p w14:paraId="412AF58E">
                  <w:pPr>
                    <w:keepNext w:val="0"/>
                    <w:keepLines w:val="0"/>
                    <w:widowControl/>
                    <w:suppressLineNumbers w:val="0"/>
                    <w:jc w:val="center"/>
                    <w:textAlignment w:val="center"/>
                    <w:rPr>
                      <w:rFonts w:hint="default" w:eastAsia="宋体" w:cs="Times New Roman"/>
                      <w:u w:val="none" w:color="auto"/>
                      <w:lang w:val="en-US" w:eastAsia="zh-CN"/>
                    </w:rPr>
                  </w:pPr>
                  <w:r>
                    <w:rPr>
                      <w:rFonts w:hint="eastAsia" w:eastAsia="宋体" w:cs="Times New Roman"/>
                      <w:u w:val="none" w:color="auto"/>
                      <w:lang w:val="en-US" w:eastAsia="zh-CN"/>
                    </w:rPr>
                    <w:t>0.88</w:t>
                  </w:r>
                </w:p>
              </w:tc>
              <w:tc>
                <w:tcPr>
                  <w:tcW w:w="1420" w:type="dxa"/>
                  <w:tcBorders>
                    <w:tl2br w:val="nil"/>
                    <w:tr2bl w:val="nil"/>
                  </w:tcBorders>
                  <w:noWrap w:val="0"/>
                  <w:vAlign w:val="center"/>
                </w:tcPr>
                <w:p w14:paraId="5A7A1BC6">
                  <w:pPr>
                    <w:keepNext w:val="0"/>
                    <w:keepLines w:val="0"/>
                    <w:widowControl/>
                    <w:suppressLineNumbers w:val="0"/>
                    <w:jc w:val="center"/>
                    <w:textAlignment w:val="center"/>
                    <w:rPr>
                      <w:rFonts w:hint="default" w:eastAsia="宋体" w:cs="Times New Roman"/>
                      <w:u w:val="none" w:color="auto"/>
                      <w:lang w:val="en-US" w:eastAsia="zh-CN"/>
                    </w:rPr>
                  </w:pPr>
                  <w:r>
                    <w:rPr>
                      <w:rFonts w:hint="eastAsia" w:eastAsia="宋体" w:cs="Times New Roman"/>
                      <w:u w:val="none" w:color="auto"/>
                      <w:lang w:val="en-US" w:eastAsia="zh-CN"/>
                    </w:rPr>
                    <w:t>321.2</w:t>
                  </w:r>
                </w:p>
              </w:tc>
            </w:tr>
            <w:tr w14:paraId="7DAB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396" w:type="dxa"/>
                  <w:tcBorders>
                    <w:tl2br w:val="nil"/>
                    <w:tr2bl w:val="nil"/>
                  </w:tcBorders>
                  <w:noWrap w:val="0"/>
                  <w:vAlign w:val="center"/>
                </w:tcPr>
                <w:p w14:paraId="39595CF9">
                  <w:pPr>
                    <w:pStyle w:val="24"/>
                    <w:bidi w:val="0"/>
                    <w:ind w:firstLine="0" w:firstLineChars="0"/>
                    <w:rPr>
                      <w:rFonts w:hint="default" w:ascii="Times New Roman" w:hAnsi="Times New Roman" w:eastAsia="宋体" w:cs="Times New Roman"/>
                      <w:kern w:val="0"/>
                      <w:sz w:val="21"/>
                      <w:szCs w:val="20"/>
                      <w:u w:val="none" w:color="auto"/>
                      <w:lang w:val="en-US" w:eastAsia="zh-CN" w:bidi="ar-SA"/>
                    </w:rPr>
                  </w:pPr>
                  <w:r>
                    <w:rPr>
                      <w:rFonts w:hint="default" w:ascii="Times New Roman" w:hAnsi="Times New Roman" w:eastAsia="宋体" w:cs="Times New Roman"/>
                      <w:u w:val="none" w:color="auto"/>
                      <w:lang w:val="en-US" w:eastAsia="zh-CN"/>
                    </w:rPr>
                    <w:t>7</w:t>
                  </w:r>
                </w:p>
              </w:tc>
              <w:tc>
                <w:tcPr>
                  <w:tcW w:w="1040" w:type="dxa"/>
                  <w:tcBorders>
                    <w:tl2br w:val="nil"/>
                    <w:tr2bl w:val="nil"/>
                  </w:tcBorders>
                  <w:noWrap w:val="0"/>
                  <w:vAlign w:val="center"/>
                </w:tcPr>
                <w:p w14:paraId="234B0044">
                  <w:pPr>
                    <w:pStyle w:val="24"/>
                    <w:bidi w:val="0"/>
                    <w:ind w:firstLine="0" w:firstLineChars="0"/>
                    <w:rPr>
                      <w:rFonts w:hint="default" w:ascii="Times New Roman" w:hAnsi="Times New Roman" w:eastAsia="宋体" w:cs="Times New Roman"/>
                      <w:kern w:val="0"/>
                      <w:sz w:val="21"/>
                      <w:szCs w:val="20"/>
                      <w:u w:val="none" w:color="auto"/>
                      <w:lang w:val="en-US" w:eastAsia="zh-CN" w:bidi="ar-SA"/>
                    </w:rPr>
                  </w:pPr>
                  <w:r>
                    <w:rPr>
                      <w:rFonts w:hint="eastAsia" w:ascii="Times New Roman" w:hAnsi="Times New Roman" w:eastAsia="宋体" w:cs="Times New Roman"/>
                      <w:u w:val="none" w:color="auto"/>
                      <w:lang w:val="en-US" w:eastAsia="zh-CN"/>
                    </w:rPr>
                    <w:t>床单被套及住院洗涤用水</w:t>
                  </w:r>
                </w:p>
              </w:tc>
              <w:tc>
                <w:tcPr>
                  <w:tcW w:w="766" w:type="dxa"/>
                  <w:tcBorders>
                    <w:tl2br w:val="nil"/>
                    <w:tr2bl w:val="nil"/>
                  </w:tcBorders>
                  <w:noWrap w:val="0"/>
                  <w:vAlign w:val="center"/>
                </w:tcPr>
                <w:p w14:paraId="57EE691F">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kern w:val="2"/>
                      <w:sz w:val="21"/>
                      <w:szCs w:val="24"/>
                      <w:u w:val="none" w:color="auto"/>
                      <w:lang w:val="en-US" w:eastAsia="zh-CN" w:bidi="ar-SA"/>
                    </w:rPr>
                    <w:t>30kg</w:t>
                  </w:r>
                </w:p>
              </w:tc>
              <w:tc>
                <w:tcPr>
                  <w:tcW w:w="762" w:type="dxa"/>
                  <w:tcBorders>
                    <w:tl2br w:val="nil"/>
                    <w:tr2bl w:val="nil"/>
                  </w:tcBorders>
                  <w:noWrap w:val="0"/>
                  <w:vAlign w:val="center"/>
                </w:tcPr>
                <w:p w14:paraId="56FBDC4D">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default" w:ascii="Times New Roman" w:hAnsi="Times New Roman" w:eastAsia="宋体" w:cs="Times New Roman"/>
                      <w:i w:val="0"/>
                      <w:iCs w:val="0"/>
                      <w:color w:val="000000"/>
                      <w:kern w:val="0"/>
                      <w:sz w:val="21"/>
                      <w:szCs w:val="21"/>
                      <w:u w:val="none" w:color="auto"/>
                      <w:lang w:val="en-US" w:eastAsia="zh-CN" w:bidi="ar"/>
                    </w:rPr>
                    <w:t>L/</w:t>
                  </w:r>
                  <w:r>
                    <w:rPr>
                      <w:rFonts w:hint="eastAsia" w:eastAsia="宋体" w:cs="Times New Roman"/>
                      <w:i w:val="0"/>
                      <w:iCs w:val="0"/>
                      <w:color w:val="000000"/>
                      <w:kern w:val="0"/>
                      <w:sz w:val="21"/>
                      <w:szCs w:val="21"/>
                      <w:u w:val="none" w:color="auto"/>
                      <w:lang w:val="en-US" w:eastAsia="zh-CN" w:bidi="ar"/>
                    </w:rPr>
                    <w:t>kg</w:t>
                  </w:r>
                  <w:r>
                    <w:rPr>
                      <w:rFonts w:hint="default" w:ascii="Times New Roman" w:hAnsi="Times New Roman" w:eastAsia="宋体" w:cs="Times New Roman"/>
                      <w:i w:val="0"/>
                      <w:iCs w:val="0"/>
                      <w:color w:val="000000"/>
                      <w:kern w:val="0"/>
                      <w:sz w:val="21"/>
                      <w:szCs w:val="21"/>
                      <w:u w:val="none" w:color="auto"/>
                      <w:lang w:val="en-US" w:eastAsia="zh-CN" w:bidi="ar"/>
                    </w:rPr>
                    <w:t>•d</w:t>
                  </w:r>
                </w:p>
              </w:tc>
              <w:tc>
                <w:tcPr>
                  <w:tcW w:w="608" w:type="dxa"/>
                  <w:tcBorders>
                    <w:tl2br w:val="nil"/>
                    <w:tr2bl w:val="nil"/>
                  </w:tcBorders>
                  <w:noWrap w:val="0"/>
                  <w:vAlign w:val="center"/>
                </w:tcPr>
                <w:p w14:paraId="67CF50C0">
                  <w:pPr>
                    <w:keepNext w:val="0"/>
                    <w:keepLines w:val="0"/>
                    <w:widowControl/>
                    <w:suppressLineNumbers w:val="0"/>
                    <w:jc w:val="center"/>
                    <w:textAlignment w:val="center"/>
                    <w:rPr>
                      <w:rFonts w:hint="default" w:ascii="Times New Roman" w:hAnsi="Times New Roman" w:eastAsia="宋体" w:cs="Times New Roman"/>
                      <w:kern w:val="2"/>
                      <w:sz w:val="21"/>
                      <w:szCs w:val="24"/>
                      <w:u w:val="none" w:color="auto"/>
                      <w:lang w:val="en-US" w:eastAsia="zh-CN" w:bidi="ar-SA"/>
                    </w:rPr>
                  </w:pPr>
                  <w:r>
                    <w:rPr>
                      <w:rFonts w:hint="eastAsia" w:cs="Times New Roman"/>
                      <w:i w:val="0"/>
                      <w:iCs w:val="0"/>
                      <w:color w:val="000000"/>
                      <w:kern w:val="0"/>
                      <w:sz w:val="21"/>
                      <w:szCs w:val="21"/>
                      <w:u w:val="none" w:color="auto"/>
                      <w:lang w:val="en-US" w:eastAsia="zh-CN" w:bidi="ar"/>
                    </w:rPr>
                    <w:t>60</w:t>
                  </w:r>
                </w:p>
              </w:tc>
              <w:tc>
                <w:tcPr>
                  <w:tcW w:w="782" w:type="dxa"/>
                  <w:tcBorders>
                    <w:tl2br w:val="nil"/>
                    <w:tr2bl w:val="nil"/>
                  </w:tcBorders>
                  <w:noWrap w:val="0"/>
                  <w:vAlign w:val="center"/>
                </w:tcPr>
                <w:p w14:paraId="7968F590">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1.8</w:t>
                  </w:r>
                </w:p>
              </w:tc>
              <w:tc>
                <w:tcPr>
                  <w:tcW w:w="1095" w:type="dxa"/>
                  <w:tcBorders>
                    <w:tl2br w:val="nil"/>
                    <w:tr2bl w:val="nil"/>
                  </w:tcBorders>
                  <w:noWrap w:val="0"/>
                  <w:vAlign w:val="center"/>
                </w:tcPr>
                <w:p w14:paraId="4C2BF20F">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657</w:t>
                  </w:r>
                </w:p>
              </w:tc>
              <w:tc>
                <w:tcPr>
                  <w:tcW w:w="1282" w:type="dxa"/>
                  <w:tcBorders>
                    <w:tl2br w:val="nil"/>
                    <w:tr2bl w:val="nil"/>
                  </w:tcBorders>
                  <w:noWrap w:val="0"/>
                  <w:vAlign w:val="center"/>
                </w:tcPr>
                <w:p w14:paraId="0E3A7305">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1.44</w:t>
                  </w:r>
                </w:p>
              </w:tc>
              <w:tc>
                <w:tcPr>
                  <w:tcW w:w="1420" w:type="dxa"/>
                  <w:tcBorders>
                    <w:tl2br w:val="nil"/>
                    <w:tr2bl w:val="nil"/>
                  </w:tcBorders>
                  <w:noWrap w:val="0"/>
                  <w:vAlign w:val="center"/>
                </w:tcPr>
                <w:p w14:paraId="250B123D">
                  <w:pPr>
                    <w:keepNext w:val="0"/>
                    <w:keepLines w:val="0"/>
                    <w:widowControl/>
                    <w:suppressLineNumbers w:val="0"/>
                    <w:jc w:val="center"/>
                    <w:textAlignment w:val="center"/>
                    <w:rPr>
                      <w:rFonts w:hint="default" w:eastAsia="宋体" w:cs="Times New Roman"/>
                      <w:u w:val="none" w:color="auto"/>
                      <w:lang w:val="en-US" w:eastAsia="zh-CN"/>
                    </w:rPr>
                  </w:pPr>
                  <w:r>
                    <w:rPr>
                      <w:rFonts w:hint="default" w:eastAsia="宋体" w:cs="Times New Roman"/>
                      <w:u w:val="none" w:color="auto"/>
                      <w:lang w:val="en-US" w:eastAsia="zh-CN"/>
                    </w:rPr>
                    <w:t>525.6</w:t>
                  </w:r>
                </w:p>
              </w:tc>
            </w:tr>
            <w:tr w14:paraId="6539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436" w:type="dxa"/>
                  <w:gridSpan w:val="2"/>
                  <w:tcBorders>
                    <w:tl2br w:val="nil"/>
                    <w:tr2bl w:val="nil"/>
                  </w:tcBorders>
                  <w:noWrap w:val="0"/>
                  <w:vAlign w:val="center"/>
                </w:tcPr>
                <w:p w14:paraId="0D7F7222">
                  <w:pPr>
                    <w:pStyle w:val="24"/>
                    <w:bidi w:val="0"/>
                    <w:ind w:firstLine="0" w:firstLineChars="0"/>
                    <w:rPr>
                      <w:rFonts w:hint="default" w:ascii="Times New Roman" w:hAnsi="Times New Roman" w:eastAsia="宋体" w:cs="Times New Roman"/>
                      <w:u w:val="none" w:color="auto"/>
                      <w:lang w:val="en-US" w:eastAsia="zh-CN"/>
                    </w:rPr>
                  </w:pPr>
                  <w:r>
                    <w:rPr>
                      <w:rFonts w:hint="default" w:ascii="Times New Roman" w:hAnsi="Times New Roman" w:eastAsia="宋体" w:cs="Times New Roman"/>
                      <w:u w:val="none" w:color="auto"/>
                      <w:lang w:val="en-US" w:eastAsia="zh-CN"/>
                    </w:rPr>
                    <w:t>合计</w:t>
                  </w:r>
                </w:p>
              </w:tc>
              <w:tc>
                <w:tcPr>
                  <w:tcW w:w="766" w:type="dxa"/>
                  <w:tcBorders>
                    <w:tl2br w:val="nil"/>
                    <w:tr2bl w:val="nil"/>
                  </w:tcBorders>
                  <w:noWrap w:val="0"/>
                  <w:vAlign w:val="center"/>
                </w:tcPr>
                <w:p w14:paraId="6EB0A023">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39"/>
                      <w:rFonts w:hint="default" w:ascii="Times New Roman" w:hAnsi="Times New Roman" w:eastAsia="宋体" w:cs="Times New Roman"/>
                      <w:u w:val="none" w:color="auto"/>
                      <w:lang w:val="en-US" w:eastAsia="zh-CN" w:bidi="ar"/>
                    </w:rPr>
                    <w:t>/</w:t>
                  </w:r>
                </w:p>
              </w:tc>
              <w:tc>
                <w:tcPr>
                  <w:tcW w:w="762" w:type="dxa"/>
                  <w:tcBorders>
                    <w:tl2br w:val="nil"/>
                    <w:tr2bl w:val="nil"/>
                  </w:tcBorders>
                  <w:noWrap w:val="0"/>
                  <w:vAlign w:val="center"/>
                </w:tcPr>
                <w:p w14:paraId="77EF1365">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39"/>
                      <w:rFonts w:hint="default" w:ascii="Times New Roman" w:hAnsi="Times New Roman" w:eastAsia="宋体" w:cs="Times New Roman"/>
                      <w:u w:val="none" w:color="auto"/>
                      <w:lang w:val="en-US" w:eastAsia="zh-CN" w:bidi="ar"/>
                    </w:rPr>
                    <w:t>/</w:t>
                  </w:r>
                </w:p>
              </w:tc>
              <w:tc>
                <w:tcPr>
                  <w:tcW w:w="608" w:type="dxa"/>
                  <w:tcBorders>
                    <w:tl2br w:val="nil"/>
                    <w:tr2bl w:val="nil"/>
                  </w:tcBorders>
                  <w:noWrap w:val="0"/>
                  <w:vAlign w:val="center"/>
                </w:tcPr>
                <w:p w14:paraId="20F1C4F7">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none" w:color="auto"/>
                      <w:lang w:val="en-US" w:eastAsia="zh-CN" w:bidi="ar-SA"/>
                    </w:rPr>
                  </w:pPr>
                  <w:r>
                    <w:rPr>
                      <w:rStyle w:val="39"/>
                      <w:rFonts w:hint="default" w:ascii="Times New Roman" w:hAnsi="Times New Roman" w:eastAsia="宋体" w:cs="Times New Roman"/>
                      <w:u w:val="none" w:color="auto"/>
                      <w:lang w:val="en-US" w:eastAsia="zh-CN" w:bidi="ar"/>
                    </w:rPr>
                    <w:t>/</w:t>
                  </w:r>
                </w:p>
              </w:tc>
              <w:tc>
                <w:tcPr>
                  <w:tcW w:w="782" w:type="dxa"/>
                  <w:tcBorders>
                    <w:tl2br w:val="nil"/>
                    <w:tr2bl w:val="nil"/>
                  </w:tcBorders>
                  <w:noWrap w:val="0"/>
                  <w:vAlign w:val="center"/>
                </w:tcPr>
                <w:p w14:paraId="77EA08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12.758</w:t>
                  </w:r>
                </w:p>
              </w:tc>
              <w:tc>
                <w:tcPr>
                  <w:tcW w:w="1095" w:type="dxa"/>
                  <w:tcBorders>
                    <w:tl2br w:val="nil"/>
                    <w:tr2bl w:val="nil"/>
                  </w:tcBorders>
                  <w:noWrap w:val="0"/>
                  <w:vAlign w:val="center"/>
                </w:tcPr>
                <w:p w14:paraId="70D06A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4656.66</w:t>
                  </w:r>
                </w:p>
              </w:tc>
              <w:tc>
                <w:tcPr>
                  <w:tcW w:w="1282" w:type="dxa"/>
                  <w:tcBorders>
                    <w:tl2br w:val="nil"/>
                    <w:tr2bl w:val="nil"/>
                  </w:tcBorders>
                  <w:noWrap w:val="0"/>
                  <w:vAlign w:val="center"/>
                </w:tcPr>
                <w:p w14:paraId="3CABE5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10.206</w:t>
                  </w:r>
                </w:p>
              </w:tc>
              <w:tc>
                <w:tcPr>
                  <w:tcW w:w="1420" w:type="dxa"/>
                  <w:tcBorders>
                    <w:tl2br w:val="nil"/>
                    <w:tr2bl w:val="nil"/>
                  </w:tcBorders>
                  <w:noWrap w:val="0"/>
                  <w:vAlign w:val="center"/>
                </w:tcPr>
                <w:p w14:paraId="1EC89A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3725.33</w:t>
                  </w:r>
                </w:p>
              </w:tc>
            </w:tr>
          </w:tbl>
          <w:p w14:paraId="606AB305">
            <w:pPr>
              <w:spacing w:line="240" w:lineRule="auto"/>
              <w:jc w:val="center"/>
              <w:rPr>
                <w:rFonts w:hint="eastAsia"/>
                <w:b/>
                <w:bCs/>
                <w:sz w:val="21"/>
                <w:szCs w:val="21"/>
                <w:u w:val="single" w:color="auto"/>
              </w:rPr>
            </w:pPr>
          </w:p>
          <w:p w14:paraId="2646AC49">
            <w:pPr>
              <w:spacing w:line="240" w:lineRule="auto"/>
              <w:jc w:val="center"/>
              <w:rPr>
                <w:rFonts w:hint="eastAsia"/>
                <w:b/>
                <w:bCs/>
                <w:sz w:val="21"/>
                <w:szCs w:val="21"/>
                <w:u w:val="single" w:color="auto"/>
              </w:rPr>
            </w:pPr>
          </w:p>
          <w:p w14:paraId="3AA00136">
            <w:pPr>
              <w:spacing w:line="240" w:lineRule="auto"/>
              <w:jc w:val="center"/>
              <w:rPr>
                <w:rFonts w:hint="eastAsia" w:eastAsia="宋体"/>
                <w:b/>
                <w:bCs/>
                <w:sz w:val="21"/>
                <w:szCs w:val="21"/>
                <w:u w:val="single" w:color="auto"/>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4555490</wp:posOffset>
                      </wp:positionH>
                      <wp:positionV relativeFrom="paragraph">
                        <wp:posOffset>295275</wp:posOffset>
                      </wp:positionV>
                      <wp:extent cx="326390" cy="288290"/>
                      <wp:effectExtent l="6350" t="0" r="60960" b="3810"/>
                      <wp:wrapNone/>
                      <wp:docPr id="161" name="曲线连接符 161"/>
                      <wp:cNvGraphicFramePr/>
                      <a:graphic xmlns:a="http://schemas.openxmlformats.org/drawingml/2006/main">
                        <a:graphicData uri="http://schemas.microsoft.com/office/word/2010/wordprocessingShape">
                          <wps:wsp>
                            <wps:cNvCnPr/>
                            <wps:spPr>
                              <a:xfrm rot="5400000" flipV="1">
                                <a:off x="5888990" y="1161415"/>
                                <a:ext cx="326390" cy="288290"/>
                              </a:xfrm>
                              <a:prstGeom prst="curvedConnector3">
                                <a:avLst>
                                  <a:gd name="adj1" fmla="val 50195"/>
                                </a:avLst>
                              </a:prstGeom>
                              <a:ln>
                                <a:tailEnd type="arrow" w="med" len="med"/>
                              </a:ln>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8" type="#_x0000_t38" style="position:absolute;left:0pt;flip:y;margin-left:358.7pt;margin-top:23.25pt;height:22.7pt;width:25.7pt;rotation:-5898240f;z-index:251666432;mso-width-relative:page;mso-height-relative:page;" filled="f" stroked="t" coordsize="21600,21600" o:gfxdata="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BmLXidoAAAAJAQAADwAAAAAA&#10;AAABACAAAAAiAAAAZHJzL2Rvd25yZXYueG1sUEsBAhQAFAAAAAgAh07iQFHiTxqDAgAA3wQAAA4A&#10;AAAAAAAAAQAgAAAAKQEAAGRycy9lMm9Eb2MueG1sUEsFBgAAAAAGAAYAWQEAAB4GAAAAAA==&#10;" adj="10842">
                      <v:fill on="f" focussize="0,0"/>
                      <v:stroke weight="1pt" color="#000000" miterlimit="8" joinstyle="miter" endarrow="open"/>
                      <v:imagedata o:title=""/>
                      <o:lock v:ext="edit" aspectratio="f"/>
                    </v:shape>
                  </w:pict>
                </mc:Fallback>
              </mc:AlternateContent>
            </w:r>
            <w:r>
              <w:rPr>
                <w:sz w:val="24"/>
                <w:u w:val="single" w:color="auto"/>
              </w:rPr>
              <mc:AlternateContent>
                <mc:Choice Requires="wpc">
                  <w:drawing>
                    <wp:inline distT="0" distB="0" distL="114300" distR="114300">
                      <wp:extent cx="5059680" cy="6211570"/>
                      <wp:effectExtent l="6350" t="6350" r="13970" b="30480"/>
                      <wp:docPr id="23" name="画布 23"/>
                      <wp:cNvGraphicFramePr/>
                      <a:graphic xmlns:a="http://schemas.openxmlformats.org/drawingml/2006/main">
                        <a:graphicData uri="http://schemas.microsoft.com/office/word/2010/wordprocessingCanvas">
                          <wpc:wpc>
                            <wpc:bg>
                              <a:noFill/>
                            </wpc:bg>
                            <wpc:whole>
                              <a:ln>
                                <a:solidFill>
                                  <a:schemeClr val="tx1"/>
                                </a:solidFill>
                              </a:ln>
                            </wpc:whole>
                            <wps:wsp>
                              <wps:cNvPr id="87" name="文本框 3"/>
                              <wps:cNvSpPr txBox="1"/>
                              <wps:spPr>
                                <a:xfrm>
                                  <a:off x="3978275" y="513080"/>
                                  <a:ext cx="747395" cy="279400"/>
                                </a:xfrm>
                                <a:prstGeom prst="rect">
                                  <a:avLst/>
                                </a:prstGeom>
                                <a:noFill/>
                                <a:ln>
                                  <a:noFill/>
                                </a:ln>
                              </wps:spPr>
                              <wps:txbx>
                                <w:txbxContent>
                                  <w:p w14:paraId="520B499E">
                                    <w:pPr>
                                      <w:spacing w:line="240" w:lineRule="auto"/>
                                      <w:rPr>
                                        <w:rFonts w:hint="default" w:eastAsia="宋体"/>
                                        <w:sz w:val="21"/>
                                        <w:szCs w:val="21"/>
                                        <w:lang w:val="en-US" w:eastAsia="zh-CN"/>
                                      </w:rPr>
                                    </w:pPr>
                                    <w:r>
                                      <w:rPr>
                                        <w:rFonts w:hint="eastAsia"/>
                                        <w:sz w:val="21"/>
                                        <w:szCs w:val="21"/>
                                        <w:lang w:val="en-US" w:eastAsia="zh-CN"/>
                                      </w:rPr>
                                      <w:t>3724.45</w:t>
                                    </w:r>
                                  </w:p>
                                </w:txbxContent>
                              </wps:txbx>
                              <wps:bodyPr upright="1"/>
                            </wps:wsp>
                            <wps:wsp>
                              <wps:cNvPr id="88" name="矩形 40"/>
                              <wps:cNvSpPr/>
                              <wps:spPr>
                                <a:xfrm>
                                  <a:off x="95885" y="946150"/>
                                  <a:ext cx="321310" cy="7924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DB2EF5">
                                    <w:pPr>
                                      <w:spacing w:line="240" w:lineRule="auto"/>
                                      <w:rPr>
                                        <w:rFonts w:hint="default" w:eastAsia="宋体"/>
                                        <w:lang w:val="en-US" w:eastAsia="zh-CN"/>
                                      </w:rPr>
                                    </w:pPr>
                                    <w:r>
                                      <w:rPr>
                                        <w:rFonts w:hint="eastAsia" w:eastAsia="宋体"/>
                                        <w:lang w:val="en-US" w:eastAsia="zh-CN"/>
                                      </w:rPr>
                                      <w:t>新鲜水</w:t>
                                    </w:r>
                                  </w:p>
                                </w:txbxContent>
                              </wps:txbx>
                              <wps:bodyPr upright="1"/>
                            </wps:wsp>
                            <wps:wsp>
                              <wps:cNvPr id="89" name="直接连接符 42"/>
                              <wps:cNvCnPr/>
                              <wps:spPr>
                                <a:xfrm>
                                  <a:off x="975995" y="445135"/>
                                  <a:ext cx="0" cy="3815715"/>
                                </a:xfrm>
                                <a:prstGeom prst="line">
                                  <a:avLst/>
                                </a:prstGeom>
                                <a:ln w="12700" cap="flat" cmpd="sng">
                                  <a:solidFill>
                                    <a:srgbClr val="000000"/>
                                  </a:solidFill>
                                  <a:prstDash val="solid"/>
                                  <a:headEnd type="none" w="med" len="med"/>
                                  <a:tailEnd type="none" w="med" len="med"/>
                                </a:ln>
                              </wps:spPr>
                              <wps:bodyPr upright="1"/>
                            </wps:wsp>
                            <wps:wsp>
                              <wps:cNvPr id="90" name="直接连接符 61"/>
                              <wps:cNvCnPr/>
                              <wps:spPr>
                                <a:xfrm>
                                  <a:off x="438150" y="1329690"/>
                                  <a:ext cx="540000" cy="635"/>
                                </a:xfrm>
                                <a:prstGeom prst="line">
                                  <a:avLst/>
                                </a:prstGeom>
                                <a:ln w="12700" cap="flat" cmpd="sng">
                                  <a:solidFill>
                                    <a:srgbClr val="000000"/>
                                  </a:solidFill>
                                  <a:prstDash val="solid"/>
                                  <a:headEnd type="none" w="med" len="med"/>
                                  <a:tailEnd type="none" w="med" len="med"/>
                                </a:ln>
                              </wps:spPr>
                              <wps:bodyPr upright="1"/>
                            </wps:wsp>
                            <wps:wsp>
                              <wps:cNvPr id="91" name="曲线连接符 65"/>
                              <wps:cNvCnPr/>
                              <wps:spPr>
                                <a:xfrm flipV="1">
                                  <a:off x="2219960" y="238125"/>
                                  <a:ext cx="251460" cy="8382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92" name="曲线连接符 68"/>
                              <wps:cNvCnPr/>
                              <wps:spPr>
                                <a:xfrm flipV="1">
                                  <a:off x="2170430" y="79311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93" name="直接连接符 70"/>
                              <wps:cNvCnPr/>
                              <wps:spPr>
                                <a:xfrm flipV="1">
                                  <a:off x="977900" y="460375"/>
                                  <a:ext cx="432000" cy="0"/>
                                </a:xfrm>
                                <a:prstGeom prst="line">
                                  <a:avLst/>
                                </a:prstGeom>
                                <a:ln w="9525" cap="flat" cmpd="sng">
                                  <a:solidFill>
                                    <a:srgbClr val="000000"/>
                                  </a:solidFill>
                                  <a:prstDash val="solid"/>
                                  <a:headEnd type="none" w="med" len="med"/>
                                  <a:tailEnd type="arrow" w="med" len="med"/>
                                </a:ln>
                              </wps:spPr>
                              <wps:bodyPr upright="1"/>
                            </wps:wsp>
                            <wps:wsp>
                              <wps:cNvPr id="94" name="矩形 71"/>
                              <wps:cNvSpPr/>
                              <wps:spPr>
                                <a:xfrm>
                                  <a:off x="1417955" y="332105"/>
                                  <a:ext cx="933450" cy="353695"/>
                                </a:xfrm>
                                <a:prstGeom prst="rect">
                                  <a:avLst/>
                                </a:prstGeom>
                                <a:noFill/>
                                <a:ln w="9525" cap="flat" cmpd="sng">
                                  <a:solidFill>
                                    <a:srgbClr val="000000"/>
                                  </a:solidFill>
                                  <a:prstDash val="solid"/>
                                  <a:miter/>
                                  <a:headEnd type="none" w="med" len="med"/>
                                  <a:tailEnd type="none" w="med" len="med"/>
                                </a:ln>
                              </wps:spPr>
                              <wps:txbx>
                                <w:txbxContent>
                                  <w:p w14:paraId="78C29CDF">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wps:txbx>
                              <wps:bodyPr upright="1"/>
                            </wps:wsp>
                            <wps:wsp>
                              <wps:cNvPr id="95" name="文本框 74"/>
                              <wps:cNvSpPr txBox="1"/>
                              <wps:spPr>
                                <a:xfrm>
                                  <a:off x="2404110" y="46355"/>
                                  <a:ext cx="506095" cy="279400"/>
                                </a:xfrm>
                                <a:prstGeom prst="rect">
                                  <a:avLst/>
                                </a:prstGeom>
                                <a:noFill/>
                                <a:ln>
                                  <a:noFill/>
                                </a:ln>
                              </wps:spPr>
                              <wps:txbx>
                                <w:txbxContent>
                                  <w:p w14:paraId="413FE7CE">
                                    <w:pPr>
                                      <w:spacing w:line="240" w:lineRule="auto"/>
                                      <w:rPr>
                                        <w:rFonts w:hint="default" w:eastAsia="宋体"/>
                                        <w:sz w:val="21"/>
                                        <w:szCs w:val="21"/>
                                        <w:lang w:val="en-US" w:eastAsia="zh-CN"/>
                                      </w:rPr>
                                    </w:pPr>
                                    <w:r>
                                      <w:rPr>
                                        <w:rFonts w:hint="eastAsia"/>
                                        <w:sz w:val="21"/>
                                        <w:szCs w:val="21"/>
                                        <w:lang w:val="en-US" w:eastAsia="zh-CN"/>
                                      </w:rPr>
                                      <w:t>547.5</w:t>
                                    </w:r>
                                  </w:p>
                                </w:txbxContent>
                              </wps:txbx>
                              <wps:bodyPr upright="1"/>
                            </wps:wsp>
                            <wps:wsp>
                              <wps:cNvPr id="96" name="直接连接符 75"/>
                              <wps:cNvCnPr/>
                              <wps:spPr>
                                <a:xfrm flipV="1">
                                  <a:off x="2418080" y="3751581"/>
                                  <a:ext cx="1080000" cy="0"/>
                                </a:xfrm>
                                <a:prstGeom prst="line">
                                  <a:avLst/>
                                </a:prstGeom>
                                <a:ln w="9525" cap="flat" cmpd="sng">
                                  <a:solidFill>
                                    <a:srgbClr val="000000"/>
                                  </a:solidFill>
                                  <a:prstDash val="solid"/>
                                  <a:headEnd type="none" w="med" len="med"/>
                                  <a:tailEnd type="arrow" w="med" len="med"/>
                                </a:ln>
                              </wps:spPr>
                              <wps:bodyPr upright="1"/>
                            </wps:wsp>
                            <wps:wsp>
                              <wps:cNvPr id="97" name="直接连接符 76"/>
                              <wps:cNvCnPr/>
                              <wps:spPr>
                                <a:xfrm flipV="1">
                                  <a:off x="989330" y="1008380"/>
                                  <a:ext cx="431800" cy="0"/>
                                </a:xfrm>
                                <a:prstGeom prst="line">
                                  <a:avLst/>
                                </a:prstGeom>
                                <a:ln w="9525" cap="flat" cmpd="sng">
                                  <a:solidFill>
                                    <a:srgbClr val="000000"/>
                                  </a:solidFill>
                                  <a:prstDash val="solid"/>
                                  <a:headEnd type="none" w="med" len="med"/>
                                  <a:tailEnd type="arrow" w="med" len="med"/>
                                </a:ln>
                              </wps:spPr>
                              <wps:bodyPr upright="1"/>
                            </wps:wsp>
                            <wps:wsp>
                              <wps:cNvPr id="98" name="矩形 77"/>
                              <wps:cNvSpPr/>
                              <wps:spPr>
                                <a:xfrm>
                                  <a:off x="1427480" y="87503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6998CF">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wps:txbx>
                              <wps:bodyPr upright="1"/>
                            </wps:wsp>
                            <wps:wsp>
                              <wps:cNvPr id="99" name="直接连接符 78"/>
                              <wps:cNvCnPr/>
                              <wps:spPr>
                                <a:xfrm flipV="1">
                                  <a:off x="989330" y="1551305"/>
                                  <a:ext cx="431800" cy="0"/>
                                </a:xfrm>
                                <a:prstGeom prst="line">
                                  <a:avLst/>
                                </a:prstGeom>
                                <a:ln w="9525" cap="flat" cmpd="sng">
                                  <a:solidFill>
                                    <a:srgbClr val="000000"/>
                                  </a:solidFill>
                                  <a:prstDash val="solid"/>
                                  <a:headEnd type="none" w="med" len="med"/>
                                  <a:tailEnd type="arrow" w="med" len="med"/>
                                </a:ln>
                              </wps:spPr>
                              <wps:bodyPr upright="1"/>
                            </wps:wsp>
                            <wps:wsp>
                              <wps:cNvPr id="100" name="直接连接符 79"/>
                              <wps:cNvCnPr/>
                              <wps:spPr>
                                <a:xfrm flipV="1">
                                  <a:off x="979805" y="2103755"/>
                                  <a:ext cx="431800" cy="0"/>
                                </a:xfrm>
                                <a:prstGeom prst="line">
                                  <a:avLst/>
                                </a:prstGeom>
                                <a:ln w="9525" cap="flat" cmpd="sng">
                                  <a:solidFill>
                                    <a:srgbClr val="000000"/>
                                  </a:solidFill>
                                  <a:prstDash val="solid"/>
                                  <a:headEnd type="none" w="med" len="med"/>
                                  <a:tailEnd type="arrow" w="med" len="med"/>
                                </a:ln>
                              </wps:spPr>
                              <wps:bodyPr upright="1"/>
                            </wps:wsp>
                            <wps:wsp>
                              <wps:cNvPr id="101" name="直接连接符 80"/>
                              <wps:cNvCnPr/>
                              <wps:spPr>
                                <a:xfrm flipV="1">
                                  <a:off x="989330" y="2656206"/>
                                  <a:ext cx="431800" cy="0"/>
                                </a:xfrm>
                                <a:prstGeom prst="line">
                                  <a:avLst/>
                                </a:prstGeom>
                                <a:ln w="9525" cap="flat" cmpd="sng">
                                  <a:solidFill>
                                    <a:srgbClr val="000000"/>
                                  </a:solidFill>
                                  <a:prstDash val="solid"/>
                                  <a:headEnd type="none" w="med" len="med"/>
                                  <a:tailEnd type="arrow" w="med" len="med"/>
                                </a:ln>
                              </wps:spPr>
                              <wps:bodyPr upright="1"/>
                            </wps:wsp>
                            <wps:wsp>
                              <wps:cNvPr id="102" name="直接连接符 81"/>
                              <wps:cNvCnPr/>
                              <wps:spPr>
                                <a:xfrm flipV="1">
                                  <a:off x="998855" y="3227705"/>
                                  <a:ext cx="431800" cy="0"/>
                                </a:xfrm>
                                <a:prstGeom prst="line">
                                  <a:avLst/>
                                </a:prstGeom>
                                <a:ln w="9525" cap="flat" cmpd="sng">
                                  <a:solidFill>
                                    <a:srgbClr val="000000"/>
                                  </a:solidFill>
                                  <a:prstDash val="solid"/>
                                  <a:headEnd type="none" w="med" len="med"/>
                                  <a:tailEnd type="arrow" w="med" len="med"/>
                                </a:ln>
                              </wps:spPr>
                              <wps:bodyPr upright="1"/>
                            </wps:wsp>
                            <wps:wsp>
                              <wps:cNvPr id="103" name="直接连接符 82"/>
                              <wps:cNvCnPr/>
                              <wps:spPr>
                                <a:xfrm flipV="1">
                                  <a:off x="989330" y="3751581"/>
                                  <a:ext cx="431800" cy="0"/>
                                </a:xfrm>
                                <a:prstGeom prst="line">
                                  <a:avLst/>
                                </a:prstGeom>
                                <a:ln w="9525" cap="flat" cmpd="sng">
                                  <a:solidFill>
                                    <a:srgbClr val="000000"/>
                                  </a:solidFill>
                                  <a:prstDash val="solid"/>
                                  <a:headEnd type="none" w="med" len="med"/>
                                  <a:tailEnd type="arrow" w="med" len="med"/>
                                </a:ln>
                              </wps:spPr>
                              <wps:bodyPr upright="1"/>
                            </wps:wsp>
                            <wps:wsp>
                              <wps:cNvPr id="104" name="矩形 83"/>
                              <wps:cNvSpPr/>
                              <wps:spPr>
                                <a:xfrm>
                                  <a:off x="1456055" y="2522855"/>
                                  <a:ext cx="92710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2518C6">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wps:txbx>
                              <wps:bodyPr upright="1"/>
                            </wps:wsp>
                            <wps:wsp>
                              <wps:cNvPr id="105" name="矩形 84"/>
                              <wps:cNvSpPr/>
                              <wps:spPr>
                                <a:xfrm>
                                  <a:off x="1456055" y="195135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0D86D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煎药及清洗</w:t>
                                    </w:r>
                                  </w:p>
                                </w:txbxContent>
                              </wps:txbx>
                              <wps:bodyPr upright="1"/>
                            </wps:wsp>
                            <wps:wsp>
                              <wps:cNvPr id="106" name="矩形 85"/>
                              <wps:cNvSpPr/>
                              <wps:spPr>
                                <a:xfrm>
                                  <a:off x="1456055" y="1408430"/>
                                  <a:ext cx="9271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FBE11F">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wps:txbx>
                              <wps:bodyPr upright="1"/>
                            </wps:wsp>
                            <wps:wsp>
                              <wps:cNvPr id="107" name="矩形 86"/>
                              <wps:cNvSpPr/>
                              <wps:spPr>
                                <a:xfrm>
                                  <a:off x="1475105" y="306578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898873">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wps:txbx>
                              <wps:bodyPr upright="1"/>
                            </wps:wsp>
                            <wps:wsp>
                              <wps:cNvPr id="108" name="矩形 87"/>
                              <wps:cNvSpPr/>
                              <wps:spPr>
                                <a:xfrm>
                                  <a:off x="1465580" y="360870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4EEF84">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wps:txbx>
                              <wps:bodyPr upright="1"/>
                            </wps:wsp>
                            <wps:wsp>
                              <wps:cNvPr id="109" name="曲线连接符 88"/>
                              <wps:cNvCnPr/>
                              <wps:spPr>
                                <a:xfrm flipV="1">
                                  <a:off x="2113280" y="2980056"/>
                                  <a:ext cx="241300" cy="76199"/>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0" name="曲线连接符 89"/>
                              <wps:cNvCnPr/>
                              <wps:spPr>
                                <a:xfrm flipV="1">
                                  <a:off x="2151380" y="24371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1" name="曲线连接符 90"/>
                              <wps:cNvCnPr/>
                              <wps:spPr>
                                <a:xfrm flipV="1">
                                  <a:off x="2237105" y="187515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2" name="曲线连接符 91"/>
                              <wps:cNvCnPr/>
                              <wps:spPr>
                                <a:xfrm flipV="1">
                                  <a:off x="2218055" y="13322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3" name="曲线连接符 92"/>
                              <wps:cNvCnPr/>
                              <wps:spPr>
                                <a:xfrm flipV="1">
                                  <a:off x="2160905" y="35039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4" name="文本框 93"/>
                              <wps:cNvSpPr txBox="1"/>
                              <wps:spPr>
                                <a:xfrm>
                                  <a:off x="2332990" y="570230"/>
                                  <a:ext cx="589280" cy="279400"/>
                                </a:xfrm>
                                <a:prstGeom prst="rect">
                                  <a:avLst/>
                                </a:prstGeom>
                                <a:noFill/>
                                <a:ln>
                                  <a:noFill/>
                                </a:ln>
                              </wps:spPr>
                              <wps:txbx>
                                <w:txbxContent>
                                  <w:p w14:paraId="72F740C7">
                                    <w:pPr>
                                      <w:spacing w:line="240" w:lineRule="auto"/>
                                      <w:rPr>
                                        <w:rFonts w:hint="default" w:eastAsia="宋体"/>
                                        <w:sz w:val="21"/>
                                        <w:szCs w:val="21"/>
                                        <w:lang w:val="en-US" w:eastAsia="zh-CN"/>
                                      </w:rPr>
                                    </w:pPr>
                                    <w:r>
                                      <w:rPr>
                                        <w:rFonts w:hint="eastAsia"/>
                                        <w:sz w:val="21"/>
                                        <w:szCs w:val="21"/>
                                        <w:lang w:val="en-US" w:eastAsia="zh-CN"/>
                                      </w:rPr>
                                      <w:t>38.325</w:t>
                                    </w:r>
                                  </w:p>
                                </w:txbxContent>
                              </wps:txbx>
                              <wps:bodyPr upright="1"/>
                            </wps:wsp>
                            <wps:wsp>
                              <wps:cNvPr id="115" name="文本框 94"/>
                              <wps:cNvSpPr txBox="1"/>
                              <wps:spPr>
                                <a:xfrm>
                                  <a:off x="2465705" y="1160780"/>
                                  <a:ext cx="560705" cy="279400"/>
                                </a:xfrm>
                                <a:prstGeom prst="rect">
                                  <a:avLst/>
                                </a:prstGeom>
                                <a:noFill/>
                                <a:ln>
                                  <a:noFill/>
                                </a:ln>
                              </wps:spPr>
                              <wps:txbx>
                                <w:txbxContent>
                                  <w:p w14:paraId="6AA1E9C4">
                                    <w:pPr>
                                      <w:spacing w:line="240" w:lineRule="auto"/>
                                      <w:rPr>
                                        <w:rFonts w:hint="default" w:eastAsia="宋体"/>
                                        <w:sz w:val="21"/>
                                        <w:szCs w:val="21"/>
                                        <w:lang w:val="en-US" w:eastAsia="zh-CN"/>
                                      </w:rPr>
                                    </w:pPr>
                                    <w:r>
                                      <w:rPr>
                                        <w:rFonts w:hint="eastAsia"/>
                                        <w:sz w:val="21"/>
                                        <w:szCs w:val="21"/>
                                        <w:lang w:val="en-US" w:eastAsia="zh-CN"/>
                                      </w:rPr>
                                      <w:t>85.41</w:t>
                                    </w:r>
                                  </w:p>
                                </w:txbxContent>
                              </wps:txbx>
                              <wps:bodyPr upright="1"/>
                            </wps:wsp>
                            <wps:wsp>
                              <wps:cNvPr id="116" name="文本框 95"/>
                              <wps:cNvSpPr txBox="1"/>
                              <wps:spPr>
                                <a:xfrm>
                                  <a:off x="2427605" y="3275330"/>
                                  <a:ext cx="539750" cy="279400"/>
                                </a:xfrm>
                                <a:prstGeom prst="rect">
                                  <a:avLst/>
                                </a:prstGeom>
                                <a:noFill/>
                                <a:ln>
                                  <a:noFill/>
                                </a:ln>
                              </wps:spPr>
                              <wps:txbx>
                                <w:txbxContent>
                                  <w:p w14:paraId="22D1FBC4">
                                    <w:pPr>
                                      <w:spacing w:line="240" w:lineRule="auto"/>
                                      <w:rPr>
                                        <w:rFonts w:hint="default" w:eastAsia="宋体"/>
                                        <w:sz w:val="21"/>
                                        <w:szCs w:val="21"/>
                                        <w:lang w:val="en-US" w:eastAsia="zh-CN"/>
                                      </w:rPr>
                                    </w:pPr>
                                    <w:r>
                                      <w:rPr>
                                        <w:rFonts w:hint="eastAsia"/>
                                        <w:sz w:val="21"/>
                                        <w:szCs w:val="21"/>
                                        <w:lang w:val="en-US" w:eastAsia="zh-CN"/>
                                      </w:rPr>
                                      <w:t>80.3</w:t>
                                    </w:r>
                                  </w:p>
                                </w:txbxContent>
                              </wps:txbx>
                              <wps:bodyPr upright="1"/>
                            </wps:wsp>
                            <wps:wsp>
                              <wps:cNvPr id="117" name="文本框 96"/>
                              <wps:cNvSpPr txBox="1"/>
                              <wps:spPr>
                                <a:xfrm>
                                  <a:off x="2446655" y="2751455"/>
                                  <a:ext cx="597535" cy="279400"/>
                                </a:xfrm>
                                <a:prstGeom prst="rect">
                                  <a:avLst/>
                                </a:prstGeom>
                                <a:noFill/>
                                <a:ln>
                                  <a:noFill/>
                                </a:ln>
                              </wps:spPr>
                              <wps:txbx>
                                <w:txbxContent>
                                  <w:p w14:paraId="779C3AD7">
                                    <w:pPr>
                                      <w:spacing w:line="240" w:lineRule="auto"/>
                                      <w:rPr>
                                        <w:rFonts w:hint="default" w:eastAsia="宋体"/>
                                        <w:sz w:val="21"/>
                                        <w:szCs w:val="21"/>
                                        <w:lang w:val="en-US" w:eastAsia="zh-CN"/>
                                      </w:rPr>
                                    </w:pPr>
                                    <w:r>
                                      <w:rPr>
                                        <w:rFonts w:hint="eastAsia"/>
                                        <w:sz w:val="21"/>
                                        <w:szCs w:val="21"/>
                                        <w:lang w:val="en-US" w:eastAsia="zh-CN"/>
                                      </w:rPr>
                                      <w:t>131.4</w:t>
                                    </w:r>
                                  </w:p>
                                </w:txbxContent>
                              </wps:txbx>
                              <wps:bodyPr upright="1"/>
                            </wps:wsp>
                            <wps:wsp>
                              <wps:cNvPr id="118" name="文本框 97"/>
                              <wps:cNvSpPr txBox="1"/>
                              <wps:spPr>
                                <a:xfrm>
                                  <a:off x="2349500" y="2237105"/>
                                  <a:ext cx="730250" cy="279400"/>
                                </a:xfrm>
                                <a:prstGeom prst="rect">
                                  <a:avLst/>
                                </a:prstGeom>
                                <a:noFill/>
                                <a:ln>
                                  <a:noFill/>
                                </a:ln>
                              </wps:spPr>
                              <wps:txbx>
                                <w:txbxContent>
                                  <w:p w14:paraId="2833DB0E">
                                    <w:pPr>
                                      <w:spacing w:line="240" w:lineRule="auto"/>
                                      <w:rPr>
                                        <w:rFonts w:hint="default" w:eastAsia="宋体"/>
                                        <w:sz w:val="21"/>
                                        <w:szCs w:val="21"/>
                                        <w:lang w:val="en-US" w:eastAsia="zh-CN"/>
                                      </w:rPr>
                                    </w:pPr>
                                    <w:r>
                                      <w:rPr>
                                        <w:rFonts w:hint="eastAsia"/>
                                        <w:sz w:val="21"/>
                                        <w:szCs w:val="21"/>
                                        <w:lang w:val="en-US" w:eastAsia="zh-CN"/>
                                      </w:rPr>
                                      <w:t>47.30</w:t>
                                    </w:r>
                                  </w:p>
                                </w:txbxContent>
                              </wps:txbx>
                              <wps:bodyPr upright="1"/>
                            </wps:wsp>
                            <wps:wsp>
                              <wps:cNvPr id="119" name="文本框 98"/>
                              <wps:cNvSpPr txBox="1"/>
                              <wps:spPr>
                                <a:xfrm>
                                  <a:off x="2494280" y="1656080"/>
                                  <a:ext cx="582295" cy="279400"/>
                                </a:xfrm>
                                <a:prstGeom prst="rect">
                                  <a:avLst/>
                                </a:prstGeom>
                                <a:noFill/>
                                <a:ln>
                                  <a:noFill/>
                                </a:ln>
                              </wps:spPr>
                              <wps:txbx>
                                <w:txbxContent>
                                  <w:p w14:paraId="2FBEC36A">
                                    <w:pPr>
                                      <w:spacing w:line="240" w:lineRule="auto"/>
                                      <w:rPr>
                                        <w:rFonts w:hint="default" w:eastAsia="宋体"/>
                                        <w:sz w:val="21"/>
                                        <w:szCs w:val="21"/>
                                        <w:lang w:val="en-US" w:eastAsia="zh-CN"/>
                                      </w:rPr>
                                    </w:pPr>
                                    <w:r>
                                      <w:rPr>
                                        <w:rFonts w:hint="eastAsia"/>
                                        <w:sz w:val="21"/>
                                        <w:szCs w:val="21"/>
                                        <w:lang w:val="en-US" w:eastAsia="zh-CN"/>
                                      </w:rPr>
                                      <w:t>0.000</w:t>
                                    </w:r>
                                  </w:p>
                                </w:txbxContent>
                              </wps:txbx>
                              <wps:bodyPr upright="1"/>
                            </wps:wsp>
                            <wps:wsp>
                              <wps:cNvPr id="120" name="直接连接符 99"/>
                              <wps:cNvCnPr/>
                              <wps:spPr>
                                <a:xfrm flipV="1">
                                  <a:off x="2427605" y="1017905"/>
                                  <a:ext cx="1080135" cy="0"/>
                                </a:xfrm>
                                <a:prstGeom prst="line">
                                  <a:avLst/>
                                </a:prstGeom>
                                <a:ln w="9525" cap="flat" cmpd="sng">
                                  <a:solidFill>
                                    <a:srgbClr val="000000"/>
                                  </a:solidFill>
                                  <a:prstDash val="solid"/>
                                  <a:headEnd type="none" w="med" len="med"/>
                                  <a:tailEnd type="arrow" w="med" len="med"/>
                                </a:ln>
                              </wps:spPr>
                              <wps:bodyPr upright="1"/>
                            </wps:wsp>
                            <wps:wsp>
                              <wps:cNvPr id="121" name="直接连接符 100"/>
                              <wps:cNvCnPr/>
                              <wps:spPr>
                                <a:xfrm flipV="1">
                                  <a:off x="2399030" y="3208655"/>
                                  <a:ext cx="1476000" cy="0"/>
                                </a:xfrm>
                                <a:prstGeom prst="line">
                                  <a:avLst/>
                                </a:prstGeom>
                                <a:ln w="9525" cap="flat" cmpd="sng">
                                  <a:solidFill>
                                    <a:srgbClr val="000000"/>
                                  </a:solidFill>
                                  <a:prstDash val="solid"/>
                                  <a:headEnd type="none" w="med" len="med"/>
                                  <a:tailEnd type="arrow" w="med" len="med"/>
                                </a:ln>
                              </wps:spPr>
                              <wps:bodyPr upright="1"/>
                            </wps:wsp>
                            <wps:wsp>
                              <wps:cNvPr id="122" name="矩形 101"/>
                              <wps:cNvSpPr/>
                              <wps:spPr>
                                <a:xfrm>
                                  <a:off x="3532505" y="3608705"/>
                                  <a:ext cx="717550" cy="332105"/>
                                </a:xfrm>
                                <a:prstGeom prst="rect">
                                  <a:avLst/>
                                </a:prstGeom>
                                <a:noFill/>
                                <a:ln w="9525" cap="flat" cmpd="sng">
                                  <a:solidFill>
                                    <a:srgbClr val="000000"/>
                                  </a:solidFill>
                                  <a:prstDash val="solid"/>
                                  <a:miter/>
                                  <a:headEnd type="none" w="med" len="med"/>
                                  <a:tailEnd type="none" w="med" len="med"/>
                                </a:ln>
                              </wps:spPr>
                              <wps:txbx>
                                <w:txbxContent>
                                  <w:p w14:paraId="2E07C5C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wps:txbx>
                              <wps:bodyPr upright="1"/>
                            </wps:wsp>
                            <wps:wsp>
                              <wps:cNvPr id="123" name="文本框 102"/>
                              <wps:cNvSpPr txBox="1"/>
                              <wps:spPr>
                                <a:xfrm>
                                  <a:off x="2938780" y="3446780"/>
                                  <a:ext cx="571500" cy="279400"/>
                                </a:xfrm>
                                <a:prstGeom prst="rect">
                                  <a:avLst/>
                                </a:prstGeom>
                                <a:noFill/>
                                <a:ln>
                                  <a:noFill/>
                                </a:ln>
                              </wps:spPr>
                              <wps:txbx>
                                <w:txbxContent>
                                  <w:p w14:paraId="4187D1C8">
                                    <w:pPr>
                                      <w:spacing w:line="240" w:lineRule="auto"/>
                                      <w:rPr>
                                        <w:rFonts w:hint="default" w:eastAsia="宋体"/>
                                        <w:sz w:val="21"/>
                                        <w:szCs w:val="21"/>
                                        <w:lang w:val="en-US" w:eastAsia="zh-CN"/>
                                      </w:rPr>
                                    </w:pPr>
                                    <w:r>
                                      <w:rPr>
                                        <w:rFonts w:hint="eastAsia"/>
                                        <w:sz w:val="21"/>
                                        <w:szCs w:val="21"/>
                                        <w:lang w:val="en-US" w:eastAsia="zh-CN"/>
                                      </w:rPr>
                                      <w:t>321.2</w:t>
                                    </w:r>
                                  </w:p>
                                </w:txbxContent>
                              </wps:txbx>
                              <wps:bodyPr upright="1"/>
                            </wps:wsp>
                            <wps:wsp>
                              <wps:cNvPr id="124" name="直接连接符 103"/>
                              <wps:cNvCnPr/>
                              <wps:spPr>
                                <a:xfrm flipV="1">
                                  <a:off x="2399030" y="2656206"/>
                                  <a:ext cx="1476000" cy="0"/>
                                </a:xfrm>
                                <a:prstGeom prst="line">
                                  <a:avLst/>
                                </a:prstGeom>
                                <a:ln w="9525" cap="flat" cmpd="sng">
                                  <a:solidFill>
                                    <a:srgbClr val="000000"/>
                                  </a:solidFill>
                                  <a:prstDash val="solid"/>
                                  <a:headEnd type="none" w="med" len="med"/>
                                  <a:tailEnd type="arrow" w="med" len="med"/>
                                </a:ln>
                              </wps:spPr>
                              <wps:bodyPr upright="1"/>
                            </wps:wsp>
                            <wps:wsp>
                              <wps:cNvPr id="125" name="直接连接符 104"/>
                              <wps:cNvCnPr/>
                              <wps:spPr>
                                <a:xfrm flipV="1">
                                  <a:off x="2389505" y="2094230"/>
                                  <a:ext cx="1476000" cy="0"/>
                                </a:xfrm>
                                <a:prstGeom prst="line">
                                  <a:avLst/>
                                </a:prstGeom>
                                <a:ln w="9525" cap="flat" cmpd="sng">
                                  <a:solidFill>
                                    <a:srgbClr val="000000"/>
                                  </a:solidFill>
                                  <a:prstDash val="solid"/>
                                  <a:headEnd type="none" w="med" len="med"/>
                                  <a:tailEnd type="arrow" w="med" len="med"/>
                                </a:ln>
                              </wps:spPr>
                              <wps:bodyPr upright="1"/>
                            </wps:wsp>
                            <wps:wsp>
                              <wps:cNvPr id="126" name="直接连接符 105"/>
                              <wps:cNvCnPr/>
                              <wps:spPr>
                                <a:xfrm flipV="1">
                                  <a:off x="2370455" y="484505"/>
                                  <a:ext cx="1512000" cy="0"/>
                                </a:xfrm>
                                <a:prstGeom prst="line">
                                  <a:avLst/>
                                </a:prstGeom>
                                <a:ln w="9525" cap="flat" cmpd="sng">
                                  <a:solidFill>
                                    <a:srgbClr val="000000"/>
                                  </a:solidFill>
                                  <a:prstDash val="solid"/>
                                  <a:headEnd type="none" w="med" len="med"/>
                                  <a:tailEnd type="arrow" w="med" len="med"/>
                                </a:ln>
                              </wps:spPr>
                              <wps:bodyPr upright="1"/>
                            </wps:wsp>
                            <wps:wsp>
                              <wps:cNvPr id="127" name="直接连接符 106"/>
                              <wps:cNvCnPr/>
                              <wps:spPr>
                                <a:xfrm flipV="1">
                                  <a:off x="2408555" y="1551305"/>
                                  <a:ext cx="1476000" cy="0"/>
                                </a:xfrm>
                                <a:prstGeom prst="line">
                                  <a:avLst/>
                                </a:prstGeom>
                                <a:ln w="9525" cap="flat" cmpd="sng">
                                  <a:solidFill>
                                    <a:srgbClr val="000000"/>
                                  </a:solidFill>
                                  <a:prstDash val="solid"/>
                                  <a:headEnd type="none" w="med" len="med"/>
                                  <a:tailEnd type="arrow" w="med" len="med"/>
                                </a:ln>
                              </wps:spPr>
                              <wps:bodyPr upright="1"/>
                            </wps:wsp>
                            <wps:wsp>
                              <wps:cNvPr id="128" name="矩形 107"/>
                              <wps:cNvSpPr/>
                              <wps:spPr>
                                <a:xfrm>
                                  <a:off x="3572510" y="853440"/>
                                  <a:ext cx="654685" cy="342900"/>
                                </a:xfrm>
                                <a:prstGeom prst="rect">
                                  <a:avLst/>
                                </a:prstGeom>
                                <a:noFill/>
                                <a:ln w="9525" cap="flat" cmpd="sng">
                                  <a:solidFill>
                                    <a:srgbClr val="000000"/>
                                  </a:solidFill>
                                  <a:prstDash val="solid"/>
                                  <a:miter/>
                                  <a:headEnd type="none" w="med" len="med"/>
                                  <a:tailEnd type="none" w="med" len="med"/>
                                </a:ln>
                              </wps:spPr>
                              <wps:txbx>
                                <w:txbxContent>
                                  <w:p w14:paraId="497BC954">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化粪池</w:t>
                                    </w:r>
                                  </w:p>
                                </w:txbxContent>
                              </wps:txbx>
                              <wps:bodyPr upright="1"/>
                            </wps:wsp>
                            <wps:wsp>
                              <wps:cNvPr id="129" name="文本框 108"/>
                              <wps:cNvSpPr txBox="1"/>
                              <wps:spPr>
                                <a:xfrm>
                                  <a:off x="2839720" y="663575"/>
                                  <a:ext cx="708660" cy="279400"/>
                                </a:xfrm>
                                <a:prstGeom prst="rect">
                                  <a:avLst/>
                                </a:prstGeom>
                                <a:noFill/>
                                <a:ln>
                                  <a:noFill/>
                                </a:ln>
                              </wps:spPr>
                              <wps:txbx>
                                <w:txbxContent>
                                  <w:p w14:paraId="0E314199">
                                    <w:pPr>
                                      <w:spacing w:line="240" w:lineRule="auto"/>
                                      <w:ind w:firstLine="210" w:firstLineChars="100"/>
                                      <w:rPr>
                                        <w:rFonts w:hint="default" w:eastAsia="宋体"/>
                                        <w:sz w:val="21"/>
                                        <w:szCs w:val="21"/>
                                        <w:lang w:val="en-US" w:eastAsia="zh-CN"/>
                                      </w:rPr>
                                    </w:pPr>
                                    <w:r>
                                      <w:rPr>
                                        <w:rFonts w:hint="eastAsia"/>
                                        <w:sz w:val="21"/>
                                        <w:szCs w:val="21"/>
                                        <w:lang w:val="en-US" w:eastAsia="zh-CN"/>
                                      </w:rPr>
                                      <w:t>153.3</w:t>
                                    </w:r>
                                  </w:p>
                                </w:txbxContent>
                              </wps:txbx>
                              <wps:bodyPr upright="1"/>
                            </wps:wsp>
                            <wps:wsp>
                              <wps:cNvPr id="130" name="直接连接符 109"/>
                              <wps:cNvCnPr>
                                <a:stCxn id="122" idx="0"/>
                              </wps:cNvCnPr>
                              <wps:spPr>
                                <a:xfrm flipV="1">
                                  <a:off x="3891280" y="1164590"/>
                                  <a:ext cx="12700" cy="2444115"/>
                                </a:xfrm>
                                <a:prstGeom prst="line">
                                  <a:avLst/>
                                </a:prstGeom>
                                <a:ln w="9525" cap="flat" cmpd="sng">
                                  <a:solidFill>
                                    <a:srgbClr val="000000"/>
                                  </a:solidFill>
                                  <a:prstDash val="solid"/>
                                  <a:headEnd type="none" w="med" len="med"/>
                                  <a:tailEnd type="arrow" w="med" len="med"/>
                                </a:ln>
                              </wps:spPr>
                              <wps:bodyPr upright="1"/>
                            </wps:wsp>
                            <wps:wsp>
                              <wps:cNvPr id="131" name="直接连接符 110"/>
                              <wps:cNvCnPr/>
                              <wps:spPr>
                                <a:xfrm flipH="1">
                                  <a:off x="3898265" y="503555"/>
                                  <a:ext cx="0" cy="360044"/>
                                </a:xfrm>
                                <a:prstGeom prst="line">
                                  <a:avLst/>
                                </a:prstGeom>
                                <a:ln w="9525" cap="flat" cmpd="sng">
                                  <a:solidFill>
                                    <a:srgbClr val="000000"/>
                                  </a:solidFill>
                                  <a:prstDash val="solid"/>
                                  <a:headEnd type="none" w="med" len="med"/>
                                  <a:tailEnd type="arrow" w="med" len="med"/>
                                </a:ln>
                              </wps:spPr>
                              <wps:bodyPr upright="1"/>
                            </wps:wsp>
                            <wps:wsp>
                              <wps:cNvPr id="132" name="直接连接符 111"/>
                              <wps:cNvCnPr/>
                              <wps:spPr>
                                <a:xfrm flipV="1">
                                  <a:off x="4275455" y="1017905"/>
                                  <a:ext cx="396000" cy="0"/>
                                </a:xfrm>
                                <a:prstGeom prst="line">
                                  <a:avLst/>
                                </a:prstGeom>
                                <a:ln w="9525" cap="flat" cmpd="sng">
                                  <a:solidFill>
                                    <a:srgbClr val="000000"/>
                                  </a:solidFill>
                                  <a:prstDash val="solid"/>
                                  <a:headEnd type="none" w="med" len="med"/>
                                  <a:tailEnd type="arrow" w="med" len="med"/>
                                </a:ln>
                              </wps:spPr>
                              <wps:bodyPr upright="1"/>
                            </wps:wsp>
                            <wps:wsp>
                              <wps:cNvPr id="133" name="矩形 112"/>
                              <wps:cNvSpPr/>
                              <wps:spPr>
                                <a:xfrm>
                                  <a:off x="4704080" y="494030"/>
                                  <a:ext cx="317500" cy="1090930"/>
                                </a:xfrm>
                                <a:prstGeom prst="rect">
                                  <a:avLst/>
                                </a:prstGeom>
                                <a:noFill/>
                                <a:ln w="9525" cap="flat" cmpd="sng">
                                  <a:solidFill>
                                    <a:srgbClr val="000000"/>
                                  </a:solidFill>
                                  <a:prstDash val="solid"/>
                                  <a:miter/>
                                  <a:headEnd type="none" w="med" len="med"/>
                                  <a:tailEnd type="none" w="med" len="med"/>
                                </a:ln>
                              </wps:spPr>
                              <wps:txbx>
                                <w:txbxContent>
                                  <w:p w14:paraId="5F5081F4">
                                    <w:pPr>
                                      <w:spacing w:line="240" w:lineRule="auto"/>
                                      <w:rPr>
                                        <w:rFonts w:hint="default" w:eastAsia="宋体"/>
                                        <w:lang w:val="en-US" w:eastAsia="zh-CN"/>
                                      </w:rPr>
                                    </w:pPr>
                                    <w:r>
                                      <w:rPr>
                                        <w:rFonts w:hint="eastAsia" w:eastAsia="宋体"/>
                                        <w:lang w:val="en-US" w:eastAsia="zh-CN"/>
                                      </w:rPr>
                                      <w:t>废水处理站</w:t>
                                    </w:r>
                                  </w:p>
                                </w:txbxContent>
                              </wps:txbx>
                              <wps:bodyPr upright="1"/>
                            </wps:wsp>
                            <wps:wsp>
                              <wps:cNvPr id="134" name="直接连接符 113"/>
                              <wps:cNvCnPr/>
                              <wps:spPr>
                                <a:xfrm flipH="1">
                                  <a:off x="4875530" y="1608456"/>
                                  <a:ext cx="0" cy="355599"/>
                                </a:xfrm>
                                <a:prstGeom prst="line">
                                  <a:avLst/>
                                </a:prstGeom>
                                <a:ln w="9525" cap="flat" cmpd="sng">
                                  <a:solidFill>
                                    <a:srgbClr val="000000"/>
                                  </a:solidFill>
                                  <a:prstDash val="solid"/>
                                  <a:headEnd type="none" w="med" len="med"/>
                                  <a:tailEnd type="arrow" w="med" len="med"/>
                                </a:ln>
                              </wps:spPr>
                              <wps:bodyPr upright="1"/>
                            </wps:wsp>
                            <wps:wsp>
                              <wps:cNvPr id="135" name="矩形 114"/>
                              <wps:cNvSpPr/>
                              <wps:spPr>
                                <a:xfrm>
                                  <a:off x="4727575" y="1957705"/>
                                  <a:ext cx="317500" cy="514350"/>
                                </a:xfrm>
                                <a:prstGeom prst="rect">
                                  <a:avLst/>
                                </a:prstGeom>
                                <a:noFill/>
                                <a:ln w="9525" cap="flat" cmpd="sng">
                                  <a:solidFill>
                                    <a:srgbClr val="000000"/>
                                  </a:solidFill>
                                  <a:prstDash val="solid"/>
                                  <a:miter/>
                                  <a:headEnd type="none" w="med" len="med"/>
                                  <a:tailEnd type="none" w="med" len="med"/>
                                </a:ln>
                              </wps:spPr>
                              <wps:txbx>
                                <w:txbxContent>
                                  <w:p w14:paraId="740CB4F5">
                                    <w:pPr>
                                      <w:spacing w:line="240" w:lineRule="auto"/>
                                      <w:jc w:val="center"/>
                                      <w:rPr>
                                        <w:rFonts w:hint="default" w:eastAsia="宋体"/>
                                        <w:lang w:val="en-US" w:eastAsia="zh-CN"/>
                                      </w:rPr>
                                    </w:pPr>
                                    <w:r>
                                      <w:rPr>
                                        <w:rFonts w:hint="eastAsia" w:eastAsia="宋体"/>
                                        <w:lang w:val="en-US" w:eastAsia="zh-CN"/>
                                      </w:rPr>
                                      <w:t>洣水</w:t>
                                    </w:r>
                                  </w:p>
                                </w:txbxContent>
                              </wps:txbx>
                              <wps:bodyPr upright="1"/>
                            </wps:wsp>
                            <wps:wsp>
                              <wps:cNvPr id="136" name="文本框 115"/>
                              <wps:cNvSpPr txBox="1"/>
                              <wps:spPr>
                                <a:xfrm>
                                  <a:off x="3068320" y="1236980"/>
                                  <a:ext cx="575310" cy="279400"/>
                                </a:xfrm>
                                <a:prstGeom prst="rect">
                                  <a:avLst/>
                                </a:prstGeom>
                                <a:noFill/>
                                <a:ln>
                                  <a:noFill/>
                                </a:ln>
                              </wps:spPr>
                              <wps:txbx>
                                <w:txbxContent>
                                  <w:p w14:paraId="587B012C">
                                    <w:pPr>
                                      <w:spacing w:line="240" w:lineRule="auto"/>
                                      <w:rPr>
                                        <w:rFonts w:hint="default" w:eastAsia="宋体"/>
                                        <w:sz w:val="21"/>
                                        <w:szCs w:val="21"/>
                                        <w:lang w:val="en-US" w:eastAsia="zh-CN"/>
                                      </w:rPr>
                                    </w:pPr>
                                    <w:r>
                                      <w:rPr>
                                        <w:rFonts w:hint="eastAsia"/>
                                        <w:sz w:val="21"/>
                                        <w:szCs w:val="21"/>
                                        <w:lang w:val="en-US" w:eastAsia="zh-CN"/>
                                      </w:rPr>
                                      <w:t>341.64</w:t>
                                    </w:r>
                                  </w:p>
                                </w:txbxContent>
                              </wps:txbx>
                              <wps:bodyPr upright="1"/>
                            </wps:wsp>
                            <wps:wsp>
                              <wps:cNvPr id="137" name="文本框 116"/>
                              <wps:cNvSpPr txBox="1"/>
                              <wps:spPr>
                                <a:xfrm>
                                  <a:off x="3039745" y="189230"/>
                                  <a:ext cx="546735" cy="279400"/>
                                </a:xfrm>
                                <a:prstGeom prst="rect">
                                  <a:avLst/>
                                </a:prstGeom>
                                <a:noFill/>
                                <a:ln>
                                  <a:noFill/>
                                </a:ln>
                              </wps:spPr>
                              <wps:txbx>
                                <w:txbxContent>
                                  <w:p w14:paraId="0C8C1E67">
                                    <w:pPr>
                                      <w:spacing w:line="240" w:lineRule="auto"/>
                                      <w:rPr>
                                        <w:rFonts w:hint="default" w:eastAsia="宋体"/>
                                        <w:sz w:val="21"/>
                                        <w:szCs w:val="21"/>
                                        <w:lang w:val="en-US" w:eastAsia="zh-CN"/>
                                      </w:rPr>
                                    </w:pPr>
                                    <w:r>
                                      <w:rPr>
                                        <w:rFonts w:hint="eastAsia"/>
                                        <w:sz w:val="21"/>
                                        <w:szCs w:val="21"/>
                                        <w:lang w:val="en-US" w:eastAsia="zh-CN"/>
                                      </w:rPr>
                                      <w:t>2190</w:t>
                                    </w:r>
                                  </w:p>
                                </w:txbxContent>
                              </wps:txbx>
                              <wps:bodyPr upright="1"/>
                            </wps:wsp>
                            <wps:wsp>
                              <wps:cNvPr id="138" name="文本框 117"/>
                              <wps:cNvSpPr txBox="1"/>
                              <wps:spPr>
                                <a:xfrm>
                                  <a:off x="3075305" y="1770380"/>
                                  <a:ext cx="528320" cy="279400"/>
                                </a:xfrm>
                                <a:prstGeom prst="rect">
                                  <a:avLst/>
                                </a:prstGeom>
                                <a:noFill/>
                                <a:ln>
                                  <a:noFill/>
                                </a:ln>
                              </wps:spPr>
                              <wps:txbx>
                                <w:txbxContent>
                                  <w:p w14:paraId="3E089E73">
                                    <w:pPr>
                                      <w:spacing w:line="240" w:lineRule="auto"/>
                                      <w:rPr>
                                        <w:rFonts w:hint="default" w:eastAsia="宋体"/>
                                        <w:sz w:val="21"/>
                                        <w:szCs w:val="21"/>
                                        <w:lang w:val="en-US" w:eastAsia="zh-CN"/>
                                      </w:rPr>
                                    </w:pPr>
                                    <w:r>
                                      <w:rPr>
                                        <w:rFonts w:hint="eastAsia"/>
                                        <w:sz w:val="21"/>
                                        <w:szCs w:val="21"/>
                                        <w:lang w:val="en-US" w:eastAsia="zh-CN"/>
                                      </w:rPr>
                                      <w:t>0.000</w:t>
                                    </w:r>
                                  </w:p>
                                </w:txbxContent>
                              </wps:txbx>
                              <wps:bodyPr upright="1"/>
                            </wps:wsp>
                            <wps:wsp>
                              <wps:cNvPr id="139" name="文本框 118"/>
                              <wps:cNvSpPr txBox="1"/>
                              <wps:spPr>
                                <a:xfrm>
                                  <a:off x="3067685" y="2339975"/>
                                  <a:ext cx="684530" cy="279400"/>
                                </a:xfrm>
                                <a:prstGeom prst="rect">
                                  <a:avLst/>
                                </a:prstGeom>
                                <a:noFill/>
                                <a:ln>
                                  <a:noFill/>
                                </a:ln>
                              </wps:spPr>
                              <wps:txbx>
                                <w:txbxContent>
                                  <w:p w14:paraId="2B8C943C">
                                    <w:pPr>
                                      <w:spacing w:line="240" w:lineRule="auto"/>
                                      <w:rPr>
                                        <w:rFonts w:hint="default" w:eastAsia="宋体"/>
                                        <w:sz w:val="21"/>
                                        <w:szCs w:val="21"/>
                                        <w:lang w:val="en-US" w:eastAsia="zh-CN"/>
                                      </w:rPr>
                                    </w:pPr>
                                    <w:r>
                                      <w:rPr>
                                        <w:rFonts w:hint="eastAsia"/>
                                        <w:sz w:val="21"/>
                                        <w:szCs w:val="21"/>
                                        <w:lang w:val="en-US" w:eastAsia="zh-CN"/>
                                      </w:rPr>
                                      <w:t>189.21</w:t>
                                    </w:r>
                                  </w:p>
                                </w:txbxContent>
                              </wps:txbx>
                              <wps:bodyPr upright="1"/>
                            </wps:wsp>
                            <wps:wsp>
                              <wps:cNvPr id="140" name="文本框 119"/>
                              <wps:cNvSpPr txBox="1"/>
                              <wps:spPr>
                                <a:xfrm>
                                  <a:off x="3141980" y="2884805"/>
                                  <a:ext cx="536575" cy="279400"/>
                                </a:xfrm>
                                <a:prstGeom prst="rect">
                                  <a:avLst/>
                                </a:prstGeom>
                                <a:noFill/>
                                <a:ln>
                                  <a:noFill/>
                                </a:ln>
                              </wps:spPr>
                              <wps:txbx>
                                <w:txbxContent>
                                  <w:p w14:paraId="74E045B0">
                                    <w:pPr>
                                      <w:spacing w:line="240" w:lineRule="auto"/>
                                      <w:rPr>
                                        <w:rFonts w:hint="default" w:eastAsia="宋体"/>
                                        <w:sz w:val="21"/>
                                        <w:szCs w:val="21"/>
                                        <w:lang w:val="en-US" w:eastAsia="zh-CN"/>
                                      </w:rPr>
                                    </w:pPr>
                                    <w:r>
                                      <w:rPr>
                                        <w:rFonts w:hint="eastAsia"/>
                                        <w:sz w:val="21"/>
                                        <w:szCs w:val="21"/>
                                        <w:lang w:val="en-US" w:eastAsia="zh-CN"/>
                                      </w:rPr>
                                      <w:t>525.6</w:t>
                                    </w:r>
                                  </w:p>
                                </w:txbxContent>
                              </wps:txbx>
                              <wps:bodyPr upright="1"/>
                            </wps:wsp>
                            <wps:wsp>
                              <wps:cNvPr id="141" name="文本框 120"/>
                              <wps:cNvSpPr txBox="1"/>
                              <wps:spPr>
                                <a:xfrm>
                                  <a:off x="4324985" y="1622425"/>
                                  <a:ext cx="734695" cy="279400"/>
                                </a:xfrm>
                                <a:prstGeom prst="rect">
                                  <a:avLst/>
                                </a:prstGeom>
                                <a:noFill/>
                                <a:ln>
                                  <a:noFill/>
                                </a:ln>
                              </wps:spPr>
                              <wps:txbx>
                                <w:txbxContent>
                                  <w:p w14:paraId="54C3272E">
                                    <w:pPr>
                                      <w:spacing w:line="240" w:lineRule="auto"/>
                                      <w:rPr>
                                        <w:rFonts w:hint="default" w:eastAsia="宋体"/>
                                        <w:sz w:val="21"/>
                                        <w:szCs w:val="21"/>
                                        <w:lang w:val="en-US" w:eastAsia="zh-CN"/>
                                      </w:rPr>
                                    </w:pPr>
                                    <w:r>
                                      <w:rPr>
                                        <w:rFonts w:hint="eastAsia"/>
                                        <w:sz w:val="21"/>
                                        <w:szCs w:val="21"/>
                                        <w:lang w:val="en-US" w:eastAsia="zh-CN"/>
                                      </w:rPr>
                                      <w:t>3724.45</w:t>
                                    </w:r>
                                  </w:p>
                                </w:txbxContent>
                              </wps:txbx>
                              <wps:bodyPr upright="1"/>
                            </wps:wsp>
                            <wps:wsp>
                              <wps:cNvPr id="142" name="文本框 122"/>
                              <wps:cNvSpPr txBox="1"/>
                              <wps:spPr>
                                <a:xfrm>
                                  <a:off x="351790" y="1004570"/>
                                  <a:ext cx="782955" cy="300990"/>
                                </a:xfrm>
                                <a:prstGeom prst="rect">
                                  <a:avLst/>
                                </a:prstGeom>
                                <a:noFill/>
                                <a:ln>
                                  <a:noFill/>
                                </a:ln>
                              </wps:spPr>
                              <wps:txbx>
                                <w:txbxContent>
                                  <w:p w14:paraId="4910D9F0">
                                    <w:pPr>
                                      <w:spacing w:line="240" w:lineRule="auto"/>
                                      <w:rPr>
                                        <w:rFonts w:hint="default" w:eastAsia="宋体"/>
                                        <w:sz w:val="21"/>
                                        <w:szCs w:val="21"/>
                                        <w:lang w:val="en-US" w:eastAsia="zh-CN"/>
                                      </w:rPr>
                                    </w:pPr>
                                    <w:r>
                                      <w:rPr>
                                        <w:rFonts w:hint="eastAsia"/>
                                        <w:sz w:val="21"/>
                                        <w:szCs w:val="21"/>
                                        <w:lang w:val="en-US" w:eastAsia="zh-CN"/>
                                      </w:rPr>
                                      <w:t>4656.66</w:t>
                                    </w:r>
                                  </w:p>
                                </w:txbxContent>
                              </wps:txbx>
                              <wps:bodyPr upright="1"/>
                            </wps:wsp>
                            <wps:wsp>
                              <wps:cNvPr id="143" name="文本框 123"/>
                              <wps:cNvSpPr txBox="1"/>
                              <wps:spPr>
                                <a:xfrm>
                                  <a:off x="830580" y="160020"/>
                                  <a:ext cx="556895" cy="266700"/>
                                </a:xfrm>
                                <a:prstGeom prst="rect">
                                  <a:avLst/>
                                </a:prstGeom>
                                <a:noFill/>
                                <a:ln>
                                  <a:solidFill>
                                    <a:schemeClr val="tx1"/>
                                  </a:solidFill>
                                </a:ln>
                              </wps:spPr>
                              <wps:txbx>
                                <w:txbxContent>
                                  <w:p w14:paraId="6BA71304">
                                    <w:pPr>
                                      <w:spacing w:line="240" w:lineRule="auto"/>
                                      <w:rPr>
                                        <w:rFonts w:hint="default" w:eastAsia="宋体"/>
                                        <w:sz w:val="21"/>
                                        <w:szCs w:val="21"/>
                                        <w:lang w:val="en-US" w:eastAsia="zh-CN"/>
                                      </w:rPr>
                                    </w:pPr>
                                    <w:r>
                                      <w:rPr>
                                        <w:rFonts w:hint="eastAsia"/>
                                        <w:sz w:val="21"/>
                                        <w:szCs w:val="21"/>
                                        <w:lang w:val="en-US" w:eastAsia="zh-CN"/>
                                      </w:rPr>
                                      <w:t>2737.5</w:t>
                                    </w:r>
                                  </w:p>
                                </w:txbxContent>
                              </wps:txbx>
                              <wps:bodyPr upright="1"/>
                            </wps:wsp>
                            <wps:wsp>
                              <wps:cNvPr id="144" name="文本框 133"/>
                              <wps:cNvSpPr txBox="1"/>
                              <wps:spPr>
                                <a:xfrm>
                                  <a:off x="906145" y="666115"/>
                                  <a:ext cx="694055" cy="309245"/>
                                </a:xfrm>
                                <a:prstGeom prst="rect">
                                  <a:avLst/>
                                </a:prstGeom>
                                <a:noFill/>
                                <a:ln>
                                  <a:noFill/>
                                </a:ln>
                              </wps:spPr>
                              <wps:txbx>
                                <w:txbxContent>
                                  <w:p w14:paraId="2FD0D0E6">
                                    <w:pPr>
                                      <w:spacing w:line="240" w:lineRule="auto"/>
                                      <w:rPr>
                                        <w:rFonts w:hint="default" w:eastAsia="宋体"/>
                                        <w:sz w:val="21"/>
                                        <w:szCs w:val="21"/>
                                        <w:lang w:val="en-US" w:eastAsia="zh-CN"/>
                                      </w:rPr>
                                    </w:pPr>
                                    <w:r>
                                      <w:rPr>
                                        <w:rFonts w:hint="eastAsia"/>
                                        <w:sz w:val="21"/>
                                        <w:szCs w:val="21"/>
                                        <w:lang w:val="en-US" w:eastAsia="zh-CN"/>
                                      </w:rPr>
                                      <w:t>191.625</w:t>
                                    </w:r>
                                  </w:p>
                                </w:txbxContent>
                              </wps:txbx>
                              <wps:bodyPr upright="1"/>
                            </wps:wsp>
                            <wps:wsp>
                              <wps:cNvPr id="145" name="文本框 154"/>
                              <wps:cNvSpPr txBox="1"/>
                              <wps:spPr>
                                <a:xfrm>
                                  <a:off x="895985" y="1279525"/>
                                  <a:ext cx="675640" cy="309245"/>
                                </a:xfrm>
                                <a:prstGeom prst="rect">
                                  <a:avLst/>
                                </a:prstGeom>
                                <a:noFill/>
                                <a:ln>
                                  <a:noFill/>
                                </a:ln>
                              </wps:spPr>
                              <wps:txbx>
                                <w:txbxContent>
                                  <w:p w14:paraId="2C508183">
                                    <w:pPr>
                                      <w:spacing w:line="240" w:lineRule="auto"/>
                                      <w:rPr>
                                        <w:rFonts w:hint="default" w:eastAsia="宋体"/>
                                        <w:sz w:val="21"/>
                                        <w:szCs w:val="21"/>
                                        <w:lang w:val="en-US" w:eastAsia="zh-CN"/>
                                      </w:rPr>
                                    </w:pPr>
                                    <w:r>
                                      <w:rPr>
                                        <w:rFonts w:hint="eastAsia"/>
                                        <w:sz w:val="21"/>
                                        <w:szCs w:val="21"/>
                                        <w:lang w:val="en-US" w:eastAsia="zh-CN"/>
                                      </w:rPr>
                                      <w:t>427.05</w:t>
                                    </w:r>
                                  </w:p>
                                </w:txbxContent>
                              </wps:txbx>
                              <wps:bodyPr upright="1"/>
                            </wps:wsp>
                            <wps:wsp>
                              <wps:cNvPr id="146" name="文本框 155"/>
                              <wps:cNvSpPr txBox="1"/>
                              <wps:spPr>
                                <a:xfrm>
                                  <a:off x="952500" y="1841500"/>
                                  <a:ext cx="527050" cy="309245"/>
                                </a:xfrm>
                                <a:prstGeom prst="rect">
                                  <a:avLst/>
                                </a:prstGeom>
                                <a:noFill/>
                                <a:ln>
                                  <a:noFill/>
                                </a:ln>
                              </wps:spPr>
                              <wps:txbx>
                                <w:txbxContent>
                                  <w:p w14:paraId="04503CCD">
                                    <w:pPr>
                                      <w:spacing w:line="240" w:lineRule="auto"/>
                                      <w:rPr>
                                        <w:rFonts w:hint="default" w:eastAsia="宋体"/>
                                        <w:sz w:val="21"/>
                                        <w:szCs w:val="21"/>
                                        <w:lang w:val="en-US" w:eastAsia="zh-CN"/>
                                      </w:rPr>
                                    </w:pPr>
                                    <w:r>
                                      <w:rPr>
                                        <w:rFonts w:hint="eastAsia"/>
                                        <w:sz w:val="21"/>
                                        <w:szCs w:val="21"/>
                                        <w:lang w:val="en-US" w:eastAsia="zh-CN"/>
                                      </w:rPr>
                                      <w:t>0.00</w:t>
                                    </w:r>
                                  </w:p>
                                </w:txbxContent>
                              </wps:txbx>
                              <wps:bodyPr upright="1"/>
                            </wps:wsp>
                            <wps:wsp>
                              <wps:cNvPr id="147" name="文本框 156"/>
                              <wps:cNvSpPr txBox="1"/>
                              <wps:spPr>
                                <a:xfrm>
                                  <a:off x="907415" y="2303145"/>
                                  <a:ext cx="664845" cy="309245"/>
                                </a:xfrm>
                                <a:prstGeom prst="rect">
                                  <a:avLst/>
                                </a:prstGeom>
                                <a:noFill/>
                                <a:ln>
                                  <a:noFill/>
                                </a:ln>
                              </wps:spPr>
                              <wps:txbx>
                                <w:txbxContent>
                                  <w:p w14:paraId="5233924F">
                                    <w:pPr>
                                      <w:spacing w:line="240" w:lineRule="auto"/>
                                      <w:rPr>
                                        <w:rFonts w:hint="default" w:eastAsia="宋体"/>
                                        <w:sz w:val="21"/>
                                        <w:szCs w:val="21"/>
                                        <w:lang w:val="en-US" w:eastAsia="zh-CN"/>
                                      </w:rPr>
                                    </w:pPr>
                                    <w:r>
                                      <w:rPr>
                                        <w:rFonts w:hint="eastAsia"/>
                                        <w:sz w:val="21"/>
                                        <w:szCs w:val="21"/>
                                        <w:lang w:val="en-US" w:eastAsia="zh-CN"/>
                                      </w:rPr>
                                      <w:t>236.507</w:t>
                                    </w:r>
                                  </w:p>
                                </w:txbxContent>
                              </wps:txbx>
                              <wps:bodyPr upright="1"/>
                            </wps:wsp>
                            <wps:wsp>
                              <wps:cNvPr id="148" name="文本框 157"/>
                              <wps:cNvSpPr txBox="1"/>
                              <wps:spPr>
                                <a:xfrm>
                                  <a:off x="983615" y="2962910"/>
                                  <a:ext cx="527050" cy="309245"/>
                                </a:xfrm>
                                <a:prstGeom prst="rect">
                                  <a:avLst/>
                                </a:prstGeom>
                                <a:noFill/>
                                <a:ln>
                                  <a:noFill/>
                                </a:ln>
                              </wps:spPr>
                              <wps:txbx>
                                <w:txbxContent>
                                  <w:p w14:paraId="2BC3898C">
                                    <w:pPr>
                                      <w:spacing w:line="240" w:lineRule="auto"/>
                                      <w:rPr>
                                        <w:rFonts w:hint="default" w:eastAsia="宋体"/>
                                        <w:sz w:val="21"/>
                                        <w:szCs w:val="21"/>
                                        <w:lang w:val="en-US" w:eastAsia="zh-CN"/>
                                      </w:rPr>
                                    </w:pPr>
                                    <w:r>
                                      <w:rPr>
                                        <w:rFonts w:hint="eastAsia"/>
                                        <w:sz w:val="21"/>
                                        <w:szCs w:val="21"/>
                                        <w:lang w:val="en-US" w:eastAsia="zh-CN"/>
                                      </w:rPr>
                                      <w:t>657</w:t>
                                    </w:r>
                                  </w:p>
                                </w:txbxContent>
                              </wps:txbx>
                              <wps:bodyPr upright="1"/>
                            </wps:wsp>
                            <wps:wsp>
                              <wps:cNvPr id="149" name="文本框 158"/>
                              <wps:cNvSpPr txBox="1"/>
                              <wps:spPr>
                                <a:xfrm>
                                  <a:off x="963295" y="3503295"/>
                                  <a:ext cx="527050" cy="309245"/>
                                </a:xfrm>
                                <a:prstGeom prst="rect">
                                  <a:avLst/>
                                </a:prstGeom>
                                <a:noFill/>
                                <a:ln>
                                  <a:noFill/>
                                </a:ln>
                              </wps:spPr>
                              <wps:txbx>
                                <w:txbxContent>
                                  <w:p w14:paraId="45650FFF">
                                    <w:pPr>
                                      <w:spacing w:line="240" w:lineRule="auto"/>
                                      <w:rPr>
                                        <w:rFonts w:hint="default" w:eastAsia="宋体"/>
                                        <w:sz w:val="21"/>
                                        <w:szCs w:val="21"/>
                                        <w:lang w:val="en-US" w:eastAsia="zh-CN"/>
                                      </w:rPr>
                                    </w:pPr>
                                    <w:r>
                                      <w:rPr>
                                        <w:rFonts w:hint="eastAsia"/>
                                        <w:sz w:val="21"/>
                                        <w:szCs w:val="21"/>
                                        <w:lang w:val="en-US" w:eastAsia="zh-CN"/>
                                      </w:rPr>
                                      <w:t>401.5</w:t>
                                    </w:r>
                                  </w:p>
                                </w:txbxContent>
                              </wps:txbx>
                              <wps:bodyPr upright="1"/>
                            </wps:wsp>
                            <wps:wsp>
                              <wps:cNvPr id="14" name="直接箭头连接符 14"/>
                              <wps:cNvCnPr/>
                              <wps:spPr>
                                <a:xfrm>
                                  <a:off x="997585" y="4253230"/>
                                  <a:ext cx="409575" cy="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wps:wsp>
                              <wps:cNvPr id="64" name="文本框 158"/>
                              <wps:cNvSpPr txBox="1"/>
                              <wps:spPr>
                                <a:xfrm>
                                  <a:off x="989330" y="3979545"/>
                                  <a:ext cx="527050" cy="309245"/>
                                </a:xfrm>
                                <a:prstGeom prst="rect">
                                  <a:avLst/>
                                </a:prstGeom>
                                <a:noFill/>
                                <a:ln>
                                  <a:noFill/>
                                </a:ln>
                              </wps:spPr>
                              <wps:txbx>
                                <w:txbxContent>
                                  <w:p w14:paraId="03768C6A">
                                    <w:pPr>
                                      <w:spacing w:line="240" w:lineRule="auto"/>
                                      <w:rPr>
                                        <w:rFonts w:hint="default" w:eastAsia="宋体"/>
                                        <w:sz w:val="21"/>
                                        <w:szCs w:val="21"/>
                                        <w:lang w:val="en-US" w:eastAsia="zh-CN"/>
                                      </w:rPr>
                                    </w:pPr>
                                    <w:r>
                                      <w:rPr>
                                        <w:rFonts w:hint="eastAsia"/>
                                        <w:sz w:val="21"/>
                                        <w:szCs w:val="21"/>
                                        <w:lang w:val="en-US" w:eastAsia="zh-CN"/>
                                      </w:rPr>
                                      <w:t>5.475</w:t>
                                    </w:r>
                                  </w:p>
                                </w:txbxContent>
                              </wps:txbx>
                              <wps:bodyPr upright="1"/>
                            </wps:wsp>
                            <wps:wsp>
                              <wps:cNvPr id="65" name="矩形 87"/>
                              <wps:cNvSpPr/>
                              <wps:spPr>
                                <a:xfrm>
                                  <a:off x="1459865" y="415353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54B582">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检验室</w:t>
                                    </w:r>
                                  </w:p>
                                </w:txbxContent>
                              </wps:txbx>
                              <wps:bodyPr upright="1"/>
                            </wps:wsp>
                            <wps:wsp>
                              <wps:cNvPr id="68" name="曲线连接符 92"/>
                              <wps:cNvCnPr/>
                              <wps:spPr>
                                <a:xfrm flipV="1">
                                  <a:off x="2136140" y="403098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83" name="文本框 95"/>
                              <wps:cNvSpPr txBox="1"/>
                              <wps:spPr>
                                <a:xfrm>
                                  <a:off x="2412365" y="3867150"/>
                                  <a:ext cx="539750" cy="279400"/>
                                </a:xfrm>
                                <a:prstGeom prst="rect">
                                  <a:avLst/>
                                </a:prstGeom>
                                <a:noFill/>
                                <a:ln>
                                  <a:noFill/>
                                </a:ln>
                              </wps:spPr>
                              <wps:txbx>
                                <w:txbxContent>
                                  <w:p w14:paraId="4C102987">
                                    <w:pPr>
                                      <w:spacing w:line="240" w:lineRule="auto"/>
                                      <w:rPr>
                                        <w:rFonts w:hint="default" w:eastAsia="宋体"/>
                                        <w:sz w:val="21"/>
                                        <w:szCs w:val="21"/>
                                        <w:lang w:val="en-US" w:eastAsia="zh-CN"/>
                                      </w:rPr>
                                    </w:pPr>
                                    <w:r>
                                      <w:rPr>
                                        <w:rFonts w:hint="eastAsia"/>
                                        <w:sz w:val="21"/>
                                        <w:szCs w:val="21"/>
                                        <w:lang w:val="en-US" w:eastAsia="zh-CN"/>
                                      </w:rPr>
                                      <w:t>1.095</w:t>
                                    </w:r>
                                  </w:p>
                                </w:txbxContent>
                              </wps:txbx>
                              <wps:bodyPr upright="1"/>
                            </wps:wsp>
                            <wps:wsp>
                              <wps:cNvPr id="85" name="直接箭头连接符 85"/>
                              <wps:cNvCnPr>
                                <a:stCxn id="65" idx="3"/>
                              </wps:cNvCnPr>
                              <wps:spPr>
                                <a:xfrm>
                                  <a:off x="2386965" y="4330700"/>
                                  <a:ext cx="1241425" cy="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wps:wsp>
                              <wps:cNvPr id="86" name="文本框 95"/>
                              <wps:cNvSpPr txBox="1"/>
                              <wps:spPr>
                                <a:xfrm>
                                  <a:off x="3001645" y="4358640"/>
                                  <a:ext cx="539750" cy="279400"/>
                                </a:xfrm>
                                <a:prstGeom prst="rect">
                                  <a:avLst/>
                                </a:prstGeom>
                                <a:noFill/>
                                <a:ln>
                                  <a:noFill/>
                                </a:ln>
                              </wps:spPr>
                              <wps:txbx>
                                <w:txbxContent>
                                  <w:p w14:paraId="0FFAD397">
                                    <w:pPr>
                                      <w:spacing w:line="240" w:lineRule="auto"/>
                                      <w:rPr>
                                        <w:rFonts w:hint="default" w:eastAsia="宋体"/>
                                        <w:sz w:val="21"/>
                                        <w:szCs w:val="21"/>
                                        <w:lang w:val="en-US" w:eastAsia="zh-CN"/>
                                      </w:rPr>
                                    </w:pPr>
                                    <w:r>
                                      <w:rPr>
                                        <w:rFonts w:hint="eastAsia"/>
                                        <w:sz w:val="21"/>
                                        <w:szCs w:val="21"/>
                                        <w:lang w:val="en-US" w:eastAsia="zh-CN"/>
                                      </w:rPr>
                                      <w:t>0.876</w:t>
                                    </w:r>
                                  </w:p>
                                </w:txbxContent>
                              </wps:txbx>
                              <wps:bodyPr upright="1"/>
                            </wps:wsp>
                            <wps:wsp>
                              <wps:cNvPr id="150" name="文本框 150"/>
                              <wps:cNvSpPr txBox="1"/>
                              <wps:spPr>
                                <a:xfrm>
                                  <a:off x="3648710" y="4239260"/>
                                  <a:ext cx="738505" cy="468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595608">
                                    <w:pPr>
                                      <w:rPr>
                                        <w:rFonts w:hint="default" w:eastAsia="宋体"/>
                                        <w:sz w:val="18"/>
                                        <w:szCs w:val="18"/>
                                        <w:lang w:val="en-US" w:eastAsia="zh-CN"/>
                                        <w14:textOutline w14:w="9525">
                                          <w14:solidFill>
                                            <w14:srgbClr w14:val="000000"/>
                                          </w14:solidFill>
                                          <w14:round/>
                                        </w14:textOutline>
                                      </w:rPr>
                                    </w:pPr>
                                    <w:r>
                                      <w:rPr>
                                        <w:rFonts w:hint="eastAsia" w:ascii="Times New Roman" w:hAnsi="Times New Roman" w:eastAsia="宋体" w:cs="Times New Roman"/>
                                        <w:sz w:val="18"/>
                                        <w:szCs w:val="18"/>
                                        <w:lang w:val="en-US" w:eastAsia="zh-CN"/>
                                      </w:rPr>
                                      <w:t>单独收集做危废处</w:t>
                                    </w:r>
                                    <w:r>
                                      <w:rPr>
                                        <w:rFonts w:hint="eastAsia" w:eastAsia="宋体" w:cs="Times New Roman"/>
                                        <w:sz w:val="18"/>
                                        <w:szCs w:val="18"/>
                                        <w:lang w:val="en-US" w:eastAsia="zh-CN"/>
                                      </w:rPr>
                                      <w:t>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5" name="直接箭头连接符 155"/>
                              <wps:cNvCnPr/>
                              <wps:spPr>
                                <a:xfrm flipV="1">
                                  <a:off x="2672080" y="4084320"/>
                                  <a:ext cx="179070" cy="25781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wps:wsp>
                              <wps:cNvPr id="156" name="直接箭头连接符 156"/>
                              <wps:cNvCnPr/>
                              <wps:spPr>
                                <a:xfrm>
                                  <a:off x="2860675" y="4114165"/>
                                  <a:ext cx="1577975" cy="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wps:wsp>
                              <wps:cNvPr id="157" name="直接箭头连接符 157"/>
                              <wps:cNvCnPr/>
                              <wps:spPr>
                                <a:xfrm flipV="1">
                                  <a:off x="4438650" y="2724785"/>
                                  <a:ext cx="0" cy="1398905"/>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wps:wsp>
                              <wps:cNvPr id="158" name="直接箭头连接符 158"/>
                              <wps:cNvCnPr>
                                <a:endCxn id="128" idx="2"/>
                              </wps:cNvCnPr>
                              <wps:spPr>
                                <a:xfrm flipH="1" flipV="1">
                                  <a:off x="3900170" y="1196340"/>
                                  <a:ext cx="538480" cy="156845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wps:wsp>
                              <wps:cNvPr id="159" name="文本框 95"/>
                              <wps:cNvSpPr txBox="1"/>
                              <wps:spPr>
                                <a:xfrm>
                                  <a:off x="2937510" y="3880485"/>
                                  <a:ext cx="539750" cy="279400"/>
                                </a:xfrm>
                                <a:prstGeom prst="rect">
                                  <a:avLst/>
                                </a:prstGeom>
                                <a:noFill/>
                                <a:ln>
                                  <a:noFill/>
                                </a:ln>
                              </wps:spPr>
                              <wps:txbx>
                                <w:txbxContent>
                                  <w:p w14:paraId="06AEA2D7">
                                    <w:pPr>
                                      <w:spacing w:line="240" w:lineRule="auto"/>
                                      <w:rPr>
                                        <w:rFonts w:hint="default" w:eastAsia="宋体"/>
                                        <w:sz w:val="21"/>
                                        <w:szCs w:val="21"/>
                                        <w:lang w:val="en-US" w:eastAsia="zh-CN"/>
                                      </w:rPr>
                                    </w:pPr>
                                    <w:r>
                                      <w:rPr>
                                        <w:rFonts w:hint="eastAsia"/>
                                        <w:sz w:val="21"/>
                                        <w:szCs w:val="21"/>
                                        <w:lang w:val="en-US" w:eastAsia="zh-CN"/>
                                      </w:rPr>
                                      <w:t>3.504</w:t>
                                    </w:r>
                                  </w:p>
                                </w:txbxContent>
                              </wps:txbx>
                              <wps:bodyPr upright="1"/>
                            </wps:wsp>
                            <wps:wsp>
                              <wps:cNvPr id="160" name="文本框 160"/>
                              <wps:cNvSpPr txBox="1"/>
                              <wps:spPr>
                                <a:xfrm>
                                  <a:off x="4165600" y="0"/>
                                  <a:ext cx="646430" cy="328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DB5A0">
                                    <w:pPr>
                                      <w:rPr>
                                        <w:rFonts w:hint="eastAsia" w:eastAsia="宋体"/>
                                        <w:lang w:val="en-US" w:eastAsia="zh-CN"/>
                                      </w:rPr>
                                    </w:pPr>
                                    <w:r>
                                      <w:rPr>
                                        <w:rFonts w:hint="eastAsia"/>
                                        <w:lang w:val="en-US" w:eastAsia="zh-CN"/>
                                      </w:rPr>
                                      <w:t>活性氧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 name="直接箭头连接符 163"/>
                              <wps:cNvCnPr/>
                              <wps:spPr>
                                <a:xfrm>
                                  <a:off x="4145280" y="1339850"/>
                                  <a:ext cx="492125" cy="0"/>
                                </a:xfrm>
                                <a:prstGeom prst="straightConnector1">
                                  <a:avLst/>
                                </a:prstGeom>
                                <a:ln w="12700" cap="flat" cmpd="sng" algn="ctr">
                                  <a:solidFill>
                                    <a:prstClr val="black"/>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wps:wsp>
                              <wps:cNvPr id="164" name="直接连接符 164"/>
                              <wps:cNvCnPr/>
                              <wps:spPr>
                                <a:xfrm>
                                  <a:off x="4145280" y="1350010"/>
                                  <a:ext cx="511810" cy="1379220"/>
                                </a:xfrm>
                                <a:prstGeom prst="line">
                                  <a:avLst/>
                                </a:prstGeom>
                                <a:ln w="12700" cap="flat" cmpd="sng" algn="ctr">
                                  <a:solidFill>
                                    <a:prstClr val="black"/>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65" name="直接连接符 165"/>
                              <wps:cNvCnPr/>
                              <wps:spPr>
                                <a:xfrm>
                                  <a:off x="4666615" y="2748915"/>
                                  <a:ext cx="0" cy="2225040"/>
                                </a:xfrm>
                                <a:prstGeom prst="line">
                                  <a:avLst/>
                                </a:prstGeom>
                                <a:ln w="12700" cap="flat" cmpd="sng" algn="ctr">
                                  <a:solidFill>
                                    <a:prstClr val="black"/>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66" name="文本框 166"/>
                              <wps:cNvSpPr txBox="1"/>
                              <wps:spPr>
                                <a:xfrm>
                                  <a:off x="3844925" y="5003165"/>
                                  <a:ext cx="1174115" cy="308610"/>
                                </a:xfrm>
                                <a:prstGeom prst="rect">
                                  <a:avLst/>
                                </a:prstGeom>
                                <a:noFill/>
                                <a:ln w="9525">
                                  <a:solidFill>
                                    <a:schemeClr val="tx1"/>
                                  </a:solidFill>
                                  <a:prstDash val="sysDash"/>
                                </a:ln>
                              </wps:spPr>
                              <wps:style>
                                <a:lnRef idx="0">
                                  <a:schemeClr val="accent1"/>
                                </a:lnRef>
                                <a:fillRef idx="0">
                                  <a:schemeClr val="accent1"/>
                                </a:fillRef>
                                <a:effectRef idx="0">
                                  <a:schemeClr val="accent1"/>
                                </a:effectRef>
                                <a:fontRef idx="minor">
                                  <a:schemeClr val="dk1"/>
                                </a:fontRef>
                              </wps:style>
                              <wps:txbx>
                                <w:txbxContent>
                                  <w:p w14:paraId="3BCBA23B">
                                    <w:pPr>
                                      <w:rPr>
                                        <w:rFonts w:hint="default" w:eastAsia="宋体"/>
                                        <w:lang w:val="en-US" w:eastAsia="zh-CN"/>
                                      </w:rPr>
                                    </w:pPr>
                                    <w:r>
                                      <w:rPr>
                                        <w:rFonts w:hint="eastAsia"/>
                                        <w:lang w:val="en-US" w:eastAsia="zh-CN"/>
                                      </w:rPr>
                                      <w:t>二氧化氯发生器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文本框 167"/>
                              <wps:cNvSpPr txBox="1"/>
                              <wps:spPr>
                                <a:xfrm>
                                  <a:off x="4664710" y="4279265"/>
                                  <a:ext cx="394970" cy="676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963A1">
                                    <w:pPr>
                                      <w:rPr>
                                        <w:rFonts w:hint="eastAsia" w:eastAsia="宋体"/>
                                        <w:lang w:val="en-US" w:eastAsia="zh-CN"/>
                                      </w:rPr>
                                    </w:pPr>
                                    <w:r>
                                      <w:rPr>
                                        <w:rFonts w:hint="eastAsia"/>
                                        <w:lang w:val="en-US" w:eastAsia="zh-CN"/>
                                      </w:rPr>
                                      <w:t>二氧化氯</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168" name="直接箭头连接符 168"/>
                              <wps:cNvCnPr>
                                <a:endCxn id="166" idx="2"/>
                              </wps:cNvCnPr>
                              <wps:spPr>
                                <a:xfrm flipV="1">
                                  <a:off x="4432300" y="5311775"/>
                                  <a:ext cx="0" cy="344170"/>
                                </a:xfrm>
                                <a:prstGeom prst="straightConnector1">
                                  <a:avLst/>
                                </a:prstGeom>
                                <a:ln w="12700" cap="flat" cmpd="sng" algn="ctr">
                                  <a:solidFill>
                                    <a:prstClr val="black"/>
                                  </a:solidFill>
                                  <a:prstDash val="dash"/>
                                  <a:miter lim="800000"/>
                                  <a:tailEnd type="arrow" w="med" len="med"/>
                                </a:ln>
                              </wps:spPr>
                              <wps:style>
                                <a:lnRef idx="0">
                                  <a:schemeClr val="accent1"/>
                                </a:lnRef>
                                <a:fillRef idx="0">
                                  <a:srgbClr val="FFFFFF"/>
                                </a:fillRef>
                                <a:effectRef idx="0">
                                  <a:srgbClr val="FFFFFF"/>
                                </a:effectRef>
                                <a:fontRef idx="minor">
                                  <a:schemeClr val="tx1"/>
                                </a:fontRef>
                              </wps:style>
                              <wps:bodyPr/>
                            </wps:wsp>
                            <wps:wsp>
                              <wps:cNvPr id="169" name="文本框 169"/>
                              <wps:cNvSpPr txBox="1"/>
                              <wps:spPr>
                                <a:xfrm>
                                  <a:off x="4240530" y="5666105"/>
                                  <a:ext cx="567055" cy="309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68489">
                                    <w:pPr>
                                      <w:rPr>
                                        <w:rFonts w:hint="default" w:eastAsia="宋体"/>
                                        <w:lang w:val="en-US" w:eastAsia="zh-CN"/>
                                      </w:rPr>
                                    </w:pPr>
                                    <w:r>
                                      <w:rPr>
                                        <w:rFonts w:hint="eastAsia"/>
                                        <w:lang w:val="en-US" w:eastAsia="zh-CN"/>
                                      </w:rPr>
                                      <w:t>粉剂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0" name="文本框 170"/>
                              <wps:cNvSpPr txBox="1"/>
                              <wps:spPr>
                                <a:xfrm>
                                  <a:off x="102235" y="5478145"/>
                                  <a:ext cx="3495040" cy="734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9F344">
                                    <w:pPr>
                                      <w:keepNext w:val="0"/>
                                      <w:keepLines w:val="0"/>
                                      <w:pageBreakBefore w:val="0"/>
                                      <w:widowControl w:val="0"/>
                                      <w:kinsoku/>
                                      <w:wordWrap/>
                                      <w:overflowPunct/>
                                      <w:topLinePunct w:val="0"/>
                                      <w:bidi w:val="0"/>
                                      <w:adjustRightInd/>
                                      <w:snapToGrid/>
                                      <w:spacing w:line="240" w:lineRule="exact"/>
                                      <w:textAlignment w:val="auto"/>
                                      <w:rPr>
                                        <w:rFonts w:hint="default" w:eastAsia="宋体"/>
                                        <w:sz w:val="18"/>
                                        <w:szCs w:val="18"/>
                                        <w:lang w:val="en-US" w:eastAsia="zh-CN"/>
                                      </w:rPr>
                                    </w:pPr>
                                    <w:r>
                                      <w:rPr>
                                        <w:rFonts w:hint="eastAsia"/>
                                        <w:sz w:val="18"/>
                                        <w:szCs w:val="18"/>
                                        <w:lang w:val="en-US" w:eastAsia="zh-CN"/>
                                      </w:rPr>
                                      <w:t>备注：1</w:t>
                                    </w:r>
                                    <w:r>
                                      <w:rPr>
                                        <w:rFonts w:hint="eastAsia" w:ascii="PingFang SC" w:hAnsi="PingFang SC" w:eastAsia="PingFang SC" w:cs="PingFang SC"/>
                                        <w:sz w:val="18"/>
                                        <w:szCs w:val="18"/>
                                        <w:lang w:val="en-US" w:eastAsia="zh-CN"/>
                                      </w:rPr>
                                      <w:t>、</w:t>
                                    </w:r>
                                    <w:r>
                                      <w:rPr>
                                        <w:rFonts w:hint="eastAsia"/>
                                        <w:sz w:val="18"/>
                                        <w:szCs w:val="18"/>
                                        <w:lang w:val="en-US" w:eastAsia="zh-CN"/>
                                      </w:rPr>
                                      <w:t>二氧化氯消毒为备用，为虚线部分。2</w:t>
                                    </w:r>
                                    <w:r>
                                      <w:rPr>
                                        <w:rFonts w:hint="eastAsia" w:ascii="PingFang SC" w:hAnsi="PingFang SC" w:eastAsia="PingFang SC" w:cs="PingFang SC"/>
                                        <w:sz w:val="18"/>
                                        <w:szCs w:val="18"/>
                                        <w:lang w:val="en-US" w:eastAsia="zh-CN"/>
                                      </w:rPr>
                                      <w:t>、</w:t>
                                    </w:r>
                                    <w:r>
                                      <w:rPr>
                                        <w:rFonts w:hint="eastAsia"/>
                                        <w:sz w:val="18"/>
                                        <w:szCs w:val="18"/>
                                        <w:lang w:val="en-US" w:eastAsia="zh-CN"/>
                                      </w:rPr>
                                      <w:t>检验用水中</w:t>
                                    </w:r>
                                    <w:r>
                                      <w:rPr>
                                        <w:rFonts w:hint="eastAsia" w:cs="Times New Roman"/>
                                        <w:i w:val="0"/>
                                        <w:iCs w:val="0"/>
                                        <w:color w:val="000000"/>
                                        <w:kern w:val="0"/>
                                        <w:sz w:val="18"/>
                                        <w:szCs w:val="18"/>
                                        <w:u w:val="none" w:color="auto"/>
                                        <w:lang w:val="en-US" w:eastAsia="zh-CN" w:bidi="ar"/>
                                      </w:rPr>
                                      <w:t>20%为</w:t>
                                    </w:r>
                                    <w:r>
                                      <w:rPr>
                                        <w:rFonts w:hint="eastAsia" w:eastAsia="宋体" w:cs="Times New Roman"/>
                                        <w:i w:val="0"/>
                                        <w:iCs w:val="0"/>
                                        <w:color w:val="000000"/>
                                        <w:kern w:val="0"/>
                                        <w:sz w:val="18"/>
                                        <w:szCs w:val="18"/>
                                        <w:u w:val="none" w:color="auto"/>
                                        <w:lang w:val="en-US" w:eastAsia="zh-CN" w:bidi="ar"/>
                                      </w:rPr>
                                      <w:t>检验废</w:t>
                                    </w:r>
                                    <w:r>
                                      <w:rPr>
                                        <w:rFonts w:hint="eastAsia" w:cs="Times New Roman"/>
                                        <w:i w:val="0"/>
                                        <w:iCs w:val="0"/>
                                        <w:color w:val="000000"/>
                                        <w:kern w:val="0"/>
                                        <w:sz w:val="18"/>
                                        <w:szCs w:val="18"/>
                                        <w:u w:val="none" w:color="auto"/>
                                        <w:lang w:val="en-US" w:eastAsia="zh-CN" w:bidi="ar"/>
                                      </w:rPr>
                                      <w:t>液</w:t>
                                    </w:r>
                                    <w:r>
                                      <w:rPr>
                                        <w:rFonts w:hint="eastAsia" w:eastAsia="宋体" w:cs="Times New Roman"/>
                                        <w:i w:val="0"/>
                                        <w:iCs w:val="0"/>
                                        <w:color w:val="000000"/>
                                        <w:kern w:val="0"/>
                                        <w:sz w:val="18"/>
                                        <w:szCs w:val="18"/>
                                        <w:u w:val="none" w:color="auto"/>
                                        <w:lang w:val="en-US" w:eastAsia="zh-CN" w:bidi="ar"/>
                                      </w:rPr>
                                      <w:t>单独收集做危废处理</w:t>
                                    </w:r>
                                    <w:r>
                                      <w:rPr>
                                        <w:rFonts w:hint="eastAsia" w:cs="Times New Roman"/>
                                        <w:i w:val="0"/>
                                        <w:iCs w:val="0"/>
                                        <w:color w:val="000000"/>
                                        <w:kern w:val="0"/>
                                        <w:sz w:val="18"/>
                                        <w:szCs w:val="18"/>
                                        <w:u w:val="none" w:color="auto"/>
                                        <w:lang w:val="en-US" w:eastAsia="zh-CN" w:bidi="ar"/>
                                      </w:rPr>
                                      <w:t>，剩下80%为检验废水排入自建污水处理厂</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489.1pt;width:398.4pt;" coordsize="5059680,6211570" editas="canvas" o:gfxdata="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">
                      <o:lock v:ext="edit" aspectratio="f"/>
                      <v:shape id="_x0000_s1026" o:spid="_x0000_s1026" style="position:absolute;left:0;top:0;height:6211570;width:5059680;" filled="f" stroked="t" coordsize="21600,21600" o:gfxdata="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">
                        <v:fill on="f" focussize="0,0"/>
                        <v:stroke color="#000000 [3213]" joinstyle="round"/>
                        <v:imagedata o:title=""/>
                        <o:lock v:ext="edit" aspectratio="f"/>
                      </v:shape>
                      <v:shape id="文本框 3" o:spid="_x0000_s1026" o:spt="202" type="#_x0000_t202" style="position:absolute;left:3978275;top:513080;height:279400;width:74739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TiZF1AAAAAUBAAAPAAAAAAAAAAEAIAAAACIAAABkcnMvZG93bnJldi54bWxQSwECFAAUAAAA&#10;CACHTuJA6Ns7vbkBAABZAwAADgAAAAAAAAABACAAAAAjAQAAZHJzL2Uyb0RvYy54bWxQSwUGAAAA&#10;AAYABgBZAQAATgUAAAAA&#10;">
                        <v:fill on="f" focussize="0,0"/>
                        <v:stroke on="f"/>
                        <v:imagedata o:title=""/>
                        <o:lock v:ext="edit" aspectratio="f"/>
                        <v:textbox>
                          <w:txbxContent>
                            <w:p w14:paraId="520B499E">
                              <w:pPr>
                                <w:spacing w:line="240" w:lineRule="auto"/>
                                <w:rPr>
                                  <w:rFonts w:hint="default" w:eastAsia="宋体"/>
                                  <w:sz w:val="21"/>
                                  <w:szCs w:val="21"/>
                                  <w:lang w:val="en-US" w:eastAsia="zh-CN"/>
                                </w:rPr>
                              </w:pPr>
                              <w:r>
                                <w:rPr>
                                  <w:rFonts w:hint="eastAsia"/>
                                  <w:sz w:val="21"/>
                                  <w:szCs w:val="21"/>
                                  <w:lang w:val="en-US" w:eastAsia="zh-CN"/>
                                </w:rPr>
                                <w:t>3724.45</w:t>
                              </w:r>
                            </w:p>
                          </w:txbxContent>
                        </v:textbox>
                      </v:shape>
                      <v:rect id="矩形 40" o:spid="_x0000_s1026" o:spt="1" style="position:absolute;left:95885;top:946150;height:792481;width:32131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8UVS1QAAAAUBAAAPAAAAAAAAAAEAIAAAACIAAABk&#10;cnMvZG93bnJldi54bWxQSwECFAAUAAAACACHTuJA8RwwnQkCAAAzBAAADgAAAAAAAAABACAAAAAk&#10;AQAAZHJzL2Uyb0RvYy54bWxQSwUGAAAAAAYABgBZAQAAnwUAAAAA&#10;">
                        <v:fill on="t" focussize="0,0"/>
                        <v:stroke color="#000000" joinstyle="miter"/>
                        <v:imagedata o:title=""/>
                        <o:lock v:ext="edit" aspectratio="f"/>
                        <v:textbox>
                          <w:txbxContent>
                            <w:p w14:paraId="18DB2EF5">
                              <w:pPr>
                                <w:spacing w:line="240" w:lineRule="auto"/>
                                <w:rPr>
                                  <w:rFonts w:hint="default" w:eastAsia="宋体"/>
                                  <w:lang w:val="en-US" w:eastAsia="zh-CN"/>
                                </w:rPr>
                              </w:pPr>
                              <w:r>
                                <w:rPr>
                                  <w:rFonts w:hint="eastAsia" w:eastAsia="宋体"/>
                                  <w:lang w:val="en-US" w:eastAsia="zh-CN"/>
                                </w:rPr>
                                <w:t>新鲜水</w:t>
                              </w:r>
                            </w:p>
                          </w:txbxContent>
                        </v:textbox>
                      </v:rect>
                      <v:line id="直接连接符 42" o:spid="_x0000_s1026" o:spt="20" style="position:absolute;left:975995;top:445135;height:3815715;width:0;" filled="f" stroked="t" coordsize="21600,21600" o:gfxdata="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YNwQ1gAAAAUBAAAPAAAAAAAAAAEAIAAAACIAAABkcnMv&#10;ZG93bnJldi54bWxQSwECFAAUAAAACACHTuJAffeDrQUCAADxAwAADgAAAAAAAAABACAAAAAlAQAA&#10;ZHJzL2Uyb0RvYy54bWxQSwUGAAAAAAYABgBZAQAAnAUAAAAA&#10;">
                        <v:fill on="f" focussize="0,0"/>
                        <v:stroke weight="1pt" color="#000000" joinstyle="round"/>
                        <v:imagedata o:title=""/>
                        <o:lock v:ext="edit" aspectratio="f"/>
                      </v:line>
                      <v:line id="直接连接符 61" o:spid="_x0000_s1026" o:spt="20" style="position:absolute;left:438150;top:1329690;height:635;width:540000;" filled="f" stroked="t" coordsize="21600,21600" o:gfxdata="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mDcENYAAAAFAQAADwAAAAAAAAABACAAAAAiAAAAZHJzL2Rvd25y&#10;ZXYueG1sUEsBAhQAFAAAAAgAh07iQC96ka4AAgAA8wMAAA4AAAAAAAAAAQAgAAAAJQEAAGRycy9l&#10;Mm9Eb2MueG1sUEsFBgAAAAAGAAYAWQEAAJcFAAAAAA==&#10;">
                        <v:fill on="f" focussize="0,0"/>
                        <v:stroke weight="1pt" color="#000000" joinstyle="round"/>
                        <v:imagedata o:title=""/>
                        <o:lock v:ext="edit" aspectratio="f"/>
                      </v:line>
                      <v:shape id="曲线连接符 65" o:spid="_x0000_s1026" o:spt="38" type="#_x0000_t38" style="position:absolute;left:2219960;top:238125;flip:y;height:83820;width:25146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Q/6EzTAAAABQEAAA8AAAAAAAAAAQAgAAAAIgAAAGRycy9kb3ducmV2LnhtbFBLAQIUABQAAAAI&#10;AIdO4kBilIC1KwIAACwEAAAOAAAAAAAAAAEAIAAAACIBAABkcnMvZTJvRG9jLnhtbFBLBQYAAAAA&#10;BgAGAFkBAAC/BQAAAAA=&#10;" adj="10855">
                        <v:fill on="f" focussize="0,0"/>
                        <v:stroke color="#000000" joinstyle="round" endarrow="open"/>
                        <v:imagedata o:title=""/>
                        <o:lock v:ext="edit" aspectratio="f"/>
                      </v:shape>
                      <v:shape id="曲线连接符 68" o:spid="_x0000_s1026" o:spt="38" type="#_x0000_t38" style="position:absolute;left:2170430;top:793115;flip:y;height:76200;width:24130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Q/6EzTAAAABQEAAA8AAAAAAAAAAQAgAAAAIgAAAGRycy9kb3ducmV2LnhtbFBLAQIUABQAAAAI&#10;AIdO4kBsVh4FKwIAACwEAAAOAAAAAAAAAAEAIAAAACIBAABkcnMvZTJvRG9jLnhtbFBLBQYAAAAA&#10;BgAGAFkBAAC/BQAAAAA=&#10;" adj="10855">
                        <v:fill on="f" focussize="0,0"/>
                        <v:stroke color="#000000" joinstyle="round" endarrow="open"/>
                        <v:imagedata o:title=""/>
                        <o:lock v:ext="edit" aspectratio="f"/>
                      </v:shape>
                      <v:line id="直接连接符 70" o:spid="_x0000_s1026" o:spt="20" style="position:absolute;left:977900;top:460375;flip:y;height:0;width:432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XmBKPVAAAABQEAAA8AAAAAAAAAAQAgAAAA&#10;IgAAAGRycy9kb3ducmV2LnhtbFBLAQIUABQAAAAIAIdO4kB044vTDgIAAPoDAAAOAAAAAAAAAAEA&#10;IAAAACQBAABkcnMvZTJvRG9jLnhtbFBLBQYAAAAABgAGAFkBAACkBQAAAAA=&#10;">
                        <v:fill on="f" focussize="0,0"/>
                        <v:stroke color="#000000" joinstyle="round" endarrow="open"/>
                        <v:imagedata o:title=""/>
                        <o:lock v:ext="edit" aspectratio="f"/>
                      </v:line>
                      <v:rect id="矩形 71" o:spid="_x0000_s1026" o:spt="1" style="position:absolute;left:1417955;top:332105;height:353695;width:933450;" filled="f" stroked="t" coordsize="21600,21600" o:gfxdata="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XjzPTVAAAABQEAAA8AAAAAAAAAAQAgAAAAIgAAAGRy&#10;cy9kb3ducmV2LnhtbFBLAQIUABQAAAAIAIdO4kCYiIIRCAIAAAwEAAAOAAAAAAAAAAEAIAAAACQB&#10;AABkcnMvZTJvRG9jLnhtbFBLBQYAAAAABgAGAFkBAACeBQAAAAA=&#10;">
                        <v:fill on="f" focussize="0,0"/>
                        <v:stroke color="#000000" joinstyle="miter"/>
                        <v:imagedata o:title=""/>
                        <o:lock v:ext="edit" aspectratio="f"/>
                        <v:textbox>
                          <w:txbxContent>
                            <w:p w14:paraId="78C29CDF">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v:textbox>
                      </v:rect>
                      <v:shape id="文本框 74" o:spid="_x0000_s1026" o:spt="202" type="#_x0000_t202" style="position:absolute;left:2404110;top:46355;height:279400;width:50609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VOJkXUAAAABQEAAA8AAAAAAAAAAQAgAAAAIgAAAGRycy9kb3ducmV2LnhtbFBLAQIUABQAAAAI&#10;AIdO4kBFSaYquAEAAFkDAAAOAAAAAAAAAAEAIAAAACMBAABkcnMvZTJvRG9jLnhtbFBLBQYAAAAA&#10;BgAGAFkBAABNBQAAAAA=&#10;">
                        <v:fill on="f" focussize="0,0"/>
                        <v:stroke on="f"/>
                        <v:imagedata o:title=""/>
                        <o:lock v:ext="edit" aspectratio="f"/>
                        <v:textbox>
                          <w:txbxContent>
                            <w:p w14:paraId="413FE7CE">
                              <w:pPr>
                                <w:spacing w:line="240" w:lineRule="auto"/>
                                <w:rPr>
                                  <w:rFonts w:hint="default" w:eastAsia="宋体"/>
                                  <w:sz w:val="21"/>
                                  <w:szCs w:val="21"/>
                                  <w:lang w:val="en-US" w:eastAsia="zh-CN"/>
                                </w:rPr>
                              </w:pPr>
                              <w:r>
                                <w:rPr>
                                  <w:rFonts w:hint="eastAsia"/>
                                  <w:sz w:val="21"/>
                                  <w:szCs w:val="21"/>
                                  <w:lang w:val="en-US" w:eastAsia="zh-CN"/>
                                </w:rPr>
                                <w:t>547.5</w:t>
                              </w:r>
                            </w:p>
                          </w:txbxContent>
                        </v:textbox>
                      </v:shape>
                      <v:line id="直接连接符 75" o:spid="_x0000_s1026" o:spt="20" style="position:absolute;left:2418080;top:3751581;flip:y;height:0;width:1080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eYEo9UAAAAFAQAADwAAAAAAAAABACAA&#10;AAAiAAAAZHJzL2Rvd25yZXYueG1sUEsBAhQAFAAAAAgAh07iQENwb50QAgAA/QMAAA4AAAAAAAAA&#10;AQAgAAAAJAEAAGRycy9lMm9Eb2MueG1sUEsFBgAAAAAGAAYAWQEAAKYFAAAAAA==&#10;">
                        <v:fill on="f" focussize="0,0"/>
                        <v:stroke color="#000000" joinstyle="round" endarrow="open"/>
                        <v:imagedata o:title=""/>
                        <o:lock v:ext="edit" aspectratio="f"/>
                      </v:line>
                      <v:line id="直接连接符 76" o:spid="_x0000_s1026" o:spt="20" style="position:absolute;left:989330;top:1008380;flip:y;height:0;width:4318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5gSj1QAAAAUBAAAPAAAAAAAAAAEAIAAA&#10;ACIAAABkcnMvZG93bnJldi54bWxQSwECFAAUAAAACACHTuJAFjNOtA8CAAD7AwAADgAAAAAAAAAB&#10;ACAAAAAkAQAAZHJzL2Uyb0RvYy54bWxQSwUGAAAAAAYABgBZAQAApQUAAAAA&#10;">
                        <v:fill on="f" focussize="0,0"/>
                        <v:stroke color="#000000" joinstyle="round" endarrow="open"/>
                        <v:imagedata o:title=""/>
                        <o:lock v:ext="edit" aspectratio="f"/>
                      </v:line>
                      <v:rect id="矩形 77" o:spid="_x0000_s1026" o:spt="1" style="position:absolute;left:1427480;top:875030;height:363855;width:92710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8UVS1QAAAAUBAAAPAAAAAAAAAAEAIAAAACIA&#10;AABkcnMvZG93bnJldi54bWxQSwECFAAUAAAACACHTuJA3yb7OwwCAAA1BAAADgAAAAAAAAABACAA&#10;AAAkAQAAZHJzL2Uyb0RvYy54bWxQSwUGAAAAAAYABgBZAQAAogUAAAAA&#10;">
                        <v:fill on="t" focussize="0,0"/>
                        <v:stroke color="#000000" joinstyle="miter"/>
                        <v:imagedata o:title=""/>
                        <o:lock v:ext="edit" aspectratio="f"/>
                        <v:textbox>
                          <w:txbxContent>
                            <w:p w14:paraId="0B6998CF">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v:textbox>
                      </v:rect>
                      <v:line id="直接连接符 78" o:spid="_x0000_s1026" o:spt="20" style="position:absolute;left:989330;top:1551305;flip:y;height:0;width:4318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eYEo9UAAAAFAQAADwAAAAAAAAABACAA&#10;AAAiAAAAZHJzL2Rvd25yZXYueG1sUEsBAhQAFAAAAAgAh07iQLjck+sQAgAA+wMAAA4AAAAAAAAA&#10;AQAgAAAAJAEAAGRycy9lMm9Eb2MueG1sUEsFBgAAAAAGAAYAWQEAAKYFAAAAAA==&#10;">
                        <v:fill on="f" focussize="0,0"/>
                        <v:stroke color="#000000" joinstyle="round" endarrow="open"/>
                        <v:imagedata o:title=""/>
                        <o:lock v:ext="edit" aspectratio="f"/>
                      </v:line>
                      <v:line id="直接连接符 79" o:spid="_x0000_s1026" o:spt="20" style="position:absolute;left:979805;top:2103755;flip:y;height:0;width:4318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5gSj1QAAAAUBAAAPAAAAAAAAAAEA&#10;IAAAACIAAABkcnMvZG93bnJldi54bWxQSwECFAAUAAAACACHTuJAxAvrIhICAAD8AwAADgAAAAAA&#10;AAABACAAAAAkAQAAZHJzL2Uyb0RvYy54bWxQSwUGAAAAAAYABgBZAQAAqAUAAAAA&#10;">
                        <v:fill on="f" focussize="0,0"/>
                        <v:stroke color="#000000" joinstyle="round" endarrow="open"/>
                        <v:imagedata o:title=""/>
                        <o:lock v:ext="edit" aspectratio="f"/>
                      </v:line>
                      <v:line id="直接连接符 80" o:spid="_x0000_s1026" o:spt="20" style="position:absolute;left:989330;top:2656206;flip:y;height:0;width:4318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V5gSj1QAAAAUBAAAPAAAAAAAAAAEAIAAA&#10;ACIAAABkcnMvZG93bnJldi54bWxQSwECFAAUAAAACACHTuJAv2SZUw8CAAD8AwAADgAAAAAAAAAB&#10;ACAAAAAkAQAAZHJzL2Uyb0RvYy54bWxQSwUGAAAAAAYABgBZAQAApQUAAAAA&#10;">
                        <v:fill on="f" focussize="0,0"/>
                        <v:stroke color="#000000" joinstyle="round" endarrow="open"/>
                        <v:imagedata o:title=""/>
                        <o:lock v:ext="edit" aspectratio="f"/>
                      </v:line>
                      <v:line id="直接连接符 81" o:spid="_x0000_s1026" o:spt="20" style="position:absolute;left:998855;top:3227705;flip:y;height:0;width:4318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5gSj1QAAAAUBAAAPAAAAAAAAAAEA&#10;IAAAACIAAABkcnMvZG93bnJldi54bWxQSwECFAAUAAAACACHTuJA27ag+xICAAD8AwAADgAAAAAA&#10;AAABACAAAAAkAQAAZHJzL2Uyb0RvYy54bWxQSwUGAAAAAAYABgBZAQAAqAUAAAAA&#10;">
                        <v:fill on="f" focussize="0,0"/>
                        <v:stroke color="#000000" joinstyle="round" endarrow="open"/>
                        <v:imagedata o:title=""/>
                        <o:lock v:ext="edit" aspectratio="f"/>
                      </v:line>
                      <v:line id="直接连接符 82" o:spid="_x0000_s1026" o:spt="20" style="position:absolute;left:989330;top:3751581;flip:y;height:0;width:4318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eYEo9UAAAAFAQAADwAAAAAAAAABACAA&#10;AAAiAAAAZHJzL2Rvd25yZXYueG1sUEsBAhQAFAAAAAgAh07iQNAo6WQQAgAA/AMAAA4AAAAAAAAA&#10;AQAgAAAAJAEAAGRycy9lMm9Eb2MueG1sUEsFBgAAAAAGAAYAWQEAAKYFAAAAAA==&#10;">
                        <v:fill on="f" focussize="0,0"/>
                        <v:stroke color="#000000" joinstyle="round" endarrow="open"/>
                        <v:imagedata o:title=""/>
                        <o:lock v:ext="edit" aspectratio="f"/>
                      </v:line>
                      <v:rect id="矩形 83" o:spid="_x0000_s1026" o:spt="1" style="position:absolute;left:1456055;top:2522855;height:352425;width:92710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zxRVLVAAAABQEAAA8AAAAAAAAAAQAgAAAA&#10;IgAAAGRycy9kb3ducmV2LnhtbFBLAQIUABQAAAAIAIdO4kBJJcU8DgIAADcEAAAOAAAAAAAAAAEA&#10;IAAAACQBAABkcnMvZTJvRG9jLnhtbFBLBQYAAAAABgAGAFkBAACkBQAAAAA=&#10;">
                        <v:fill on="t" focussize="0,0"/>
                        <v:stroke color="#000000" joinstyle="miter"/>
                        <v:imagedata o:title=""/>
                        <o:lock v:ext="edit" aspectratio="f"/>
                        <v:textbox>
                          <w:txbxContent>
                            <w:p w14:paraId="6C2518C6">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v:textbox>
                      </v:rect>
                      <v:rect id="矩形 84" o:spid="_x0000_s1026" o:spt="1" style="position:absolute;left:1456055;top:1951355;height:353695;width:92710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PFFUtUAAAAFAQAADwAAAAAAAAABACAAAAAi&#10;AAAAZHJzL2Rvd25yZXYueG1sUEsBAhQAFAAAAAgAh07iQMCUtPwNAgAANwQAAA4AAAAAAAAAAQAg&#10;AAAAJAEAAGRycy9lMm9Eb2MueG1sUEsFBgAAAAAGAAYAWQEAAKMFAAAAAA==&#10;">
                        <v:fill on="t" focussize="0,0"/>
                        <v:stroke color="#000000" joinstyle="miter"/>
                        <v:imagedata o:title=""/>
                        <o:lock v:ext="edit" aspectratio="f"/>
                        <v:textbox>
                          <w:txbxContent>
                            <w:p w14:paraId="7F0D86D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煎药及清洗</w:t>
                              </w:r>
                            </w:p>
                          </w:txbxContent>
                        </v:textbox>
                      </v:rect>
                      <v:rect id="矩形 85" o:spid="_x0000_s1026" o:spt="1" style="position:absolute;left:1456055;top:1408430;height:342900;width:92710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zxRVLVAAAABQEAAA8AAAAAAAAAAQAgAAAAIgAA&#10;AGRycy9kb3ducmV2LnhtbFBLAQIUABQAAAAIAIdO4kAlN7oZCwIAADcEAAAOAAAAAAAAAAEAIAAA&#10;ACQBAABkcnMvZTJvRG9jLnhtbFBLBQYAAAAABgAGAFkBAAChBQAAAAA=&#10;">
                        <v:fill on="t" focussize="0,0"/>
                        <v:stroke color="#000000" joinstyle="miter"/>
                        <v:imagedata o:title=""/>
                        <o:lock v:ext="edit" aspectratio="f"/>
                        <v:textbox>
                          <w:txbxContent>
                            <w:p w14:paraId="4BFBE11F">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v:textbox>
                      </v:rect>
                      <v:rect id="矩形 86" o:spid="_x0000_s1026" o:spt="1" style="position:absolute;left:1475105;top:3065780;height:363855;width:92710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8UVS1QAAAAUBAAAPAAAAAAAAAAEAIAAAACIA&#10;AABkcnMvZG93bnJldi54bWxQSwECFAAUAAAACACHTuJAhiBDYAwCAAA3BAAADgAAAAAAAAABACAA&#10;AAAkAQAAZHJzL2Uyb0RvYy54bWxQSwUGAAAAAAYABgBZAQAAogUAAAAA&#10;">
                        <v:fill on="t" focussize="0,0"/>
                        <v:stroke color="#000000" joinstyle="miter"/>
                        <v:imagedata o:title=""/>
                        <o:lock v:ext="edit" aspectratio="f"/>
                        <v:textbox>
                          <w:txbxContent>
                            <w:p w14:paraId="5B898873">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v:textbox>
                      </v:rect>
                      <v:rect id="矩形 87" o:spid="_x0000_s1026" o:spt="1" style="position:absolute;left:1465580;top:3608705;height:353695;width:92710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PFFUtUAAAAFAQAADwAAAAAAAAABACAA&#10;AAAiAAAAZHJzL2Rvd25yZXYueG1sUEsBAhQAFAAAAAgAh07iQAuaMX8QAgAANwQAAA4AAAAAAAAA&#10;AQAgAAAAJAEAAGRycy9lMm9Eb2MueG1sUEsFBgAAAAAGAAYAWQEAAKYFAAAAAA==&#10;">
                        <v:fill on="t" focussize="0,0"/>
                        <v:stroke color="#000000" joinstyle="miter"/>
                        <v:imagedata o:title=""/>
                        <o:lock v:ext="edit" aspectratio="f"/>
                        <v:textbox>
                          <w:txbxContent>
                            <w:p w14:paraId="084EEF84">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v:textbox>
                      </v:rect>
                      <v:shape id="曲线连接符 88" o:spid="_x0000_s1026" o:spt="38" type="#_x0000_t38" style="position:absolute;left:2113280;top:2980056;flip:y;height:76199;width:24130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UP+hM0wAAAAUBAAAPAAAAAAAAAAEAIAAAACIAAABkcnMvZG93bnJldi54bWxQSwECFAAUAAAA&#10;CACHTuJAK5R9YywCAAAuBAAADgAAAAAAAAABACAAAAAiAQAAZHJzL2Uyb0RvYy54bWxQSwUGAAAA&#10;AAYABgBZAQAAwAUAAAAA&#10;" adj="10855">
                        <v:fill on="f" focussize="0,0"/>
                        <v:stroke color="#000000" joinstyle="round" endarrow="open"/>
                        <v:imagedata o:title=""/>
                        <o:lock v:ext="edit" aspectratio="f"/>
                      </v:shape>
                      <v:shape id="曲线连接符 89" o:spid="_x0000_s1026" o:spt="38" type="#_x0000_t38" style="position:absolute;left:2151380;top:2437130;flip:y;height:76200;width:24130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Q/6EzTAAAABQEAAA8AAAAAAAAAAQAgAAAAIgAAAGRycy9kb3ducmV2LnhtbFBLAQIUABQAAAAI&#10;AIdO4kBPz1fbKwIAAC4EAAAOAAAAAAAAAAEAIAAAACIBAABkcnMvZTJvRG9jLnhtbFBLBQYAAAAA&#10;BgAGAFkBAAC/BQAAAAA=&#10;" adj="10855">
                        <v:fill on="f" focussize="0,0"/>
                        <v:stroke color="#000000" joinstyle="round" endarrow="open"/>
                        <v:imagedata o:title=""/>
                        <o:lock v:ext="edit" aspectratio="f"/>
                      </v:shape>
                      <v:shape id="曲线连接符 90" o:spid="_x0000_s1026" o:spt="38" type="#_x0000_t38" style="position:absolute;left:2237105;top:1875155;flip:y;height:76200;width:24130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Q/6EzTAAAABQEAAA8AAAAAAAAAAQAgAAAAIgAAAGRycy9kb3ducmV2LnhtbFBLAQIUABQAAAAI&#10;AIdO4kDI/oUuKwIAAC4EAAAOAAAAAAAAAAEAIAAAACIBAABkcnMvZTJvRG9jLnhtbFBLBQYAAAAA&#10;BgAGAFkBAAC/BQAAAAA=&#10;" adj="10855">
                        <v:fill on="f" focussize="0,0"/>
                        <v:stroke color="#000000" joinstyle="round" endarrow="open"/>
                        <v:imagedata o:title=""/>
                        <o:lock v:ext="edit" aspectratio="f"/>
                      </v:shape>
                      <v:shape id="曲线连接符 91" o:spid="_x0000_s1026" o:spt="38" type="#_x0000_t38" style="position:absolute;left:2218055;top:1332230;flip:y;height:76200;width:24130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Q/6EzTAAAABQEAAA8AAAAAAAAAAQAgAAAAIgAAAGRycy9kb3ducmV2LnhtbFBLAQIUABQAAAAI&#10;AIdO4kBfb9p0KwIAAC4EAAAOAAAAAAAAAAEAIAAAACIBAABkcnMvZTJvRG9jLnhtbFBLBQYAAAAA&#10;BgAGAFkBAAC/BQAAAAA=&#10;" adj="10855">
                        <v:fill on="f" focussize="0,0"/>
                        <v:stroke color="#000000" joinstyle="round" endarrow="open"/>
                        <v:imagedata o:title=""/>
                        <o:lock v:ext="edit" aspectratio="f"/>
                      </v:shape>
                      <v:shape id="曲线连接符 92" o:spid="_x0000_s1026" o:spt="38" type="#_x0000_t38" style="position:absolute;left:2160905;top:3503930;flip:y;height:76200;width:24130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UP+hM0wAAAAUBAAAPAAAAAAAAAAEAIAAAACIAAABkcnMvZG93bnJldi54bWxQSwECFAAUAAAA&#10;CACHTuJA+Z38riwCAAAuBAAADgAAAAAAAAABACAAAAAiAQAAZHJzL2Uyb0RvYy54bWxQSwUGAAAA&#10;AAYABgBZAQAAwAUAAAAA&#10;" adj="10855">
                        <v:fill on="f" focussize="0,0"/>
                        <v:stroke color="#000000" joinstyle="round" endarrow="open"/>
                        <v:imagedata o:title=""/>
                        <o:lock v:ext="edit" aspectratio="f"/>
                      </v:shape>
                      <v:shape id="文本框 93" o:spid="_x0000_s1026" o:spt="202" type="#_x0000_t202" style="position:absolute;left:2332990;top:570230;height:279400;width:58928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TiZF1AAAAAUBAAAPAAAAAAAAAAEAIAAAACIAAABkcnMvZG93bnJldi54bWxQSwECFAAUAAAA&#10;CACHTuJA8mShgbkBAABbAwAADgAAAAAAAAABACAAAAAjAQAAZHJzL2Uyb0RvYy54bWxQSwUGAAAA&#10;AAYABgBZAQAATgUAAAAA&#10;">
                        <v:fill on="f" focussize="0,0"/>
                        <v:stroke on="f"/>
                        <v:imagedata o:title=""/>
                        <o:lock v:ext="edit" aspectratio="f"/>
                        <v:textbox>
                          <w:txbxContent>
                            <w:p w14:paraId="72F740C7">
                              <w:pPr>
                                <w:spacing w:line="240" w:lineRule="auto"/>
                                <w:rPr>
                                  <w:rFonts w:hint="default" w:eastAsia="宋体"/>
                                  <w:sz w:val="21"/>
                                  <w:szCs w:val="21"/>
                                  <w:lang w:val="en-US" w:eastAsia="zh-CN"/>
                                </w:rPr>
                              </w:pPr>
                              <w:r>
                                <w:rPr>
                                  <w:rFonts w:hint="eastAsia"/>
                                  <w:sz w:val="21"/>
                                  <w:szCs w:val="21"/>
                                  <w:lang w:val="en-US" w:eastAsia="zh-CN"/>
                                </w:rPr>
                                <w:t>38.325</w:t>
                              </w:r>
                            </w:p>
                          </w:txbxContent>
                        </v:textbox>
                      </v:shape>
                      <v:shape id="文本框 94" o:spid="_x0000_s1026" o:spt="202" type="#_x0000_t202" style="position:absolute;left:2465705;top:1160780;height:279400;width:56070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TiZF1AAAAAUBAAAPAAAAAAAAAAEAIAAAACIAAABkcnMvZG93bnJldi54bWxQSwECFAAUAAAACACH&#10;TuJABBMYkrYBAABcAwAADgAAAAAAAAABACAAAAAjAQAAZHJzL2Uyb0RvYy54bWxQSwUGAAAAAAYA&#10;BgBZAQAASwUAAAAA&#10;">
                        <v:fill on="f" focussize="0,0"/>
                        <v:stroke on="f"/>
                        <v:imagedata o:title=""/>
                        <o:lock v:ext="edit" aspectratio="f"/>
                        <v:textbox>
                          <w:txbxContent>
                            <w:p w14:paraId="6AA1E9C4">
                              <w:pPr>
                                <w:spacing w:line="240" w:lineRule="auto"/>
                                <w:rPr>
                                  <w:rFonts w:hint="default" w:eastAsia="宋体"/>
                                  <w:sz w:val="21"/>
                                  <w:szCs w:val="21"/>
                                  <w:lang w:val="en-US" w:eastAsia="zh-CN"/>
                                </w:rPr>
                              </w:pPr>
                              <w:r>
                                <w:rPr>
                                  <w:rFonts w:hint="eastAsia"/>
                                  <w:sz w:val="21"/>
                                  <w:szCs w:val="21"/>
                                  <w:lang w:val="en-US" w:eastAsia="zh-CN"/>
                                </w:rPr>
                                <w:t>85.41</w:t>
                              </w:r>
                            </w:p>
                          </w:txbxContent>
                        </v:textbox>
                      </v:shape>
                      <v:shape id="文本框 95" o:spid="_x0000_s1026" o:spt="202" type="#_x0000_t202" style="position:absolute;left:2427605;top:3275330;height:279400;width:5397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OJkXUAAAABQEAAA8AAAAAAAAAAQAgAAAAIgAAAGRycy9kb3ducmV2LnhtbFBLAQIUABQA&#10;AAAIAIdO4kASQSNZuwEAAFwDAAAOAAAAAAAAAAEAIAAAACMBAABkcnMvZTJvRG9jLnhtbFBLBQYA&#10;AAAABgAGAFkBAABQBQAAAAA=&#10;">
                        <v:fill on="f" focussize="0,0"/>
                        <v:stroke on="f"/>
                        <v:imagedata o:title=""/>
                        <o:lock v:ext="edit" aspectratio="f"/>
                        <v:textbox>
                          <w:txbxContent>
                            <w:p w14:paraId="22D1FBC4">
                              <w:pPr>
                                <w:spacing w:line="240" w:lineRule="auto"/>
                                <w:rPr>
                                  <w:rFonts w:hint="default" w:eastAsia="宋体"/>
                                  <w:sz w:val="21"/>
                                  <w:szCs w:val="21"/>
                                  <w:lang w:val="en-US" w:eastAsia="zh-CN"/>
                                </w:rPr>
                              </w:pPr>
                              <w:r>
                                <w:rPr>
                                  <w:rFonts w:hint="eastAsia"/>
                                  <w:sz w:val="21"/>
                                  <w:szCs w:val="21"/>
                                  <w:lang w:val="en-US" w:eastAsia="zh-CN"/>
                                </w:rPr>
                                <w:t>80.3</w:t>
                              </w:r>
                            </w:p>
                          </w:txbxContent>
                        </v:textbox>
                      </v:shape>
                      <v:shape id="文本框 96" o:spid="_x0000_s1026" o:spt="202" type="#_x0000_t202" style="position:absolute;left:2446655;top:2751455;height:279400;width:59753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U4mRdQAAAAFAQAADwAAAAAAAAABACAAAAAiAAAAZHJzL2Rvd25yZXYueG1sUEsBAhQAFAAAAAgA&#10;h07iQIZIQy23AQAAXAMAAA4AAAAAAAAAAQAgAAAAIwEAAGRycy9lMm9Eb2MueG1sUEsFBgAAAAAG&#10;AAYAWQEAAEwFAAAAAA==&#10;">
                        <v:fill on="f" focussize="0,0"/>
                        <v:stroke on="f"/>
                        <v:imagedata o:title=""/>
                        <o:lock v:ext="edit" aspectratio="f"/>
                        <v:textbox>
                          <w:txbxContent>
                            <w:p w14:paraId="779C3AD7">
                              <w:pPr>
                                <w:spacing w:line="240" w:lineRule="auto"/>
                                <w:rPr>
                                  <w:rFonts w:hint="default" w:eastAsia="宋体"/>
                                  <w:sz w:val="21"/>
                                  <w:szCs w:val="21"/>
                                  <w:lang w:val="en-US" w:eastAsia="zh-CN"/>
                                </w:rPr>
                              </w:pPr>
                              <w:r>
                                <w:rPr>
                                  <w:rFonts w:hint="eastAsia"/>
                                  <w:sz w:val="21"/>
                                  <w:szCs w:val="21"/>
                                  <w:lang w:val="en-US" w:eastAsia="zh-CN"/>
                                </w:rPr>
                                <w:t>131.4</w:t>
                              </w:r>
                            </w:p>
                          </w:txbxContent>
                        </v:textbox>
                      </v:shape>
                      <v:shape id="文本框 97" o:spid="_x0000_s1026" o:spt="202" type="#_x0000_t202" style="position:absolute;left:2349500;top:2237105;height:279400;width:7302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VOJkXUAAAABQEAAA8AAAAAAAAAAQAgAAAAIgAAAGRycy9kb3ducmV2LnhtbFBLAQIUABQAAAAI&#10;AIdO4kAHC6oxuAEAAFwDAAAOAAAAAAAAAAEAIAAAACMBAABkcnMvZTJvRG9jLnhtbFBLBQYAAAAA&#10;BgAGAFkBAABNBQAAAAA=&#10;">
                        <v:fill on="f" focussize="0,0"/>
                        <v:stroke on="f"/>
                        <v:imagedata o:title=""/>
                        <o:lock v:ext="edit" aspectratio="f"/>
                        <v:textbox>
                          <w:txbxContent>
                            <w:p w14:paraId="2833DB0E">
                              <w:pPr>
                                <w:spacing w:line="240" w:lineRule="auto"/>
                                <w:rPr>
                                  <w:rFonts w:hint="default" w:eastAsia="宋体"/>
                                  <w:sz w:val="21"/>
                                  <w:szCs w:val="21"/>
                                  <w:lang w:val="en-US" w:eastAsia="zh-CN"/>
                                </w:rPr>
                              </w:pPr>
                              <w:r>
                                <w:rPr>
                                  <w:rFonts w:hint="eastAsia"/>
                                  <w:sz w:val="21"/>
                                  <w:szCs w:val="21"/>
                                  <w:lang w:val="en-US" w:eastAsia="zh-CN"/>
                                </w:rPr>
                                <w:t>47.30</w:t>
                              </w:r>
                            </w:p>
                          </w:txbxContent>
                        </v:textbox>
                      </v:shape>
                      <v:shape id="文本框 98" o:spid="_x0000_s1026" o:spt="202" type="#_x0000_t202" style="position:absolute;left:2494280;top:1656080;height:279400;width:58229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VOJkXUAAAABQEAAA8AAAAAAAAAAQAgAAAAIgAAAGRycy9kb3ducmV2LnhtbFBLAQIUABQAAAAI&#10;AIdO4kAOjCcNuAEAAFwDAAAOAAAAAAAAAAEAIAAAACMBAABkcnMvZTJvRG9jLnhtbFBLBQYAAAAA&#10;BgAGAFkBAABNBQAAAAA=&#10;">
                        <v:fill on="f" focussize="0,0"/>
                        <v:stroke on="f"/>
                        <v:imagedata o:title=""/>
                        <o:lock v:ext="edit" aspectratio="f"/>
                        <v:textbox>
                          <w:txbxContent>
                            <w:p w14:paraId="2FBEC36A">
                              <w:pPr>
                                <w:spacing w:line="240" w:lineRule="auto"/>
                                <w:rPr>
                                  <w:rFonts w:hint="default" w:eastAsia="宋体"/>
                                  <w:sz w:val="21"/>
                                  <w:szCs w:val="21"/>
                                  <w:lang w:val="en-US" w:eastAsia="zh-CN"/>
                                </w:rPr>
                              </w:pPr>
                              <w:r>
                                <w:rPr>
                                  <w:rFonts w:hint="eastAsia"/>
                                  <w:sz w:val="21"/>
                                  <w:szCs w:val="21"/>
                                  <w:lang w:val="en-US" w:eastAsia="zh-CN"/>
                                </w:rPr>
                                <w:t>0.000</w:t>
                              </w:r>
                            </w:p>
                          </w:txbxContent>
                        </v:textbox>
                      </v:shape>
                      <v:line id="直接连接符 99" o:spid="_x0000_s1026" o:spt="20" style="position:absolute;left:2427605;top:1017905;flip:y;height:0;width:1080135;"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eYEo9UAAAAFAQAADwAAAAAAAAABACAA&#10;AAAiAAAAZHJzL2Rvd25yZXYueG1sUEsBAhQAFAAAAAgAh07iQCV/K1QQAgAA/gMAAA4AAAAAAAAA&#10;AQAgAAAAJAEAAGRycy9lMm9Eb2MueG1sUEsFBgAAAAAGAAYAWQEAAKYFAAAAAA==&#10;">
                        <v:fill on="f" focussize="0,0"/>
                        <v:stroke color="#000000" joinstyle="round" endarrow="open"/>
                        <v:imagedata o:title=""/>
                        <o:lock v:ext="edit" aspectratio="f"/>
                      </v:line>
                      <v:line id="直接连接符 100" o:spid="_x0000_s1026" o:spt="20" style="position:absolute;left:2399030;top:3208655;flip:y;height:0;width:1476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V5gSj1QAAAAUBAAAPAAAAAAAAAAEA&#10;IAAAACIAAABkcnMvZG93bnJldi54bWxQSwECFAAUAAAACACHTuJA72GPfxICAAD/AwAADgAAAAAA&#10;AAABACAAAAAkAQAAZHJzL2Uyb0RvYy54bWxQSwUGAAAAAAYABgBZAQAAqAUAAAAA&#10;">
                        <v:fill on="f" focussize="0,0"/>
                        <v:stroke color="#000000" joinstyle="round" endarrow="open"/>
                        <v:imagedata o:title=""/>
                        <o:lock v:ext="edit" aspectratio="f"/>
                      </v:line>
                      <v:rect id="矩形 101" o:spid="_x0000_s1026" o:spt="1" style="position:absolute;left:3532505;top:3608705;height:332105;width:717550;" filled="f" stroked="t" coordsize="21600,21600" o:gfxdata="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XjzPTVAAAABQEAAA8AAAAAAAAAAQAgAAAAIgAAAGRy&#10;cy9kb3ducmV2LnhtbFBLAQIUABQAAAAIAIdO4kBWKslwCAIAAA8EAAAOAAAAAAAAAAEAIAAAACQB&#10;AABkcnMvZTJvRG9jLnhtbFBLBQYAAAAABgAGAFkBAACeBQAAAAA=&#10;">
                        <v:fill on="f" focussize="0,0"/>
                        <v:stroke color="#000000" joinstyle="miter"/>
                        <v:imagedata o:title=""/>
                        <o:lock v:ext="edit" aspectratio="f"/>
                        <v:textbox>
                          <w:txbxContent>
                            <w:p w14:paraId="2E07C5C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v:textbox>
                      </v:rect>
                      <v:shape id="文本框 102" o:spid="_x0000_s1026" o:spt="202" type="#_x0000_t202" style="position:absolute;left:2938780;top:3446780;height:279400;width:57150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IpmMPO6AQAAXQMAAA4AAAAAAAAAAQAgAAAAIwEAAGRycy9lMm9Eb2MueG1sUEsFBgAA&#10;AAAGAAYAWQEAAE8FAAAAAA==&#10;">
                        <v:fill on="f" focussize="0,0"/>
                        <v:stroke on="f"/>
                        <v:imagedata o:title=""/>
                        <o:lock v:ext="edit" aspectratio="f"/>
                        <v:textbox>
                          <w:txbxContent>
                            <w:p w14:paraId="4187D1C8">
                              <w:pPr>
                                <w:spacing w:line="240" w:lineRule="auto"/>
                                <w:rPr>
                                  <w:rFonts w:hint="default" w:eastAsia="宋体"/>
                                  <w:sz w:val="21"/>
                                  <w:szCs w:val="21"/>
                                  <w:lang w:val="en-US" w:eastAsia="zh-CN"/>
                                </w:rPr>
                              </w:pPr>
                              <w:r>
                                <w:rPr>
                                  <w:rFonts w:hint="eastAsia"/>
                                  <w:sz w:val="21"/>
                                  <w:szCs w:val="21"/>
                                  <w:lang w:val="en-US" w:eastAsia="zh-CN"/>
                                </w:rPr>
                                <w:t>321.2</w:t>
                              </w:r>
                            </w:p>
                          </w:txbxContent>
                        </v:textbox>
                      </v:shape>
                      <v:line id="直接连接符 103" o:spid="_x0000_s1026" o:spt="20" style="position:absolute;left:2399030;top:2656206;flip:y;height:0;width:1476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XmBKPVAAAABQEAAA8AAAAAAAAA&#10;AQAgAAAAIgAAAGRycy9kb3ducmV2LnhtbFBLAQIUABQAAAAIAIdO4kAta8YfFAIAAP8DAAAOAAAA&#10;AAAAAAEAIAAAACQBAABkcnMvZTJvRG9jLnhtbFBLBQYAAAAABgAGAFkBAACqBQAAAAA=&#10;">
                        <v:fill on="f" focussize="0,0"/>
                        <v:stroke color="#000000" joinstyle="round" endarrow="open"/>
                        <v:imagedata o:title=""/>
                        <o:lock v:ext="edit" aspectratio="f"/>
                      </v:line>
                      <v:line id="直接连接符 104" o:spid="_x0000_s1026" o:spt="20" style="position:absolute;left:2389505;top:2094230;flip:y;height:0;width:1476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eYEo9UAAAAFAQAADwAAAAAAAAAB&#10;ACAAAAAiAAAAZHJzL2Rvd25yZXYueG1sUEsBAhQAFAAAAAgAh07iQFr2fmgTAgAA/wMAAA4AAAAA&#10;AAAAAQAgAAAAJAEAAGRycy9lMm9Eb2MueG1sUEsFBgAAAAAGAAYAWQEAAKkFAAAAAA==&#10;">
                        <v:fill on="f" focussize="0,0"/>
                        <v:stroke color="#000000" joinstyle="round" endarrow="open"/>
                        <v:imagedata o:title=""/>
                        <o:lock v:ext="edit" aspectratio="f"/>
                      </v:line>
                      <v:line id="直接连接符 105" o:spid="_x0000_s1026" o:spt="20" style="position:absolute;left:2370455;top:484505;flip:y;height:0;width:1512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eYEo9UAAAAFAQAADwAAAAAAAAAB&#10;ACAAAAAiAAAAZHJzL2Rvd25yZXYueG1sUEsBAhQAFAAAAAgAh07iQGGUo7cTAgAA/gMAAA4AAAAA&#10;AAAAAQAgAAAAJAEAAGRycy9lMm9Eb2MueG1sUEsFBgAAAAAGAAYAWQEAAKkFAAAAAA==&#10;">
                        <v:fill on="f" focussize="0,0"/>
                        <v:stroke color="#000000" joinstyle="round" endarrow="open"/>
                        <v:imagedata o:title=""/>
                        <o:lock v:ext="edit" aspectratio="f"/>
                      </v:line>
                      <v:line id="直接连接符 106" o:spid="_x0000_s1026" o:spt="20" style="position:absolute;left:2408555;top:1551305;flip:y;height:0;width:1476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5gSj1QAAAAUBAAAPAAAAAAAA&#10;AAEAIAAAACIAAABkcnMvZG93bnJldi54bWxQSwECFAAUAAAACACHTuJA4QzUIxUCAAD/AwAADgAA&#10;AAAAAAABACAAAAAkAQAAZHJzL2Uyb0RvYy54bWxQSwUGAAAAAAYABgBZAQAAqwUAAAAA&#10;">
                        <v:fill on="f" focussize="0,0"/>
                        <v:stroke color="#000000" joinstyle="round" endarrow="open"/>
                        <v:imagedata o:title=""/>
                        <o:lock v:ext="edit" aspectratio="f"/>
                      </v:line>
                      <v:rect id="矩形 107" o:spid="_x0000_s1026" o:spt="1" style="position:absolute;left:3572510;top:853440;height:342900;width:654685;" filled="f" stroked="t" coordsize="21600,21600" o:gfxdata="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XjzPTVAAAABQEAAA8AAAAAAAAAAQAgAAAAIgAA&#10;AGRycy9kb3ducmV2LnhtbFBLAQIUABQAAAAIAIdO4kAaOZ7ICwIAAA4EAAAOAAAAAAAAAAEAIAAA&#10;ACQBAABkcnMvZTJvRG9jLnhtbFBLBQYAAAAABgAGAFkBAAChBQAAAAA=&#10;">
                        <v:fill on="f" focussize="0,0"/>
                        <v:stroke color="#000000" joinstyle="miter"/>
                        <v:imagedata o:title=""/>
                        <o:lock v:ext="edit" aspectratio="f"/>
                        <v:textbox>
                          <w:txbxContent>
                            <w:p w14:paraId="497BC954">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化粪池</w:t>
                              </w:r>
                            </w:p>
                          </w:txbxContent>
                        </v:textbox>
                      </v:rect>
                      <v:shape id="文本框 108" o:spid="_x0000_s1026" o:spt="202" type="#_x0000_t202" style="position:absolute;left:2839720;top:663575;height:279400;width:70866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OJkXUAAAABQEAAA8AAAAAAAAAAQAgAAAAIgAAAGRycy9kb3ducmV2LnhtbFBLAQIUABQA&#10;AAAIAIdO4kCzuMjAuwEAAFwDAAAOAAAAAAAAAAEAIAAAACMBAABkcnMvZTJvRG9jLnhtbFBLBQYA&#10;AAAABgAGAFkBAABQBQAAAAA=&#10;">
                        <v:fill on="f" focussize="0,0"/>
                        <v:stroke on="f"/>
                        <v:imagedata o:title=""/>
                        <o:lock v:ext="edit" aspectratio="f"/>
                        <v:textbox>
                          <w:txbxContent>
                            <w:p w14:paraId="0E314199">
                              <w:pPr>
                                <w:spacing w:line="240" w:lineRule="auto"/>
                                <w:ind w:firstLine="210" w:firstLineChars="100"/>
                                <w:rPr>
                                  <w:rFonts w:hint="default" w:eastAsia="宋体"/>
                                  <w:sz w:val="21"/>
                                  <w:szCs w:val="21"/>
                                  <w:lang w:val="en-US" w:eastAsia="zh-CN"/>
                                </w:rPr>
                              </w:pPr>
                              <w:r>
                                <w:rPr>
                                  <w:rFonts w:hint="eastAsia"/>
                                  <w:sz w:val="21"/>
                                  <w:szCs w:val="21"/>
                                  <w:lang w:val="en-US" w:eastAsia="zh-CN"/>
                                </w:rPr>
                                <w:t>153.3</w:t>
                              </w:r>
                            </w:p>
                          </w:txbxContent>
                        </v:textbox>
                      </v:shape>
                      <v:line id="直接连接符 109" o:spid="_x0000_s1026" o:spt="20" style="position:absolute;left:3891280;top:1164590;flip:y;height:2444115;width:127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XmBKPV&#10;AAAABQEAAA8AAAAAAAAAAQAgAAAAIgAAAGRycy9kb3ducmV2LnhtbFBLAQIUABQAAAAIAIdO4kBp&#10;Tg3NIwIAACsEAAAOAAAAAAAAAAEAIAAAACQBAABkcnMvZTJvRG9jLnhtbFBLBQYAAAAABgAGAFkB&#10;AAC5BQAAAAA=&#10;">
                        <v:fill on="f" focussize="0,0"/>
                        <v:stroke color="#000000" joinstyle="round" endarrow="open"/>
                        <v:imagedata o:title=""/>
                        <o:lock v:ext="edit" aspectratio="f"/>
                      </v:line>
                      <v:line id="直接连接符 110" o:spid="_x0000_s1026" o:spt="20" style="position:absolute;left:3898265;top:503555;flip:x;height:360044;width: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eYEo9UAAAAFAQAADwAAAAAAAAABACAA&#10;AAAiAAAAZHJzL2Rvd25yZXYueG1sUEsBAhQAFAAAAAgAh07iQJfmABAQAgAA/QMAAA4AAAAAAAAA&#10;AQAgAAAAJAEAAGRycy9lMm9Eb2MueG1sUEsFBgAAAAAGAAYAWQEAAKYFAAAAAA==&#10;">
                        <v:fill on="f" focussize="0,0"/>
                        <v:stroke color="#000000" joinstyle="round" endarrow="open"/>
                        <v:imagedata o:title=""/>
                        <o:lock v:ext="edit" aspectratio="f"/>
                      </v:line>
                      <v:line id="直接连接符 111" o:spid="_x0000_s1026" o:spt="20" style="position:absolute;left:4275455;top:1017905;flip:y;height:0;width:39600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XmBKPVAAAABQEAAA8AAAAAAAAA&#10;AQAgAAAAIgAAAGRycy9kb3ducmV2LnhtbFBLAQIUABQAAAAIAIdO4kD78PtpFAIAAP4DAAAOAAAA&#10;AAAAAAEAIAAAACQBAABkcnMvZTJvRG9jLnhtbFBLBQYAAAAABgAGAFkBAACqBQAAAAA=&#10;">
                        <v:fill on="f" focussize="0,0"/>
                        <v:stroke color="#000000" joinstyle="round" endarrow="open"/>
                        <v:imagedata o:title=""/>
                        <o:lock v:ext="edit" aspectratio="f"/>
                      </v:line>
                      <v:rect id="矩形 112" o:spid="_x0000_s1026" o:spt="1" style="position:absolute;left:4704080;top:494030;height:1090930;width:317500;" filled="f" stroked="t" coordsize="21600,21600" o:gfxdata="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ePM9NUAAAAFAQAADwAAAAAAAAABACAAAAAiAAAA&#10;ZHJzL2Rvd25yZXYueG1sUEsBAhQAFAAAAAgAh07iQOu7Ho4KAgAADwQAAA4AAAAAAAAAAQAgAAAA&#10;JAEAAGRycy9lMm9Eb2MueG1sUEsFBgAAAAAGAAYAWQEAAKAFAAAAAA==&#10;">
                        <v:fill on="f" focussize="0,0"/>
                        <v:stroke color="#000000" joinstyle="miter"/>
                        <v:imagedata o:title=""/>
                        <o:lock v:ext="edit" aspectratio="f"/>
                        <v:textbox>
                          <w:txbxContent>
                            <w:p w14:paraId="5F5081F4">
                              <w:pPr>
                                <w:spacing w:line="240" w:lineRule="auto"/>
                                <w:rPr>
                                  <w:rFonts w:hint="default" w:eastAsia="宋体"/>
                                  <w:lang w:val="en-US" w:eastAsia="zh-CN"/>
                                </w:rPr>
                              </w:pPr>
                              <w:r>
                                <w:rPr>
                                  <w:rFonts w:hint="eastAsia" w:eastAsia="宋体"/>
                                  <w:lang w:val="en-US" w:eastAsia="zh-CN"/>
                                </w:rPr>
                                <w:t>废水处理站</w:t>
                              </w:r>
                            </w:p>
                          </w:txbxContent>
                        </v:textbox>
                      </v:rect>
                      <v:line id="直接连接符 113" o:spid="_x0000_s1026" o:spt="20" style="position:absolute;left:4875530;top:1608456;flip:x;height:355599;width:0;" filled="f" stroked="t" coordsize="21600,21600" o:gfxdata="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XmBKPVAAAABQEAAA8AAAAAAAAAAQAg&#10;AAAAIgAAAGRycy9kb3ducmV2LnhtbFBLAQIUABQAAAAIAIdO4kBlv7vvEQIAAP4DAAAOAAAAAAAA&#10;AAEAIAAAACQBAABkcnMvZTJvRG9jLnhtbFBLBQYAAAAABgAGAFkBAACnBQAAAAA=&#10;">
                        <v:fill on="f" focussize="0,0"/>
                        <v:stroke color="#000000" joinstyle="round" endarrow="open"/>
                        <v:imagedata o:title=""/>
                        <o:lock v:ext="edit" aspectratio="f"/>
                      </v:line>
                      <v:rect id="矩形 114" o:spid="_x0000_s1026" o:spt="1" style="position:absolute;left:4727575;top:1957705;height:514350;width:317500;" filled="f" stroked="t" coordsize="21600,21600" o:gfxdata="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48z01QAAAAUBAAAPAAAAAAAAAAEAIAAAACIA&#10;AABkcnMvZG93bnJldi54bWxQSwECFAAUAAAACACHTuJAiG2S+AwCAAAPBAAADgAAAAAAAAABACAA&#10;AAAkAQAAZHJzL2Uyb0RvYy54bWxQSwUGAAAAAAYABgBZAQAAogUAAAAA&#10;">
                        <v:fill on="f" focussize="0,0"/>
                        <v:stroke color="#000000" joinstyle="miter"/>
                        <v:imagedata o:title=""/>
                        <o:lock v:ext="edit" aspectratio="f"/>
                        <v:textbox>
                          <w:txbxContent>
                            <w:p w14:paraId="740CB4F5">
                              <w:pPr>
                                <w:spacing w:line="240" w:lineRule="auto"/>
                                <w:jc w:val="center"/>
                                <w:rPr>
                                  <w:rFonts w:hint="default" w:eastAsia="宋体"/>
                                  <w:lang w:val="en-US" w:eastAsia="zh-CN"/>
                                </w:rPr>
                              </w:pPr>
                              <w:r>
                                <w:rPr>
                                  <w:rFonts w:hint="eastAsia" w:eastAsia="宋体"/>
                                  <w:lang w:val="en-US" w:eastAsia="zh-CN"/>
                                </w:rPr>
                                <w:t>洣水</w:t>
                              </w:r>
                            </w:p>
                          </w:txbxContent>
                        </v:textbox>
                      </v:rect>
                      <v:shape id="文本框 115" o:spid="_x0000_s1026" o:spt="202" type="#_x0000_t202" style="position:absolute;left:3068320;top:1236980;height:279400;width:57531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TiZF1AAAAAUBAAAPAAAAAAAAAAEAIAAAACIAAABkcnMvZG93bnJldi54bWxQSwECFAAUAAAA&#10;CACHTuJA1fLczrkBAABdAwAADgAAAAAAAAABACAAAAAjAQAAZHJzL2Uyb0RvYy54bWxQSwUGAAAA&#10;AAYABgBZAQAATgUAAAAA&#10;">
                        <v:fill on="f" focussize="0,0"/>
                        <v:stroke on="f"/>
                        <v:imagedata o:title=""/>
                        <o:lock v:ext="edit" aspectratio="f"/>
                        <v:textbox>
                          <w:txbxContent>
                            <w:p w14:paraId="587B012C">
                              <w:pPr>
                                <w:spacing w:line="240" w:lineRule="auto"/>
                                <w:rPr>
                                  <w:rFonts w:hint="default" w:eastAsia="宋体"/>
                                  <w:sz w:val="21"/>
                                  <w:szCs w:val="21"/>
                                  <w:lang w:val="en-US" w:eastAsia="zh-CN"/>
                                </w:rPr>
                              </w:pPr>
                              <w:r>
                                <w:rPr>
                                  <w:rFonts w:hint="eastAsia"/>
                                  <w:sz w:val="21"/>
                                  <w:szCs w:val="21"/>
                                  <w:lang w:val="en-US" w:eastAsia="zh-CN"/>
                                </w:rPr>
                                <w:t>341.64</w:t>
                              </w:r>
                            </w:p>
                          </w:txbxContent>
                        </v:textbox>
                      </v:shape>
                      <v:shape id="文本框 116" o:spid="_x0000_s1026" o:spt="202" type="#_x0000_t202" style="position:absolute;left:3039745;top:189230;height:279400;width:54673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FEvJM26AQAAXAMAAA4AAAAAAAAAAQAgAAAAIwEAAGRycy9lMm9Eb2MueG1sUEsFBgAA&#10;AAAGAAYAWQEAAE8FAAAAAA==&#10;">
                        <v:fill on="f" focussize="0,0"/>
                        <v:stroke on="f"/>
                        <v:imagedata o:title=""/>
                        <o:lock v:ext="edit" aspectratio="f"/>
                        <v:textbox>
                          <w:txbxContent>
                            <w:p w14:paraId="0C8C1E67">
                              <w:pPr>
                                <w:spacing w:line="240" w:lineRule="auto"/>
                                <w:rPr>
                                  <w:rFonts w:hint="default" w:eastAsia="宋体"/>
                                  <w:sz w:val="21"/>
                                  <w:szCs w:val="21"/>
                                  <w:lang w:val="en-US" w:eastAsia="zh-CN"/>
                                </w:rPr>
                              </w:pPr>
                              <w:r>
                                <w:rPr>
                                  <w:rFonts w:hint="eastAsia"/>
                                  <w:sz w:val="21"/>
                                  <w:szCs w:val="21"/>
                                  <w:lang w:val="en-US" w:eastAsia="zh-CN"/>
                                </w:rPr>
                                <w:t>2190</w:t>
                              </w:r>
                            </w:p>
                          </w:txbxContent>
                        </v:textbox>
                      </v:shape>
                      <v:shape id="文本框 117" o:spid="_x0000_s1026" o:spt="202" type="#_x0000_t202" style="position:absolute;left:3075305;top:1770380;height:279400;width:52832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I32mOe6AQAAXQMAAA4AAAAAAAAAAQAgAAAAIwEAAGRycy9lMm9Eb2MueG1sUEsFBgAA&#10;AAAGAAYAWQEAAE8FAAAAAA==&#10;">
                        <v:fill on="f" focussize="0,0"/>
                        <v:stroke on="f"/>
                        <v:imagedata o:title=""/>
                        <o:lock v:ext="edit" aspectratio="f"/>
                        <v:textbox>
                          <w:txbxContent>
                            <w:p w14:paraId="3E089E73">
                              <w:pPr>
                                <w:spacing w:line="240" w:lineRule="auto"/>
                                <w:rPr>
                                  <w:rFonts w:hint="default" w:eastAsia="宋体"/>
                                  <w:sz w:val="21"/>
                                  <w:szCs w:val="21"/>
                                  <w:lang w:val="en-US" w:eastAsia="zh-CN"/>
                                </w:rPr>
                              </w:pPr>
                              <w:r>
                                <w:rPr>
                                  <w:rFonts w:hint="eastAsia"/>
                                  <w:sz w:val="21"/>
                                  <w:szCs w:val="21"/>
                                  <w:lang w:val="en-US" w:eastAsia="zh-CN"/>
                                </w:rPr>
                                <w:t>0.000</w:t>
                              </w:r>
                            </w:p>
                          </w:txbxContent>
                        </v:textbox>
                      </v:shape>
                      <v:shape id="文本框 118" o:spid="_x0000_s1026" o:spt="202" type="#_x0000_t202" style="position:absolute;left:3067685;top:2339975;height:279400;width:68453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TiZF1AAAAAUBAAAPAAAAAAAAAAEAIAAAACIAAABkcnMvZG93bnJldi54bWxQSwECFAAU&#10;AAAACACHTuJAsNCe2LwBAABdAwAADgAAAAAAAAABACAAAAAjAQAAZHJzL2Uyb0RvYy54bWxQSwUG&#10;AAAAAAYABgBZAQAAUQUAAAAA&#10;">
                        <v:fill on="f" focussize="0,0"/>
                        <v:stroke on="f"/>
                        <v:imagedata o:title=""/>
                        <o:lock v:ext="edit" aspectratio="f"/>
                        <v:textbox>
                          <w:txbxContent>
                            <w:p w14:paraId="2B8C943C">
                              <w:pPr>
                                <w:spacing w:line="240" w:lineRule="auto"/>
                                <w:rPr>
                                  <w:rFonts w:hint="default" w:eastAsia="宋体"/>
                                  <w:sz w:val="21"/>
                                  <w:szCs w:val="21"/>
                                  <w:lang w:val="en-US" w:eastAsia="zh-CN"/>
                                </w:rPr>
                              </w:pPr>
                              <w:r>
                                <w:rPr>
                                  <w:rFonts w:hint="eastAsia"/>
                                  <w:sz w:val="21"/>
                                  <w:szCs w:val="21"/>
                                  <w:lang w:val="en-US" w:eastAsia="zh-CN"/>
                                </w:rPr>
                                <w:t>189.21</w:t>
                              </w:r>
                            </w:p>
                          </w:txbxContent>
                        </v:textbox>
                      </v:shape>
                      <v:shape id="文本框 119" o:spid="_x0000_s1026" o:spt="202" type="#_x0000_t202" style="position:absolute;left:3141980;top:2884805;height:279400;width:53657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TiZF1AAAAAUBAAAPAAAAAAAAAAEAIAAAACIAAABkcnMvZG93bnJldi54bWxQSwECFAAU&#10;AAAACACHTuJAsZnU/7wBAABdAwAADgAAAAAAAAABACAAAAAjAQAAZHJzL2Uyb0RvYy54bWxQSwUG&#10;AAAAAAYABgBZAQAAUQUAAAAA&#10;">
                        <v:fill on="f" focussize="0,0"/>
                        <v:stroke on="f"/>
                        <v:imagedata o:title=""/>
                        <o:lock v:ext="edit" aspectratio="f"/>
                        <v:textbox>
                          <w:txbxContent>
                            <w:p w14:paraId="74E045B0">
                              <w:pPr>
                                <w:spacing w:line="240" w:lineRule="auto"/>
                                <w:rPr>
                                  <w:rFonts w:hint="default" w:eastAsia="宋体"/>
                                  <w:sz w:val="21"/>
                                  <w:szCs w:val="21"/>
                                  <w:lang w:val="en-US" w:eastAsia="zh-CN"/>
                                </w:rPr>
                              </w:pPr>
                              <w:r>
                                <w:rPr>
                                  <w:rFonts w:hint="eastAsia"/>
                                  <w:sz w:val="21"/>
                                  <w:szCs w:val="21"/>
                                  <w:lang w:val="en-US" w:eastAsia="zh-CN"/>
                                </w:rPr>
                                <w:t>525.6</w:t>
                              </w:r>
                            </w:p>
                          </w:txbxContent>
                        </v:textbox>
                      </v:shape>
                      <v:shape id="文本框 120" o:spid="_x0000_s1026" o:spt="202" type="#_x0000_t202" style="position:absolute;left:4324985;top:1622425;height:279400;width:73469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F7MxAW6AQAAXQMAAA4AAAAAAAAAAQAgAAAAIwEAAGRycy9lMm9Eb2MueG1sUEsFBgAA&#10;AAAGAAYAWQEAAE8FAAAAAA==&#10;">
                        <v:fill on="f" focussize="0,0"/>
                        <v:stroke on="f"/>
                        <v:imagedata o:title=""/>
                        <o:lock v:ext="edit" aspectratio="f"/>
                        <v:textbox>
                          <w:txbxContent>
                            <w:p w14:paraId="54C3272E">
                              <w:pPr>
                                <w:spacing w:line="240" w:lineRule="auto"/>
                                <w:rPr>
                                  <w:rFonts w:hint="default" w:eastAsia="宋体"/>
                                  <w:sz w:val="21"/>
                                  <w:szCs w:val="21"/>
                                  <w:lang w:val="en-US" w:eastAsia="zh-CN"/>
                                </w:rPr>
                              </w:pPr>
                              <w:r>
                                <w:rPr>
                                  <w:rFonts w:hint="eastAsia"/>
                                  <w:sz w:val="21"/>
                                  <w:szCs w:val="21"/>
                                  <w:lang w:val="en-US" w:eastAsia="zh-CN"/>
                                </w:rPr>
                                <w:t>3724.45</w:t>
                              </w:r>
                            </w:p>
                          </w:txbxContent>
                        </v:textbox>
                      </v:shape>
                      <v:shape id="文本框 122" o:spid="_x0000_s1026" o:spt="202" type="#_x0000_t202" style="position:absolute;left:351790;top:1004570;height:300990;width:78295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TiZF1AAAAAUBAAAPAAAAAAAAAAEAIAAAACIAAABkcnMvZG93bnJldi54bWxQSwECFAAUAAAA&#10;CACHTuJAunaK77kBAABcAwAADgAAAAAAAAABACAAAAAjAQAAZHJzL2Uyb0RvYy54bWxQSwUGAAAA&#10;AAYABgBZAQAATgUAAAAA&#10;">
                        <v:fill on="f" focussize="0,0"/>
                        <v:stroke on="f"/>
                        <v:imagedata o:title=""/>
                        <o:lock v:ext="edit" aspectratio="f"/>
                        <v:textbox>
                          <w:txbxContent>
                            <w:p w14:paraId="4910D9F0">
                              <w:pPr>
                                <w:spacing w:line="240" w:lineRule="auto"/>
                                <w:rPr>
                                  <w:rFonts w:hint="default" w:eastAsia="宋体"/>
                                  <w:sz w:val="21"/>
                                  <w:szCs w:val="21"/>
                                  <w:lang w:val="en-US" w:eastAsia="zh-CN"/>
                                </w:rPr>
                              </w:pPr>
                              <w:r>
                                <w:rPr>
                                  <w:rFonts w:hint="eastAsia"/>
                                  <w:sz w:val="21"/>
                                  <w:szCs w:val="21"/>
                                  <w:lang w:val="en-US" w:eastAsia="zh-CN"/>
                                </w:rPr>
                                <w:t>4656.66</w:t>
                              </w:r>
                            </w:p>
                          </w:txbxContent>
                        </v:textbox>
                      </v:shape>
                      <v:shape id="文本框 123" o:spid="_x0000_s1026" o:spt="202" type="#_x0000_t202" style="position:absolute;left:830580;top:160020;height:266700;width:556895;" filled="f" stroked="t" coordsize="21600,21600" o:gfxdata="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CyyNtQAAAAFAQAADwAAAAAAAAABACAAAAAiAAAAZHJz&#10;L2Rvd25yZXYueG1sUEsBAhQAFAAAAAgAh07iQGQsG2fPAQAAhAMAAA4AAAAAAAAAAQAgAAAAIwEA&#10;AGRycy9lMm9Eb2MueG1sUEsFBgAAAAAGAAYAWQEAAGQFAAAAAA==&#10;">
                        <v:fill on="f" focussize="0,0"/>
                        <v:stroke color="#000000 [3213]" joinstyle="round"/>
                        <v:imagedata o:title=""/>
                        <o:lock v:ext="edit" aspectratio="f"/>
                        <v:textbox>
                          <w:txbxContent>
                            <w:p w14:paraId="6BA71304">
                              <w:pPr>
                                <w:spacing w:line="240" w:lineRule="auto"/>
                                <w:rPr>
                                  <w:rFonts w:hint="default" w:eastAsia="宋体"/>
                                  <w:sz w:val="21"/>
                                  <w:szCs w:val="21"/>
                                  <w:lang w:val="en-US" w:eastAsia="zh-CN"/>
                                </w:rPr>
                              </w:pPr>
                              <w:r>
                                <w:rPr>
                                  <w:rFonts w:hint="eastAsia"/>
                                  <w:sz w:val="21"/>
                                  <w:szCs w:val="21"/>
                                  <w:lang w:val="en-US" w:eastAsia="zh-CN"/>
                                </w:rPr>
                                <w:t>2737.5</w:t>
                              </w:r>
                            </w:p>
                          </w:txbxContent>
                        </v:textbox>
                      </v:shape>
                      <v:shape id="文本框 133" o:spid="_x0000_s1026" o:spt="202" type="#_x0000_t202" style="position:absolute;left:906145;top:666115;height:309245;width:69405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TiZF1AAAAAUBAAAPAAAAAAAAAAEAIAAAACIAAABkcnMvZG93bnJldi54bWxQSwECFAAUAAAA&#10;CACHTuJAIHDCtrkBAABbAwAADgAAAAAAAAABACAAAAAjAQAAZHJzL2Uyb0RvYy54bWxQSwUGAAAA&#10;AAYABgBZAQAATgUAAAAA&#10;">
                        <v:fill on="f" focussize="0,0"/>
                        <v:stroke on="f"/>
                        <v:imagedata o:title=""/>
                        <o:lock v:ext="edit" aspectratio="f"/>
                        <v:textbox>
                          <w:txbxContent>
                            <w:p w14:paraId="2FD0D0E6">
                              <w:pPr>
                                <w:spacing w:line="240" w:lineRule="auto"/>
                                <w:rPr>
                                  <w:rFonts w:hint="default" w:eastAsia="宋体"/>
                                  <w:sz w:val="21"/>
                                  <w:szCs w:val="21"/>
                                  <w:lang w:val="en-US" w:eastAsia="zh-CN"/>
                                </w:rPr>
                              </w:pPr>
                              <w:r>
                                <w:rPr>
                                  <w:rFonts w:hint="eastAsia"/>
                                  <w:sz w:val="21"/>
                                  <w:szCs w:val="21"/>
                                  <w:lang w:val="en-US" w:eastAsia="zh-CN"/>
                                </w:rPr>
                                <w:t>191.625</w:t>
                              </w:r>
                            </w:p>
                          </w:txbxContent>
                        </v:textbox>
                      </v:shape>
                      <v:shape id="文本框 154" o:spid="_x0000_s1026" o:spt="202" type="#_x0000_t202" style="position:absolute;left:895985;top:1279525;height:309245;width:67564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TiZF1AAAAAUBAAAPAAAAAAAAAAEAIAAAACIAAABkcnMvZG93bnJldi54bWxQSwECFAAUAAAA&#10;CACHTuJAneQ6yrkBAABcAwAADgAAAAAAAAABACAAAAAjAQAAZHJzL2Uyb0RvYy54bWxQSwUGAAAA&#10;AAYABgBZAQAATgUAAAAA&#10;">
                        <v:fill on="f" focussize="0,0"/>
                        <v:stroke on="f"/>
                        <v:imagedata o:title=""/>
                        <o:lock v:ext="edit" aspectratio="f"/>
                        <v:textbox>
                          <w:txbxContent>
                            <w:p w14:paraId="2C508183">
                              <w:pPr>
                                <w:spacing w:line="240" w:lineRule="auto"/>
                                <w:rPr>
                                  <w:rFonts w:hint="default" w:eastAsia="宋体"/>
                                  <w:sz w:val="21"/>
                                  <w:szCs w:val="21"/>
                                  <w:lang w:val="en-US" w:eastAsia="zh-CN"/>
                                </w:rPr>
                              </w:pPr>
                              <w:r>
                                <w:rPr>
                                  <w:rFonts w:hint="eastAsia"/>
                                  <w:sz w:val="21"/>
                                  <w:szCs w:val="21"/>
                                  <w:lang w:val="en-US" w:eastAsia="zh-CN"/>
                                </w:rPr>
                                <w:t>427.05</w:t>
                              </w:r>
                            </w:p>
                          </w:txbxContent>
                        </v:textbox>
                      </v:shape>
                      <v:shape id="文本框 155" o:spid="_x0000_s1026" o:spt="202" type="#_x0000_t202" style="position:absolute;left:952500;top:1841500;height:309245;width:5270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VOJkXUAAAABQEAAA8AAAAAAAAAAQAgAAAAIgAAAGRycy9kb3ducmV2LnhtbFBLAQIUABQAAAAI&#10;AIdO4kA4vPQauAEAAFwDAAAOAAAAAAAAAAEAIAAAACMBAABkcnMvZTJvRG9jLnhtbFBLBQYAAAAA&#10;BgAGAFkBAABNBQAAAAA=&#10;">
                        <v:fill on="f" focussize="0,0"/>
                        <v:stroke on="f"/>
                        <v:imagedata o:title=""/>
                        <o:lock v:ext="edit" aspectratio="f"/>
                        <v:textbox>
                          <w:txbxContent>
                            <w:p w14:paraId="04503CCD">
                              <w:pPr>
                                <w:spacing w:line="240" w:lineRule="auto"/>
                                <w:rPr>
                                  <w:rFonts w:hint="default" w:eastAsia="宋体"/>
                                  <w:sz w:val="21"/>
                                  <w:szCs w:val="21"/>
                                  <w:lang w:val="en-US" w:eastAsia="zh-CN"/>
                                </w:rPr>
                              </w:pPr>
                              <w:r>
                                <w:rPr>
                                  <w:rFonts w:hint="eastAsia"/>
                                  <w:sz w:val="21"/>
                                  <w:szCs w:val="21"/>
                                  <w:lang w:val="en-US" w:eastAsia="zh-CN"/>
                                </w:rPr>
                                <w:t>0.00</w:t>
                              </w:r>
                            </w:p>
                          </w:txbxContent>
                        </v:textbox>
                      </v:shape>
                      <v:shape id="文本框 156" o:spid="_x0000_s1026" o:spt="202" type="#_x0000_t202" style="position:absolute;left:907415;top:2303145;height:309245;width:664845;"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F4TdSS6AQAAXAMAAA4AAAAAAAAAAQAgAAAAIwEAAGRycy9lMm9Eb2MueG1sUEsFBgAA&#10;AAAGAAYAWQEAAE8FAAAAAA==&#10;">
                        <v:fill on="f" focussize="0,0"/>
                        <v:stroke on="f"/>
                        <v:imagedata o:title=""/>
                        <o:lock v:ext="edit" aspectratio="f"/>
                        <v:textbox>
                          <w:txbxContent>
                            <w:p w14:paraId="5233924F">
                              <w:pPr>
                                <w:spacing w:line="240" w:lineRule="auto"/>
                                <w:rPr>
                                  <w:rFonts w:hint="default" w:eastAsia="宋体"/>
                                  <w:sz w:val="21"/>
                                  <w:szCs w:val="21"/>
                                  <w:lang w:val="en-US" w:eastAsia="zh-CN"/>
                                </w:rPr>
                              </w:pPr>
                              <w:r>
                                <w:rPr>
                                  <w:rFonts w:hint="eastAsia"/>
                                  <w:sz w:val="21"/>
                                  <w:szCs w:val="21"/>
                                  <w:lang w:val="en-US" w:eastAsia="zh-CN"/>
                                </w:rPr>
                                <w:t>236.507</w:t>
                              </w:r>
                            </w:p>
                          </w:txbxContent>
                        </v:textbox>
                      </v:shape>
                      <v:shape id="文本框 157" o:spid="_x0000_s1026" o:spt="202" type="#_x0000_t202" style="position:absolute;left:983615;top:2962910;height:309245;width:5270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I5gNtW6AQAAXAMAAA4AAAAAAAAAAQAgAAAAIwEAAGRycy9lMm9Eb2MueG1sUEsFBgAA&#10;AAAGAAYAWQEAAE8FAAAAAA==&#10;">
                        <v:fill on="f" focussize="0,0"/>
                        <v:stroke on="f"/>
                        <v:imagedata o:title=""/>
                        <o:lock v:ext="edit" aspectratio="f"/>
                        <v:textbox>
                          <w:txbxContent>
                            <w:p w14:paraId="2BC3898C">
                              <w:pPr>
                                <w:spacing w:line="240" w:lineRule="auto"/>
                                <w:rPr>
                                  <w:rFonts w:hint="default" w:eastAsia="宋体"/>
                                  <w:sz w:val="21"/>
                                  <w:szCs w:val="21"/>
                                  <w:lang w:val="en-US" w:eastAsia="zh-CN"/>
                                </w:rPr>
                              </w:pPr>
                              <w:r>
                                <w:rPr>
                                  <w:rFonts w:hint="eastAsia"/>
                                  <w:sz w:val="21"/>
                                  <w:szCs w:val="21"/>
                                  <w:lang w:val="en-US" w:eastAsia="zh-CN"/>
                                </w:rPr>
                                <w:t>657</w:t>
                              </w:r>
                            </w:p>
                          </w:txbxContent>
                        </v:textbox>
                      </v:shape>
                      <v:shape id="文本框 158" o:spid="_x0000_s1026" o:spt="202" type="#_x0000_t202" style="position:absolute;left:963295;top:3503295;height:309245;width:5270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TiZF1AAAAAUBAAAPAAAAAAAAAAEAIAAAACIAAABkcnMvZG93bnJldi54bWxQSwECFAAUAAAA&#10;CACHTuJAmoco1bkBAABcAwAADgAAAAAAAAABACAAAAAjAQAAZHJzL2Uyb0RvYy54bWxQSwUGAAAA&#10;AAYABgBZAQAATgUAAAAA&#10;">
                        <v:fill on="f" focussize="0,0"/>
                        <v:stroke on="f"/>
                        <v:imagedata o:title=""/>
                        <o:lock v:ext="edit" aspectratio="f"/>
                        <v:textbox>
                          <w:txbxContent>
                            <w:p w14:paraId="45650FFF">
                              <w:pPr>
                                <w:spacing w:line="240" w:lineRule="auto"/>
                                <w:rPr>
                                  <w:rFonts w:hint="default" w:eastAsia="宋体"/>
                                  <w:sz w:val="21"/>
                                  <w:szCs w:val="21"/>
                                  <w:lang w:val="en-US" w:eastAsia="zh-CN"/>
                                </w:rPr>
                              </w:pPr>
                              <w:r>
                                <w:rPr>
                                  <w:rFonts w:hint="eastAsia"/>
                                  <w:sz w:val="21"/>
                                  <w:szCs w:val="21"/>
                                  <w:lang w:val="en-US" w:eastAsia="zh-CN"/>
                                </w:rPr>
                                <w:t>401.5</w:t>
                              </w:r>
                            </w:p>
                          </w:txbxContent>
                        </v:textbox>
                      </v:shape>
                      <v:shape id="_x0000_s1026" o:spid="_x0000_s1026" o:spt="32" type="#_x0000_t32" style="position:absolute;left:997585;top:4253230;height:0;width:409575;" filled="f" stroked="t" coordsize="21600,21600" o:gfxdata="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Zum9j1AAAAAUBAAAP&#10;AAAAAAAAAAEAIAAAACIAAABkcnMvZG93bnJldi54bWxQSwECFAAUAAAACACHTuJA8XDuuhwCAAD8&#10;AwAADgAAAAAAAAABACAAAAAjAQAAZHJzL2Uyb0RvYy54bWxQSwUGAAAAAAYABgBZAQAAsQUAAAAA&#10;">
                        <v:fill on="f" focussize="0,0"/>
                        <v:stroke weight="1pt" color="#000000" miterlimit="8" joinstyle="miter" endarrow="open"/>
                        <v:imagedata o:title=""/>
                        <o:lock v:ext="edit" aspectratio="f"/>
                      </v:shape>
                      <v:shape id="文本框 158" o:spid="_x0000_s1026" o:spt="202" type="#_x0000_t202" style="position:absolute;left:989330;top:3979545;height:309245;width:5270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EpKoYS6AQAAWwMAAA4AAAAAAAAAAQAgAAAAIwEAAGRycy9lMm9Eb2MueG1sUEsFBgAA&#10;AAAGAAYAWQEAAE8FAAAAAA==&#10;">
                        <v:fill on="f" focussize="0,0"/>
                        <v:stroke on="f"/>
                        <v:imagedata o:title=""/>
                        <o:lock v:ext="edit" aspectratio="f"/>
                        <v:textbox>
                          <w:txbxContent>
                            <w:p w14:paraId="03768C6A">
                              <w:pPr>
                                <w:spacing w:line="240" w:lineRule="auto"/>
                                <w:rPr>
                                  <w:rFonts w:hint="default" w:eastAsia="宋体"/>
                                  <w:sz w:val="21"/>
                                  <w:szCs w:val="21"/>
                                  <w:lang w:val="en-US" w:eastAsia="zh-CN"/>
                                </w:rPr>
                              </w:pPr>
                              <w:r>
                                <w:rPr>
                                  <w:rFonts w:hint="eastAsia"/>
                                  <w:sz w:val="21"/>
                                  <w:szCs w:val="21"/>
                                  <w:lang w:val="en-US" w:eastAsia="zh-CN"/>
                                </w:rPr>
                                <w:t>5.475</w:t>
                              </w:r>
                            </w:p>
                          </w:txbxContent>
                        </v:textbox>
                      </v:shape>
                      <v:rect id="矩形 87" o:spid="_x0000_s1026" o:spt="1" style="position:absolute;left:1459865;top:4153535;height:353695;width:927100;" fillcolor="#FFFFFF" filled="t" stroked="t" coordsize="21600,21600" o:gfxdata="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zxRVLVAAAABQEAAA8AAAAAAAAAAQAgAAAA&#10;IgAAAGRycy9kb3ducmV2LnhtbFBLAQIUABQAAAAIAIdO4kCad2+RDgIAADYEAAAOAAAAAAAAAAEA&#10;IAAAACQBAABkcnMvZTJvRG9jLnhtbFBLBQYAAAAABgAGAFkBAACkBQAAAAA=&#10;">
                        <v:fill on="t" focussize="0,0"/>
                        <v:stroke color="#000000" joinstyle="miter"/>
                        <v:imagedata o:title=""/>
                        <o:lock v:ext="edit" aspectratio="f"/>
                        <v:textbox>
                          <w:txbxContent>
                            <w:p w14:paraId="7C54B582">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检验室</w:t>
                              </w:r>
                            </w:p>
                          </w:txbxContent>
                        </v:textbox>
                      </v:rect>
                      <v:shape id="曲线连接符 92" o:spid="_x0000_s1026" o:spt="38" type="#_x0000_t38" style="position:absolute;left:2136140;top:4030980;flip:y;height:76200;width:241300;" filled="f" stroked="t" coordsize="21600,21600" o:gfxdata="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UP+hM0wAAAAUBAAAPAAAAAAAAAAEAIAAAACIAAABkcnMvZG93bnJldi54bWxQSwECFAAUAAAA&#10;CACHTuJAjn6C6CwCAAAtBAAADgAAAAAAAAABACAAAAAiAQAAZHJzL2Uyb0RvYy54bWxQSwUGAAAA&#10;AAYABgBZAQAAwAUAAAAA&#10;" adj="10855">
                        <v:fill on="f" focussize="0,0"/>
                        <v:stroke color="#000000" joinstyle="round" endarrow="open"/>
                        <v:imagedata o:title=""/>
                        <o:lock v:ext="edit" aspectratio="f"/>
                      </v:shape>
                      <v:shape id="文本框 95" o:spid="_x0000_s1026" o:spt="202" type="#_x0000_t202" style="position:absolute;left:2412365;top:3867150;height:279400;width:5397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U4mRdQAAAAFAQAADwAAAAAAAAABACAAAAAiAAAAZHJzL2Rvd25yZXYueG1sUEsBAhQAFAAA&#10;AAgAh07iQERZhF66AQAAWwMAAA4AAAAAAAAAAQAgAAAAIwEAAGRycy9lMm9Eb2MueG1sUEsFBgAA&#10;AAAGAAYAWQEAAE8FAAAAAA==&#10;">
                        <v:fill on="f" focussize="0,0"/>
                        <v:stroke on="f"/>
                        <v:imagedata o:title=""/>
                        <o:lock v:ext="edit" aspectratio="f"/>
                        <v:textbox>
                          <w:txbxContent>
                            <w:p w14:paraId="4C102987">
                              <w:pPr>
                                <w:spacing w:line="240" w:lineRule="auto"/>
                                <w:rPr>
                                  <w:rFonts w:hint="default" w:eastAsia="宋体"/>
                                  <w:sz w:val="21"/>
                                  <w:szCs w:val="21"/>
                                  <w:lang w:val="en-US" w:eastAsia="zh-CN"/>
                                </w:rPr>
                              </w:pPr>
                              <w:r>
                                <w:rPr>
                                  <w:rFonts w:hint="eastAsia"/>
                                  <w:sz w:val="21"/>
                                  <w:szCs w:val="21"/>
                                  <w:lang w:val="en-US" w:eastAsia="zh-CN"/>
                                </w:rPr>
                                <w:t>1.095</w:t>
                              </w:r>
                            </w:p>
                          </w:txbxContent>
                        </v:textbox>
                      </v:shape>
                      <v:shape id="_x0000_s1026" o:spid="_x0000_s1026" o:spt="32" type="#_x0000_t32" style="position:absolute;left:2386965;top:4330700;height:0;width:1241425;" filled="f" stroked="t" coordsize="21600,21600" o:gfxdata="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um9j1AAAAAUBAAAPAAAAAAAAAAEAIAAAACIAAABkcnMvZG93bnJldi54bWxQSwECFAAUAAAA&#10;CACHTuJA0a+azisCAAAlBAAADgAAAAAAAAABACAAAAAjAQAAZHJzL2Uyb0RvYy54bWxQSwUGAAAA&#10;AAYABgBZAQAAwAUAAAAA&#10;">
                        <v:fill on="f" focussize="0,0"/>
                        <v:stroke weight="1pt" color="#000000" miterlimit="8" joinstyle="miter" endarrow="open"/>
                        <v:imagedata o:title=""/>
                        <o:lock v:ext="edit" aspectratio="f"/>
                      </v:shape>
                      <v:shape id="文本框 95" o:spid="_x0000_s1026" o:spt="202" type="#_x0000_t202" style="position:absolute;left:3001645;top:4358640;height:279400;width:5397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OJkXUAAAABQEAAA8AAAAAAAAAAQAgAAAAIgAAAGRycy9kb3ducmV2LnhtbFBLAQIUABQA&#10;AAAIAIdO4kCzNnR9uwEAAFsDAAAOAAAAAAAAAAEAIAAAACMBAABkcnMvZTJvRG9jLnhtbFBLBQYA&#10;AAAABgAGAFkBAABQBQAAAAA=&#10;">
                        <v:fill on="f" focussize="0,0"/>
                        <v:stroke on="f"/>
                        <v:imagedata o:title=""/>
                        <o:lock v:ext="edit" aspectratio="f"/>
                        <v:textbox>
                          <w:txbxContent>
                            <w:p w14:paraId="0FFAD397">
                              <w:pPr>
                                <w:spacing w:line="240" w:lineRule="auto"/>
                                <w:rPr>
                                  <w:rFonts w:hint="default" w:eastAsia="宋体"/>
                                  <w:sz w:val="21"/>
                                  <w:szCs w:val="21"/>
                                  <w:lang w:val="en-US" w:eastAsia="zh-CN"/>
                                </w:rPr>
                              </w:pPr>
                              <w:r>
                                <w:rPr>
                                  <w:rFonts w:hint="eastAsia"/>
                                  <w:sz w:val="21"/>
                                  <w:szCs w:val="21"/>
                                  <w:lang w:val="en-US" w:eastAsia="zh-CN"/>
                                </w:rPr>
                                <w:t>0.876</w:t>
                              </w:r>
                            </w:p>
                          </w:txbxContent>
                        </v:textbox>
                      </v:shape>
                      <v:shape id="_x0000_s1026" o:spid="_x0000_s1026" o:spt="202" type="#_x0000_t202" style="position:absolute;left:3648710;top:4239260;height:468630;width:738505;" fillcolor="#FFFFFF [3201]" filled="t" stroked="t" coordsize="21600,21600" o:gfxdata="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0pcx/UAAAABQEAAA8AAAAAAAAAAQAgAAAAIgAAAGRycy9kb3ducmV2LnhtbFBLAQIUABQAAAAI&#10;AIdO4kAGRg0UYwIAAMYEAAAOAAAAAAAAAAEAIAAAACMBAABkcnMvZTJvRG9jLnhtbFBLBQYAAAAA&#10;BgAGAFkBAAD4BQAAAAA=&#10;">
                        <v:fill on="t" focussize="0,0"/>
                        <v:stroke weight="0.5pt" color="#000000 [3204]" joinstyle="round"/>
                        <v:imagedata o:title=""/>
                        <o:lock v:ext="edit" aspectratio="f"/>
                        <v:textbox>
                          <w:txbxContent>
                            <w:p w14:paraId="13595608">
                              <w:pPr>
                                <w:rPr>
                                  <w:rFonts w:hint="default" w:eastAsia="宋体"/>
                                  <w:sz w:val="18"/>
                                  <w:szCs w:val="18"/>
                                  <w:lang w:val="en-US" w:eastAsia="zh-CN"/>
                                  <w14:textOutline w14:w="9525">
                                    <w14:solidFill>
                                      <w14:srgbClr w14:val="000000"/>
                                    </w14:solidFill>
                                    <w14:round/>
                                  </w14:textOutline>
                                </w:rPr>
                              </w:pPr>
                              <w:r>
                                <w:rPr>
                                  <w:rFonts w:hint="eastAsia" w:ascii="Times New Roman" w:hAnsi="Times New Roman" w:eastAsia="宋体" w:cs="Times New Roman"/>
                                  <w:sz w:val="18"/>
                                  <w:szCs w:val="18"/>
                                  <w:lang w:val="en-US" w:eastAsia="zh-CN"/>
                                </w:rPr>
                                <w:t>单独收集做危废处</w:t>
                              </w:r>
                              <w:r>
                                <w:rPr>
                                  <w:rFonts w:hint="eastAsia" w:eastAsia="宋体" w:cs="Times New Roman"/>
                                  <w:sz w:val="18"/>
                                  <w:szCs w:val="18"/>
                                  <w:lang w:val="en-US" w:eastAsia="zh-CN"/>
                                </w:rPr>
                                <w:t>理</w:t>
                              </w:r>
                            </w:p>
                          </w:txbxContent>
                        </v:textbox>
                      </v:shape>
                      <v:shape id="_x0000_s1026" o:spid="_x0000_s1026" o:spt="32" type="#_x0000_t32" style="position:absolute;left:2672080;top:4084320;flip:y;height:257810;width:179070;" filled="f" stroked="t" coordsize="21600,21600" o:gfxdata="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9EPTu2AAAAAUBAAAPAAAAAAAAAAEAIAAAACIAAABkcnMvZG93bnJldi54bWxQSwECFAAUAAAA&#10;CACHTuJAIyAK/ScCAAAOBAAADgAAAAAAAAABACAAAAAnAQAAZHJzL2Uyb0RvYy54bWxQSwUGAAAA&#10;AAYABgBZAQAAwAUAAAAA&#10;">
                        <v:fill on="f" focussize="0,0"/>
                        <v:stroke weight="1pt" color="#000000" miterlimit="8" joinstyle="miter" endarrow="open"/>
                        <v:imagedata o:title=""/>
                        <o:lock v:ext="edit" aspectratio="f"/>
                      </v:shape>
                      <v:shape id="_x0000_s1026" o:spid="_x0000_s1026" o:spt="32" type="#_x0000_t32" style="position:absolute;left:2860675;top:4114165;height:0;width:1577975;" filled="f" stroked="t" coordsize="21600,21600" o:gfxdata="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um9j1AAAAAUB&#10;AAAPAAAAAAAAAAEAIAAAACIAAABkcnMvZG93bnJldi54bWxQSwECFAAUAAAACACHTuJAw8GQzh8C&#10;AAAABAAADgAAAAAAAAABACAAAAAjAQAAZHJzL2Uyb0RvYy54bWxQSwUGAAAAAAYABgBZAQAAtAUA&#10;AAAA&#10;">
                        <v:fill on="f" focussize="0,0"/>
                        <v:stroke weight="1pt" color="#000000" miterlimit="8" joinstyle="miter" endarrow="open"/>
                        <v:imagedata o:title=""/>
                        <o:lock v:ext="edit" aspectratio="f"/>
                      </v:shape>
                      <v:shape id="_x0000_s1026" o:spid="_x0000_s1026" o:spt="32" type="#_x0000_t32" style="position:absolute;left:4438650;top:2724785;flip:y;height:1398905;width:0;" filled="f" stroked="t" coordsize="21600,21600" o:gfxdata="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9&#10;EPTu2AAAAAUBAAAPAAAAAAAAAAEAIAAAACIAAABkcnMvZG93bnJldi54bWxQSwECFAAUAAAACACH&#10;TuJAH5QfviQCAAAKBAAADgAAAAAAAAABACAAAAAnAQAAZHJzL2Uyb0RvYy54bWxQSwUGAAAAAAYA&#10;BgBZAQAAvQUAAAAA&#10;">
                        <v:fill on="f" focussize="0,0"/>
                        <v:stroke weight="1pt" color="#000000" miterlimit="8" joinstyle="miter" endarrow="open"/>
                        <v:imagedata o:title=""/>
                        <o:lock v:ext="edit" aspectratio="f"/>
                      </v:shape>
                      <v:shape id="_x0000_s1026" o:spid="_x0000_s1026" o:spt="32" type="#_x0000_t32" style="position:absolute;left:3900170;top:1196340;flip:x y;height:1568450;width:538480;" filled="f" stroked="t" coordsize="21600,21600" o:gfxdata="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eNXrU1wAAAAUBAAAPAAAAAAAAAAEAIAAAACIAAABkcnMv&#10;ZG93bnJldi54bWxQSwECFAAUAAAACACHTuJAPuuC+j0CAABCBAAADgAAAAAAAAABACAAAAAmAQAA&#10;ZHJzL2Uyb0RvYy54bWxQSwUGAAAAAAYABgBZAQAA1QUAAAAA&#10;">
                        <v:fill on="f" focussize="0,0"/>
                        <v:stroke weight="1pt" color="#000000" miterlimit="8" joinstyle="miter" endarrow="open"/>
                        <v:imagedata o:title=""/>
                        <o:lock v:ext="edit" aspectratio="f"/>
                      </v:shape>
                      <v:shape id="文本框 95" o:spid="_x0000_s1026" o:spt="202" type="#_x0000_t202" style="position:absolute;left:2937510;top:3880485;height:279400;width:539750;" filled="f" stroked="f" coordsize="21600,21600" o:gfxdata="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TiZF1AAAAAUBAAAPAAAAAAAAAAEAIAAAACIAAABkcnMvZG93bnJldi54bWxQSwECFAAU&#10;AAAACACHTuJAPzrbarwBAABcAwAADgAAAAAAAAABACAAAAAjAQAAZHJzL2Uyb0RvYy54bWxQSwUG&#10;AAAAAAYABgBZAQAAUQUAAAAA&#10;">
                        <v:fill on="f" focussize="0,0"/>
                        <v:stroke on="f"/>
                        <v:imagedata o:title=""/>
                        <o:lock v:ext="edit" aspectratio="f"/>
                        <v:textbox>
                          <w:txbxContent>
                            <w:p w14:paraId="06AEA2D7">
                              <w:pPr>
                                <w:spacing w:line="240" w:lineRule="auto"/>
                                <w:rPr>
                                  <w:rFonts w:hint="default" w:eastAsia="宋体"/>
                                  <w:sz w:val="21"/>
                                  <w:szCs w:val="21"/>
                                  <w:lang w:val="en-US" w:eastAsia="zh-CN"/>
                                </w:rPr>
                              </w:pPr>
                              <w:r>
                                <w:rPr>
                                  <w:rFonts w:hint="eastAsia"/>
                                  <w:sz w:val="21"/>
                                  <w:szCs w:val="21"/>
                                  <w:lang w:val="en-US" w:eastAsia="zh-CN"/>
                                </w:rPr>
                                <w:t>3.504</w:t>
                              </w:r>
                            </w:p>
                          </w:txbxContent>
                        </v:textbox>
                      </v:shape>
                      <v:shape id="_x0000_s1026" o:spid="_x0000_s1026" o:spt="202" type="#_x0000_t202" style="position:absolute;left:4165600;top:0;height:328930;width:646430;" filled="f" stroked="f" coordsize="21600,21600" o:gfxdata="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&#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P5oJ2AAAAAUBAAAPAAAAAAAAAAEAIAAAACIAAABk&#10;cnMvZG93bnJldi54bWxQSwECFAAUAAAACACHTuJAPzHw3D8CAABvBAAADgAAAAAAAAABACAAAAAn&#10;AQAAZHJzL2Uyb0RvYy54bWxQSwUGAAAAAAYABgBZAQAA2AUAAAAA&#10;">
                        <v:fill on="f" focussize="0,0"/>
                        <v:stroke on="f" weight="0.5pt"/>
                        <v:imagedata o:title=""/>
                        <o:lock v:ext="edit" aspectratio="f"/>
                        <v:textbox>
                          <w:txbxContent>
                            <w:p w14:paraId="491DB5A0">
                              <w:pPr>
                                <w:rPr>
                                  <w:rFonts w:hint="eastAsia" w:eastAsia="宋体"/>
                                  <w:lang w:val="en-US" w:eastAsia="zh-CN"/>
                                </w:rPr>
                              </w:pPr>
                              <w:r>
                                <w:rPr>
                                  <w:rFonts w:hint="eastAsia"/>
                                  <w:lang w:val="en-US" w:eastAsia="zh-CN"/>
                                </w:rPr>
                                <w:t>活性氧</w:t>
                              </w:r>
                            </w:p>
                          </w:txbxContent>
                        </v:textbox>
                      </v:shape>
                      <v:shape id="_x0000_s1026" o:spid="_x0000_s1026" o:spt="32" type="#_x0000_t32" style="position:absolute;left:4145280;top:1339850;height:0;width:492125;" filled="f" stroked="t" coordsize="21600,21600" o:gfxdata="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NN+TVAAAABQEA&#10;AA8AAAAAAAAAAQAgAAAAIgAAAGRycy9kb3ducmV2LnhtbFBLAQIUABQAAAAIAIdO4kCaKeTAHQIA&#10;AP4DAAAOAAAAAAAAAAEAIAAAACQBAABkcnMvZTJvRG9jLnhtbFBLBQYAAAAABgAGAFkBAACzBQAA&#10;AAA=&#10;">
                        <v:fill on="f" focussize="0,0"/>
                        <v:stroke weight="1pt" color="#000000 [3204]" miterlimit="8" joinstyle="miter" dashstyle="dash" endarrow="open"/>
                        <v:imagedata o:title=""/>
                        <o:lock v:ext="edit" aspectratio="f"/>
                      </v:shape>
                      <v:line id="_x0000_s1026" o:spid="_x0000_s1026" o:spt="20" style="position:absolute;left:4145280;top:1350010;height:1379220;width:511810;" filled="f" stroked="t" coordsize="21600,21600" o:gfxdata="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me9cAAAAFAQAADwAAAAAAAAABACAAAAAiAAAAZHJzL2Rvd25yZXYueG1sUEsB&#10;AhQAFAAAAAgAh07iQDFufGD2AQAAxQMAAA4AAAAAAAAAAQAgAAAAJgEAAGRycy9lMm9Eb2MueG1s&#10;UEsFBgAAAAAGAAYAWQEAAI4FAAAAAA==&#10;">
                        <v:fill on="f" focussize="0,0"/>
                        <v:stroke weight="1pt" color="#000000 [3204]" miterlimit="8" joinstyle="miter" dashstyle="dash"/>
                        <v:imagedata o:title=""/>
                        <o:lock v:ext="edit" aspectratio="f"/>
                      </v:line>
                      <v:line id="_x0000_s1026" o:spid="_x0000_s1026" o:spt="20" style="position:absolute;left:4666615;top:2748915;height:2225040;width:0;" filled="f" stroked="t" coordsize="21600,21600" o:gfxdata="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7qZ71wAAAAUBAAAPAAAAAAAAAAEAIAAAACIAAABkcnMvZG93bnJldi54bWxQSwECFAAU&#10;AAAACACHTuJAV8eY4/IBAADAAwAADgAAAAAAAAABACAAAAAmAQAAZHJzL2Uyb0RvYy54bWxQSwUG&#10;AAAAAAYABgBZAQAAigUAAAAA&#10;">
                        <v:fill on="f" focussize="0,0"/>
                        <v:stroke weight="1pt" color="#000000 [3204]" miterlimit="8" joinstyle="miter" dashstyle="dash"/>
                        <v:imagedata o:title=""/>
                        <o:lock v:ext="edit" aspectratio="f"/>
                      </v:line>
                      <v:shape id="_x0000_s1026" o:spid="_x0000_s1026" o:spt="202" type="#_x0000_t202" style="position:absolute;left:3844925;top:5003165;height:308610;width:1174115;" filled="f" stroked="t" coordsize="21600,21600" o:gfxdata="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gIPgj2AAAAAUBAAAPAAAAAAAAAAEAIAAAACIAAABkcnMvZG93bnJldi54bWxQ&#10;SwECFAAUAAAACACHTuJApJe3iWkCAAC6BAAADgAAAAAAAAABACAAAAAnAQAAZHJzL2Uyb0RvYy54&#10;bWxQSwUGAAAAAAYABgBZAQAAAgYAAAAA&#10;">
                        <v:fill on="f" focussize="0,0"/>
                        <v:stroke color="#000000 [3213]" joinstyle="round" dashstyle="3 1"/>
                        <v:imagedata o:title=""/>
                        <o:lock v:ext="edit" aspectratio="f"/>
                        <v:textbox>
                          <w:txbxContent>
                            <w:p w14:paraId="3BCBA23B">
                              <w:pPr>
                                <w:rPr>
                                  <w:rFonts w:hint="default" w:eastAsia="宋体"/>
                                  <w:lang w:val="en-US" w:eastAsia="zh-CN"/>
                                </w:rPr>
                              </w:pPr>
                              <w:r>
                                <w:rPr>
                                  <w:rFonts w:hint="eastAsia"/>
                                  <w:lang w:val="en-US" w:eastAsia="zh-CN"/>
                                </w:rPr>
                                <w:t>二氧化氯发生器</w:t>
                              </w:r>
                            </w:p>
                          </w:txbxContent>
                        </v:textbox>
                      </v:shape>
                      <v:shape id="_x0000_s1026" o:spid="_x0000_s1026" o:spt="202" type="#_x0000_t202" style="position:absolute;left:4664710;top:4279265;height:676910;width:394970;" filled="f" stroked="f" coordsize="21600,21600" o:gfxdata="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xf9sa1gAAAAUBAAAPAAAAAAAAAAEA&#10;IAAAACIAAABkcnMvZG93bnJldi54bWxQSwECFAAUAAAACACHTuJAirU6W0oCAAB3BAAADgAAAAAA&#10;AAABACAAAAAlAQAAZHJzL2Uyb0RvYy54bWxQSwUGAAAAAAYABgBZAQAA4QUAAAAA&#10;">
                        <v:fill on="f" focussize="0,0"/>
                        <v:stroke on="f" weight="0.5pt"/>
                        <v:imagedata o:title=""/>
                        <o:lock v:ext="edit" aspectratio="f"/>
                        <v:textbox style="layout-flow:vertical-ideographic;">
                          <w:txbxContent>
                            <w:p w14:paraId="76B963A1">
                              <w:pPr>
                                <w:rPr>
                                  <w:rFonts w:hint="eastAsia" w:eastAsia="宋体"/>
                                  <w:lang w:val="en-US" w:eastAsia="zh-CN"/>
                                </w:rPr>
                              </w:pPr>
                              <w:r>
                                <w:rPr>
                                  <w:rFonts w:hint="eastAsia"/>
                                  <w:lang w:val="en-US" w:eastAsia="zh-CN"/>
                                </w:rPr>
                                <w:t>二氧化氯</w:t>
                              </w:r>
                            </w:p>
                          </w:txbxContent>
                        </v:textbox>
                      </v:shape>
                      <v:shape id="_x0000_s1026" o:spid="_x0000_s1026" o:spt="32" type="#_x0000_t32" style="position:absolute;left:4432300;top:5311775;flip:y;height:344170;width:0;" filled="f" stroked="t" coordsize="21600,21600" o:gfxdata="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1RNC7WAAAABQEAAA8AAAAAAAAAAQAgAAAAIgAAAGRycy9kb3ducmV2Lnht&#10;bFBLAQIUABQAAAAIAIdO4kAMVo4oNAIAADEEAAAOAAAAAAAAAAEAIAAAACUBAABkcnMvZTJvRG9j&#10;LnhtbFBLBQYAAAAABgAGAFkBAADLBQAAAAA=&#10;">
                        <v:fill on="f" focussize="0,0"/>
                        <v:stroke weight="1pt" color="#000000 [3204]" miterlimit="8" joinstyle="miter" dashstyle="dash" endarrow="open"/>
                        <v:imagedata o:title=""/>
                        <o:lock v:ext="edit" aspectratio="f"/>
                      </v:shape>
                      <v:shape id="_x0000_s1026" o:spid="_x0000_s1026" o:spt="202" type="#_x0000_t202" style="position:absolute;left:4240530;top:5666105;height:309245;width:567055;" filled="f" stroked="f" coordsize="21600,21600" o:gfxdata="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4/mgnYAAAABQEAAA8AAAAAAAAA&#10;AQAgAAAAIgAAAGRycy9kb3ducmV2LnhtbFBLAQIUABQAAAAIAIdO4kBphxqRSgIAAHUEAAAOAAAA&#10;AAAAAAEAIAAAACcBAABkcnMvZTJvRG9jLnhtbFBLBQYAAAAABgAGAFkBAADjBQAAAAA=&#10;">
                        <v:fill on="f" focussize="0,0"/>
                        <v:stroke on="f" weight="0.5pt"/>
                        <v:imagedata o:title=""/>
                        <o:lock v:ext="edit" aspectratio="f"/>
                        <v:textbox>
                          <w:txbxContent>
                            <w:p w14:paraId="77F68489">
                              <w:pPr>
                                <w:rPr>
                                  <w:rFonts w:hint="default" w:eastAsia="宋体"/>
                                  <w:lang w:val="en-US" w:eastAsia="zh-CN"/>
                                </w:rPr>
                              </w:pPr>
                              <w:r>
                                <w:rPr>
                                  <w:rFonts w:hint="eastAsia"/>
                                  <w:lang w:val="en-US" w:eastAsia="zh-CN"/>
                                </w:rPr>
                                <w:t>粉剂</w:t>
                              </w:r>
                            </w:p>
                          </w:txbxContent>
                        </v:textbox>
                      </v:shape>
                      <v:shape id="_x0000_s1026" o:spid="_x0000_s1026" o:spt="202" type="#_x0000_t202" style="position:absolute;left:102235;top:5478145;height:734060;width:3495040;" filled="f" stroked="f" coordsize="21600,21600" o:gfxdata="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j+aCdgAAAAFAQAADwAAAAAAAAAB&#10;ACAAAAAiAAAAZHJzL2Rvd25yZXYueG1sUEsBAhQAFAAAAAgAh07iQDQ0QcZJAgAAdQQAAA4AAAAA&#10;AAAAAQAgAAAAJwEAAGRycy9lMm9Eb2MueG1sUEsFBgAAAAAGAAYAWQEAAOIFAAAAAA==&#10;">
                        <v:fill on="f" focussize="0,0"/>
                        <v:stroke on="f" weight="0.5pt"/>
                        <v:imagedata o:title=""/>
                        <o:lock v:ext="edit" aspectratio="f"/>
                        <v:textbox>
                          <w:txbxContent>
                            <w:p w14:paraId="1B49F344">
                              <w:pPr>
                                <w:keepNext w:val="0"/>
                                <w:keepLines w:val="0"/>
                                <w:pageBreakBefore w:val="0"/>
                                <w:widowControl w:val="0"/>
                                <w:kinsoku/>
                                <w:wordWrap/>
                                <w:overflowPunct/>
                                <w:topLinePunct w:val="0"/>
                                <w:bidi w:val="0"/>
                                <w:adjustRightInd/>
                                <w:snapToGrid/>
                                <w:spacing w:line="240" w:lineRule="exact"/>
                                <w:textAlignment w:val="auto"/>
                                <w:rPr>
                                  <w:rFonts w:hint="default" w:eastAsia="宋体"/>
                                  <w:sz w:val="18"/>
                                  <w:szCs w:val="18"/>
                                  <w:lang w:val="en-US" w:eastAsia="zh-CN"/>
                                </w:rPr>
                              </w:pPr>
                              <w:r>
                                <w:rPr>
                                  <w:rFonts w:hint="eastAsia"/>
                                  <w:sz w:val="18"/>
                                  <w:szCs w:val="18"/>
                                  <w:lang w:val="en-US" w:eastAsia="zh-CN"/>
                                </w:rPr>
                                <w:t>备注：1</w:t>
                              </w:r>
                              <w:r>
                                <w:rPr>
                                  <w:rFonts w:hint="eastAsia" w:ascii="PingFang SC" w:hAnsi="PingFang SC" w:eastAsia="PingFang SC" w:cs="PingFang SC"/>
                                  <w:sz w:val="18"/>
                                  <w:szCs w:val="18"/>
                                  <w:lang w:val="en-US" w:eastAsia="zh-CN"/>
                                </w:rPr>
                                <w:t>、</w:t>
                              </w:r>
                              <w:r>
                                <w:rPr>
                                  <w:rFonts w:hint="eastAsia"/>
                                  <w:sz w:val="18"/>
                                  <w:szCs w:val="18"/>
                                  <w:lang w:val="en-US" w:eastAsia="zh-CN"/>
                                </w:rPr>
                                <w:t>二氧化氯消毒为备用，为虚线部分。2</w:t>
                              </w:r>
                              <w:r>
                                <w:rPr>
                                  <w:rFonts w:hint="eastAsia" w:ascii="PingFang SC" w:hAnsi="PingFang SC" w:eastAsia="PingFang SC" w:cs="PingFang SC"/>
                                  <w:sz w:val="18"/>
                                  <w:szCs w:val="18"/>
                                  <w:lang w:val="en-US" w:eastAsia="zh-CN"/>
                                </w:rPr>
                                <w:t>、</w:t>
                              </w:r>
                              <w:r>
                                <w:rPr>
                                  <w:rFonts w:hint="eastAsia"/>
                                  <w:sz w:val="18"/>
                                  <w:szCs w:val="18"/>
                                  <w:lang w:val="en-US" w:eastAsia="zh-CN"/>
                                </w:rPr>
                                <w:t>检验用水中</w:t>
                              </w:r>
                              <w:r>
                                <w:rPr>
                                  <w:rFonts w:hint="eastAsia" w:cs="Times New Roman"/>
                                  <w:i w:val="0"/>
                                  <w:iCs w:val="0"/>
                                  <w:color w:val="000000"/>
                                  <w:kern w:val="0"/>
                                  <w:sz w:val="18"/>
                                  <w:szCs w:val="18"/>
                                  <w:u w:val="none" w:color="auto"/>
                                  <w:lang w:val="en-US" w:eastAsia="zh-CN" w:bidi="ar"/>
                                </w:rPr>
                                <w:t>20%为</w:t>
                              </w:r>
                              <w:r>
                                <w:rPr>
                                  <w:rFonts w:hint="eastAsia" w:eastAsia="宋体" w:cs="Times New Roman"/>
                                  <w:i w:val="0"/>
                                  <w:iCs w:val="0"/>
                                  <w:color w:val="000000"/>
                                  <w:kern w:val="0"/>
                                  <w:sz w:val="18"/>
                                  <w:szCs w:val="18"/>
                                  <w:u w:val="none" w:color="auto"/>
                                  <w:lang w:val="en-US" w:eastAsia="zh-CN" w:bidi="ar"/>
                                </w:rPr>
                                <w:t>检验废</w:t>
                              </w:r>
                              <w:r>
                                <w:rPr>
                                  <w:rFonts w:hint="eastAsia" w:cs="Times New Roman"/>
                                  <w:i w:val="0"/>
                                  <w:iCs w:val="0"/>
                                  <w:color w:val="000000"/>
                                  <w:kern w:val="0"/>
                                  <w:sz w:val="18"/>
                                  <w:szCs w:val="18"/>
                                  <w:u w:val="none" w:color="auto"/>
                                  <w:lang w:val="en-US" w:eastAsia="zh-CN" w:bidi="ar"/>
                                </w:rPr>
                                <w:t>液</w:t>
                              </w:r>
                              <w:r>
                                <w:rPr>
                                  <w:rFonts w:hint="eastAsia" w:eastAsia="宋体" w:cs="Times New Roman"/>
                                  <w:i w:val="0"/>
                                  <w:iCs w:val="0"/>
                                  <w:color w:val="000000"/>
                                  <w:kern w:val="0"/>
                                  <w:sz w:val="18"/>
                                  <w:szCs w:val="18"/>
                                  <w:u w:val="none" w:color="auto"/>
                                  <w:lang w:val="en-US" w:eastAsia="zh-CN" w:bidi="ar"/>
                                </w:rPr>
                                <w:t>单独收集做危废处理</w:t>
                              </w:r>
                              <w:r>
                                <w:rPr>
                                  <w:rFonts w:hint="eastAsia" w:cs="Times New Roman"/>
                                  <w:i w:val="0"/>
                                  <w:iCs w:val="0"/>
                                  <w:color w:val="000000"/>
                                  <w:kern w:val="0"/>
                                  <w:sz w:val="18"/>
                                  <w:szCs w:val="18"/>
                                  <w:u w:val="none" w:color="auto"/>
                                  <w:lang w:val="en-US" w:eastAsia="zh-CN" w:bidi="ar"/>
                                </w:rPr>
                                <w:t>，剩下80%为检验废水排入自建污水处理厂</w:t>
                              </w:r>
                            </w:p>
                          </w:txbxContent>
                        </v:textbox>
                      </v:shape>
                      <w10:wrap type="none"/>
                      <w10:anchorlock/>
                    </v:group>
                  </w:pict>
                </mc:Fallback>
              </mc:AlternateContent>
            </w:r>
          </w:p>
          <w:p w14:paraId="0590ECDC">
            <w:pPr>
              <w:spacing w:line="240" w:lineRule="auto"/>
              <w:jc w:val="center"/>
              <w:rPr>
                <w:rFonts w:hint="eastAsia" w:eastAsia="宋体"/>
                <w:b/>
                <w:bCs/>
                <w:sz w:val="21"/>
                <w:szCs w:val="21"/>
                <w:u w:val="none" w:color="auto"/>
              </w:rPr>
            </w:pPr>
            <w:r>
              <w:rPr>
                <w:rFonts w:hint="eastAsia" w:eastAsia="宋体"/>
                <w:b/>
                <w:bCs/>
                <w:sz w:val="21"/>
                <w:szCs w:val="21"/>
                <w:u w:val="none" w:color="auto"/>
                <w:lang w:val="en-US" w:eastAsia="zh-CN"/>
              </w:rPr>
              <w:t>图2-1  项目水平衡图  单位（</w:t>
            </w:r>
            <w:r>
              <w:rPr>
                <w:rFonts w:hint="eastAsia"/>
                <w:b/>
                <w:bCs/>
                <w:sz w:val="21"/>
                <w:szCs w:val="21"/>
                <w:u w:val="none" w:color="auto"/>
                <w:lang w:val="en-US" w:eastAsia="zh-CN"/>
              </w:rPr>
              <w:t>t/a</w:t>
            </w:r>
            <w:r>
              <w:rPr>
                <w:rFonts w:hint="eastAsia" w:eastAsia="宋体"/>
                <w:b/>
                <w:bCs/>
                <w:sz w:val="21"/>
                <w:szCs w:val="21"/>
                <w:u w:val="none" w:color="auto"/>
                <w:lang w:val="en-US" w:eastAsia="zh-CN"/>
              </w:rPr>
              <w:t>）</w:t>
            </w:r>
          </w:p>
          <w:p w14:paraId="482A6A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8</w:t>
            </w:r>
            <w:r>
              <w:rPr>
                <w:sz w:val="24"/>
                <w:szCs w:val="24"/>
              </w:rPr>
              <w:t>、劳动定员及</w:t>
            </w:r>
            <w:r>
              <w:rPr>
                <w:rFonts w:hint="eastAsia"/>
                <w:sz w:val="24"/>
                <w:szCs w:val="24"/>
                <w:lang w:eastAsia="zh-CN"/>
              </w:rPr>
              <w:t>服务能力</w:t>
            </w:r>
          </w:p>
          <w:p w14:paraId="2238452E">
            <w:pPr>
              <w:pStyle w:val="2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eastAsia="宋体"/>
                <w:spacing w:val="-2"/>
                <w:lang w:val="en-US" w:eastAsia="zh-CN"/>
              </w:rPr>
            </w:pPr>
            <w:r>
              <w:rPr>
                <w:rFonts w:ascii="Times New Roman" w:hAnsi="Times New Roman" w:eastAsia="宋体"/>
                <w:spacing w:val="0"/>
                <w:w w:val="100"/>
                <w:sz w:val="24"/>
                <w:szCs w:val="24"/>
                <w:u w:val="none"/>
              </w:rPr>
              <w:t>全院职工共</w:t>
            </w:r>
            <w:r>
              <w:rPr>
                <w:rFonts w:hint="eastAsia" w:ascii="Times New Roman" w:hAnsi="Times New Roman" w:cs="Times New Roman"/>
                <w:spacing w:val="0"/>
                <w:w w:val="100"/>
                <w:sz w:val="24"/>
                <w:szCs w:val="24"/>
                <w:u w:val="none"/>
                <w:lang w:val="en-US" w:eastAsia="zh-CN"/>
              </w:rPr>
              <w:t>26</w:t>
            </w:r>
            <w:r>
              <w:rPr>
                <w:rFonts w:ascii="Times New Roman" w:hAnsi="Times New Roman" w:eastAsia="宋体"/>
                <w:spacing w:val="0"/>
                <w:w w:val="100"/>
                <w:sz w:val="24"/>
                <w:szCs w:val="24"/>
                <w:u w:val="none"/>
              </w:rPr>
              <w:t>人。年工作</w:t>
            </w:r>
            <w:r>
              <w:rPr>
                <w:rFonts w:ascii="Times New Roman" w:hAnsi="Times New Roman" w:eastAsia="宋体" w:cs="Times New Roman"/>
                <w:spacing w:val="0"/>
                <w:w w:val="100"/>
                <w:sz w:val="24"/>
                <w:szCs w:val="24"/>
                <w:u w:val="none"/>
              </w:rPr>
              <w:t>365</w:t>
            </w:r>
            <w:r>
              <w:rPr>
                <w:rFonts w:ascii="Times New Roman" w:hAnsi="Times New Roman" w:eastAsia="宋体"/>
                <w:spacing w:val="0"/>
                <w:w w:val="100"/>
                <w:sz w:val="24"/>
                <w:szCs w:val="24"/>
                <w:u w:val="none"/>
              </w:rPr>
              <w:t>天，全天</w:t>
            </w:r>
            <w:r>
              <w:rPr>
                <w:rFonts w:hint="eastAsia" w:ascii="Times New Roman" w:hAnsi="Times New Roman" w:cs="Times New Roman"/>
                <w:spacing w:val="0"/>
                <w:w w:val="100"/>
                <w:sz w:val="24"/>
                <w:szCs w:val="24"/>
                <w:u w:val="none"/>
                <w:lang w:val="en-US" w:eastAsia="zh-CN"/>
              </w:rPr>
              <w:t>8</w:t>
            </w:r>
            <w:r>
              <w:rPr>
                <w:rFonts w:ascii="Times New Roman" w:hAnsi="Times New Roman" w:eastAsia="宋体"/>
                <w:spacing w:val="0"/>
                <w:w w:val="100"/>
                <w:sz w:val="24"/>
                <w:szCs w:val="24"/>
                <w:u w:val="none"/>
              </w:rPr>
              <w:t>小时工作制。该院病床数设置为</w:t>
            </w:r>
            <w:r>
              <w:rPr>
                <w:rFonts w:hint="eastAsia" w:ascii="Times New Roman" w:hAnsi="Times New Roman" w:cs="Times New Roman"/>
                <w:spacing w:val="0"/>
                <w:w w:val="100"/>
                <w:sz w:val="24"/>
                <w:szCs w:val="24"/>
                <w:u w:val="none"/>
                <w:lang w:val="en-US" w:eastAsia="zh-CN"/>
              </w:rPr>
              <w:t>30</w:t>
            </w:r>
            <w:r>
              <w:rPr>
                <w:rFonts w:ascii="Times New Roman" w:hAnsi="Times New Roman" w:eastAsia="宋体"/>
                <w:spacing w:val="0"/>
                <w:w w:val="100"/>
                <w:sz w:val="24"/>
                <w:szCs w:val="24"/>
                <w:u w:val="none"/>
              </w:rPr>
              <w:t>张，门诊最大接待总人数为</w:t>
            </w:r>
            <w:r>
              <w:rPr>
                <w:rFonts w:hint="eastAsia" w:ascii="Times New Roman" w:hAnsi="Times New Roman"/>
                <w:spacing w:val="0"/>
                <w:w w:val="100"/>
                <w:sz w:val="24"/>
                <w:szCs w:val="24"/>
                <w:u w:val="none"/>
                <w:lang w:val="en-US" w:eastAsia="zh-CN"/>
              </w:rPr>
              <w:t>35</w:t>
            </w:r>
            <w:r>
              <w:rPr>
                <w:rFonts w:ascii="Times New Roman" w:hAnsi="Times New Roman" w:eastAsia="宋体"/>
                <w:spacing w:val="0"/>
                <w:w w:val="100"/>
                <w:sz w:val="24"/>
                <w:szCs w:val="24"/>
                <w:u w:val="none"/>
              </w:rPr>
              <w:t>人</w:t>
            </w:r>
            <w:r>
              <w:rPr>
                <w:rFonts w:ascii="Times New Roman" w:hAnsi="Times New Roman" w:eastAsia="宋体" w:cs="Times New Roman"/>
                <w:spacing w:val="0"/>
                <w:w w:val="100"/>
                <w:sz w:val="24"/>
                <w:szCs w:val="24"/>
                <w:u w:val="none"/>
              </w:rPr>
              <w:t>/</w:t>
            </w:r>
            <w:r>
              <w:rPr>
                <w:rFonts w:ascii="Times New Roman" w:hAnsi="Times New Roman" w:eastAsia="宋体"/>
                <w:spacing w:val="0"/>
                <w:w w:val="100"/>
                <w:sz w:val="24"/>
                <w:szCs w:val="24"/>
                <w:u w:val="none"/>
              </w:rPr>
              <w:t>日，年门诊接待量约</w:t>
            </w:r>
            <w:r>
              <w:rPr>
                <w:rFonts w:hint="eastAsia" w:ascii="Times New Roman" w:hAnsi="Times New Roman"/>
                <w:spacing w:val="0"/>
                <w:w w:val="100"/>
                <w:sz w:val="24"/>
                <w:szCs w:val="24"/>
                <w:u w:val="none"/>
                <w:lang w:val="en-US" w:eastAsia="zh-CN"/>
              </w:rPr>
              <w:t>1万3千</w:t>
            </w:r>
            <w:r>
              <w:rPr>
                <w:rFonts w:ascii="Times New Roman" w:hAnsi="Times New Roman" w:eastAsia="宋体"/>
                <w:spacing w:val="0"/>
                <w:w w:val="100"/>
                <w:sz w:val="24"/>
                <w:szCs w:val="24"/>
                <w:u w:val="none"/>
              </w:rPr>
              <w:t>人次，可稳定承担</w:t>
            </w:r>
            <w:r>
              <w:rPr>
                <w:rFonts w:hint="eastAsia" w:cs="宋体"/>
                <w:b w:val="0"/>
                <w:bCs w:val="0"/>
                <w:color w:val="000000"/>
                <w:sz w:val="24"/>
                <w:szCs w:val="24"/>
                <w:highlight w:val="none"/>
                <w:u w:val="none"/>
                <w:lang w:val="en-US" w:eastAsia="zh-CN"/>
              </w:rPr>
              <w:t>浣溪镇（原湖口镇）由义村</w:t>
            </w:r>
            <w:r>
              <w:rPr>
                <w:rFonts w:ascii="Times New Roman" w:hAnsi="Times New Roman" w:eastAsia="宋体"/>
                <w:spacing w:val="0"/>
                <w:w w:val="100"/>
                <w:sz w:val="24"/>
                <w:szCs w:val="24"/>
                <w:u w:val="none"/>
              </w:rPr>
              <w:t>及其周边乡镇的卫生保健和医疗指导服务任务。</w:t>
            </w:r>
          </w:p>
        </w:tc>
      </w:tr>
      <w:tr w14:paraId="2EA1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2" w:hRule="atLeast"/>
          <w:jc w:val="center"/>
        </w:trPr>
        <w:tc>
          <w:tcPr>
            <w:tcW w:w="426" w:type="dxa"/>
            <w:shd w:val="clear" w:color="auto" w:fill="auto"/>
            <w:vAlign w:val="center"/>
          </w:tcPr>
          <w:p w14:paraId="25515869">
            <w:pPr>
              <w:pStyle w:val="14"/>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工艺流程和产排污环节</w:t>
            </w:r>
          </w:p>
        </w:tc>
        <w:tc>
          <w:tcPr>
            <w:tcW w:w="8407" w:type="dxa"/>
            <w:shd w:val="clear" w:color="auto" w:fill="auto"/>
          </w:tcPr>
          <w:p w14:paraId="606030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1、施工期工艺流程和产污环节分析</w:t>
            </w:r>
          </w:p>
          <w:p w14:paraId="05B44B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经现场踏勘，项目施工期已完成，未产生相关环境遗留问题，故评价不再对其进行分析。</w:t>
            </w:r>
          </w:p>
          <w:p w14:paraId="1D665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2、营运期工艺流程和产污环节</w:t>
            </w:r>
          </w:p>
          <w:p w14:paraId="3BCF8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sz w:val="24"/>
                <w:szCs w:val="24"/>
                <w:lang w:val="en-US" w:eastAsia="zh-CN"/>
              </w:rPr>
              <w:t>（</w:t>
            </w:r>
            <w:r>
              <w:rPr>
                <w:rFonts w:hint="eastAsia" w:ascii="Times New Roman" w:hAnsi="Times New Roman" w:eastAsia="宋体"/>
                <w:sz w:val="24"/>
                <w:szCs w:val="24"/>
                <w:lang w:val="en-US" w:eastAsia="zh-CN"/>
              </w:rPr>
              <w:t>1</w:t>
            </w:r>
            <w:r>
              <w:rPr>
                <w:rFonts w:hint="eastAsia"/>
                <w:sz w:val="24"/>
                <w:szCs w:val="24"/>
                <w:lang w:val="en-US" w:eastAsia="zh-CN"/>
              </w:rPr>
              <w:t>）</w:t>
            </w:r>
            <w:r>
              <w:rPr>
                <w:rFonts w:ascii="Times New Roman" w:hAnsi="Times New Roman" w:eastAsia="宋体"/>
                <w:sz w:val="24"/>
                <w:szCs w:val="24"/>
              </w:rPr>
              <w:t>工艺流程</w:t>
            </w:r>
          </w:p>
          <w:p w14:paraId="1AEEA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营运期的工艺流程及产污环节详见下图。</w:t>
            </w:r>
          </w:p>
          <w:p w14:paraId="019B38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sz w:val="24"/>
                <w:szCs w:val="24"/>
                <w:lang w:eastAsia="zh-CN"/>
              </w:rPr>
            </w:pPr>
            <w:r>
              <w:rPr>
                <w:rFonts w:ascii="Times New Roman" w:hAnsi="Times New Roman" w:eastAsia="宋体"/>
                <w:sz w:val="24"/>
                <w:szCs w:val="24"/>
              </w:rPr>
              <w:drawing>
                <wp:inline distT="0" distB="0" distL="0" distR="0">
                  <wp:extent cx="4081145" cy="4239895"/>
                  <wp:effectExtent l="0" t="0" r="3175" b="1206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4081271" cy="4239895"/>
                          </a:xfrm>
                          <a:prstGeom prst="rect">
                            <a:avLst/>
                          </a:prstGeom>
                        </pic:spPr>
                      </pic:pic>
                    </a:graphicData>
                  </a:graphic>
                </wp:inline>
              </w:drawing>
            </w:r>
          </w:p>
          <w:p w14:paraId="7E14C65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图 2-2 工艺流程及产污节点图</w:t>
            </w:r>
          </w:p>
          <w:p w14:paraId="01171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项目运营期的主要污染因素有：</w:t>
            </w:r>
          </w:p>
          <w:p w14:paraId="397D4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营运期间产生的污染物包括废水（生活污水、医疗废水）、废气（食堂油烟、污水处理站恶臭、医疗废物暂存间异味）、固废（生活垃圾、医疗废物、污泥）、噪声（生活噪声、设备噪声）</w:t>
            </w:r>
            <w:r>
              <w:rPr>
                <w:rFonts w:hint="eastAsia" w:ascii="Times New Roman" w:hAnsi="Times New Roman" w:eastAsia="宋体"/>
                <w:sz w:val="24"/>
                <w:szCs w:val="24"/>
                <w:lang w:eastAsia="zh-CN"/>
              </w:rPr>
              <w:t>。</w:t>
            </w:r>
          </w:p>
          <w:p w14:paraId="5E794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污染物具体产生情况如下：</w:t>
            </w:r>
          </w:p>
          <w:p w14:paraId="6C9CB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①废水：项目产生的废水主要为医疗废水、医疗职工人员办公产生的生活污水以及食堂废水</w:t>
            </w:r>
            <w:r>
              <w:rPr>
                <w:rFonts w:hint="eastAsia"/>
                <w:sz w:val="24"/>
                <w:szCs w:val="24"/>
                <w:lang w:val="en-US" w:eastAsia="zh-CN"/>
              </w:rPr>
              <w:t>检验室用水</w:t>
            </w:r>
            <w:r>
              <w:rPr>
                <w:rFonts w:hint="eastAsia" w:ascii="Times New Roman" w:hAnsi="Times New Roman" w:eastAsia="宋体"/>
                <w:sz w:val="24"/>
                <w:szCs w:val="24"/>
                <w:lang w:eastAsia="zh-CN"/>
              </w:rPr>
              <w:t>。</w:t>
            </w:r>
            <w:r>
              <w:rPr>
                <w:rFonts w:ascii="Times New Roman" w:hAnsi="Times New Roman" w:eastAsia="宋体"/>
                <w:sz w:val="24"/>
                <w:szCs w:val="24"/>
              </w:rPr>
              <w:t>医院影像中心使用数字成像技术，不进行洗印，不涉及显影液；医院未设置口腔科，不产生含汞等重金属废水。</w:t>
            </w:r>
          </w:p>
          <w:p w14:paraId="131D2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②废气：</w:t>
            </w:r>
            <w:r>
              <w:rPr>
                <w:rFonts w:hint="eastAsia" w:ascii="Times New Roman" w:hAnsi="Times New Roman" w:eastAsia="宋体"/>
                <w:sz w:val="24"/>
                <w:szCs w:val="24"/>
                <w:lang w:eastAsia="zh-CN"/>
              </w:rPr>
              <w:t>污水处理站产生的恶臭气体、医院内药剂挥发废气、食堂煮食产生的饮食油烟。</w:t>
            </w:r>
          </w:p>
          <w:p w14:paraId="152D75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③噪声：本项目工程营运期噪声主要来自公建配套设施如水泵等运行产生的设备噪声，门诊部就医人群和住宅居民产生的社会生活噪声等。</w:t>
            </w:r>
          </w:p>
          <w:p w14:paraId="01FEDC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④固废：一般生活垃圾、医疗废物</w:t>
            </w:r>
            <w:r>
              <w:rPr>
                <w:rFonts w:hint="eastAsia"/>
                <w:sz w:val="24"/>
                <w:szCs w:val="24"/>
                <w:lang w:eastAsia="zh-CN"/>
              </w:rPr>
              <w:t>（</w:t>
            </w:r>
            <w:r>
              <w:rPr>
                <w:rFonts w:hint="eastAsia"/>
                <w:sz w:val="24"/>
                <w:szCs w:val="24"/>
                <w:lang w:val="en-US" w:eastAsia="zh-CN"/>
              </w:rPr>
              <w:t>感染性废物，损伤性废物，药物性废物）</w:t>
            </w:r>
            <w:r>
              <w:rPr>
                <w:rFonts w:ascii="Times New Roman" w:hAnsi="Times New Roman" w:eastAsia="宋体"/>
                <w:sz w:val="24"/>
                <w:szCs w:val="24"/>
              </w:rPr>
              <w:t>、污水处理站产生的污泥</w:t>
            </w:r>
            <w:r>
              <w:rPr>
                <w:rFonts w:hint="eastAsia"/>
                <w:sz w:val="24"/>
                <w:szCs w:val="24"/>
                <w:lang w:eastAsia="zh-CN"/>
              </w:rPr>
              <w:t>、</w:t>
            </w:r>
            <w:r>
              <w:rPr>
                <w:rFonts w:hint="eastAsia" w:ascii="Times New Roman" w:hAnsi="Times New Roman" w:eastAsia="宋体"/>
                <w:sz w:val="24"/>
                <w:szCs w:val="24"/>
                <w:lang w:val="en-US" w:eastAsia="zh-CN"/>
              </w:rPr>
              <w:t>无毒无害药品废包装材料</w:t>
            </w:r>
            <w:r>
              <w:rPr>
                <w:rFonts w:ascii="Times New Roman" w:hAnsi="Times New Roman" w:eastAsia="宋体"/>
                <w:sz w:val="24"/>
                <w:szCs w:val="24"/>
              </w:rPr>
              <w:t>等；</w:t>
            </w:r>
          </w:p>
          <w:p w14:paraId="49B77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项目营运期产污情况一览表如下所示：</w:t>
            </w:r>
          </w:p>
          <w:p w14:paraId="0D9687E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表2-</w:t>
            </w:r>
            <w:r>
              <w:rPr>
                <w:rFonts w:hint="eastAsia"/>
                <w:b/>
                <w:bCs/>
                <w:sz w:val="21"/>
                <w:szCs w:val="21"/>
                <w:lang w:val="en-US" w:eastAsia="zh-CN"/>
              </w:rPr>
              <w:t>4</w:t>
            </w:r>
            <w:r>
              <w:rPr>
                <w:rFonts w:hint="eastAsia" w:ascii="Times New Roman" w:hAnsi="Times New Roman" w:eastAsia="宋体"/>
                <w:b/>
                <w:bCs/>
                <w:sz w:val="21"/>
                <w:szCs w:val="21"/>
                <w:lang w:val="en-US" w:eastAsia="zh-CN"/>
              </w:rPr>
              <w:t xml:space="preserve"> 项目营运期产污情况一览表</w:t>
            </w:r>
          </w:p>
          <w:tbl>
            <w:tblPr>
              <w:tblStyle w:val="16"/>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1288"/>
              <w:gridCol w:w="3293"/>
              <w:gridCol w:w="2403"/>
            </w:tblGrid>
            <w:tr w14:paraId="59D18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2435" w:type="dxa"/>
                  <w:gridSpan w:val="2"/>
                  <w:tcBorders>
                    <w:tl2br w:val="nil"/>
                    <w:tr2bl w:val="nil"/>
                  </w:tcBorders>
                  <w:noWrap w:val="0"/>
                  <w:vAlign w:val="center"/>
                </w:tcPr>
                <w:p w14:paraId="60D589F0">
                  <w:pPr>
                    <w:pStyle w:val="37"/>
                    <w:keepNext w:val="0"/>
                    <w:keepLines w:val="0"/>
                    <w:pageBreakBefore w:val="0"/>
                    <w:widowControl w:val="0"/>
                    <w:kinsoku/>
                    <w:wordWrap/>
                    <w:overflowPunct/>
                    <w:topLinePunct w:val="0"/>
                    <w:autoSpaceDE/>
                    <w:autoSpaceDN/>
                    <w:bidi w:val="0"/>
                    <w:adjustRightInd/>
                    <w:snapToGrid/>
                    <w:spacing w:before="30" w:line="240" w:lineRule="auto"/>
                    <w:ind w:left="195" w:right="189"/>
                    <w:jc w:val="center"/>
                    <w:textAlignment w:val="auto"/>
                    <w:rPr>
                      <w:b/>
                      <w:bCs/>
                      <w:sz w:val="21"/>
                      <w:highlight w:val="none"/>
                    </w:rPr>
                  </w:pPr>
                  <w:r>
                    <w:rPr>
                      <w:b/>
                      <w:bCs/>
                      <w:sz w:val="21"/>
                      <w:highlight w:val="none"/>
                    </w:rPr>
                    <w:t>类 别</w:t>
                  </w:r>
                </w:p>
              </w:tc>
              <w:tc>
                <w:tcPr>
                  <w:tcW w:w="3293" w:type="dxa"/>
                  <w:tcBorders>
                    <w:tl2br w:val="nil"/>
                    <w:tr2bl w:val="nil"/>
                  </w:tcBorders>
                  <w:noWrap w:val="0"/>
                  <w:vAlign w:val="center"/>
                </w:tcPr>
                <w:p w14:paraId="5E399270">
                  <w:pPr>
                    <w:pStyle w:val="37"/>
                    <w:keepNext w:val="0"/>
                    <w:keepLines w:val="0"/>
                    <w:pageBreakBefore w:val="0"/>
                    <w:widowControl w:val="0"/>
                    <w:kinsoku/>
                    <w:wordWrap/>
                    <w:overflowPunct/>
                    <w:topLinePunct w:val="0"/>
                    <w:autoSpaceDE/>
                    <w:autoSpaceDN/>
                    <w:bidi w:val="0"/>
                    <w:adjustRightInd/>
                    <w:snapToGrid/>
                    <w:spacing w:before="30" w:line="240" w:lineRule="auto"/>
                    <w:ind w:left="149" w:right="138"/>
                    <w:jc w:val="center"/>
                    <w:textAlignment w:val="auto"/>
                    <w:rPr>
                      <w:b/>
                      <w:bCs/>
                      <w:sz w:val="21"/>
                      <w:highlight w:val="none"/>
                    </w:rPr>
                  </w:pPr>
                  <w:r>
                    <w:rPr>
                      <w:b/>
                      <w:bCs/>
                      <w:sz w:val="21"/>
                      <w:highlight w:val="none"/>
                    </w:rPr>
                    <w:t>污 染 源</w:t>
                  </w:r>
                </w:p>
              </w:tc>
              <w:tc>
                <w:tcPr>
                  <w:tcW w:w="2403" w:type="dxa"/>
                  <w:tcBorders>
                    <w:tl2br w:val="nil"/>
                    <w:tr2bl w:val="nil"/>
                  </w:tcBorders>
                  <w:noWrap w:val="0"/>
                  <w:vAlign w:val="center"/>
                </w:tcPr>
                <w:p w14:paraId="53C9712C">
                  <w:pPr>
                    <w:pStyle w:val="37"/>
                    <w:keepNext w:val="0"/>
                    <w:keepLines w:val="0"/>
                    <w:pageBreakBefore w:val="0"/>
                    <w:widowControl w:val="0"/>
                    <w:kinsoku/>
                    <w:wordWrap/>
                    <w:overflowPunct/>
                    <w:topLinePunct w:val="0"/>
                    <w:autoSpaceDE/>
                    <w:autoSpaceDN/>
                    <w:bidi w:val="0"/>
                    <w:adjustRightInd/>
                    <w:snapToGrid/>
                    <w:spacing w:before="30" w:line="240" w:lineRule="auto"/>
                    <w:ind w:left="72" w:right="60"/>
                    <w:jc w:val="center"/>
                    <w:textAlignment w:val="auto"/>
                    <w:rPr>
                      <w:b/>
                      <w:bCs/>
                      <w:sz w:val="21"/>
                      <w:highlight w:val="none"/>
                    </w:rPr>
                  </w:pPr>
                  <w:r>
                    <w:rPr>
                      <w:b/>
                      <w:bCs/>
                      <w:sz w:val="21"/>
                      <w:highlight w:val="none"/>
                    </w:rPr>
                    <w:t>污 染 物</w:t>
                  </w:r>
                </w:p>
              </w:tc>
            </w:tr>
            <w:tr w14:paraId="3FFABF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vMerge w:val="restart"/>
                  <w:tcBorders>
                    <w:tl2br w:val="nil"/>
                    <w:tr2bl w:val="nil"/>
                  </w:tcBorders>
                  <w:noWrap w:val="0"/>
                  <w:vAlign w:val="center"/>
                </w:tcPr>
                <w:p w14:paraId="527FB29D">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废气</w:t>
                  </w:r>
                </w:p>
              </w:tc>
              <w:tc>
                <w:tcPr>
                  <w:tcW w:w="1288" w:type="dxa"/>
                  <w:tcBorders>
                    <w:tl2br w:val="nil"/>
                    <w:tr2bl w:val="nil"/>
                  </w:tcBorders>
                  <w:noWrap w:val="0"/>
                  <w:vAlign w:val="center"/>
                </w:tcPr>
                <w:p w14:paraId="0A4BA070">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污水处理站废气</w:t>
                  </w:r>
                </w:p>
              </w:tc>
              <w:tc>
                <w:tcPr>
                  <w:tcW w:w="3293" w:type="dxa"/>
                  <w:tcBorders>
                    <w:tl2br w:val="nil"/>
                    <w:tr2bl w:val="nil"/>
                  </w:tcBorders>
                  <w:noWrap w:val="0"/>
                  <w:vAlign w:val="center"/>
                </w:tcPr>
                <w:p w14:paraId="573F2C1C">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eastAsia="宋体"/>
                      <w:sz w:val="21"/>
                      <w:highlight w:val="none"/>
                      <w:lang w:val="en-US" w:eastAsia="zh-CN"/>
                    </w:rPr>
                  </w:pPr>
                  <w:r>
                    <w:rPr>
                      <w:rFonts w:hint="eastAsia"/>
                      <w:sz w:val="21"/>
                      <w:highlight w:val="none"/>
                      <w:lang w:val="en-US" w:eastAsia="zh-CN"/>
                    </w:rPr>
                    <w:t>污水处理站</w:t>
                  </w:r>
                </w:p>
              </w:tc>
              <w:tc>
                <w:tcPr>
                  <w:tcW w:w="2403" w:type="dxa"/>
                  <w:tcBorders>
                    <w:tl2br w:val="nil"/>
                    <w:tr2bl w:val="nil"/>
                  </w:tcBorders>
                  <w:noWrap w:val="0"/>
                  <w:vAlign w:val="center"/>
                </w:tcPr>
                <w:p w14:paraId="3A9A0296">
                  <w:pPr>
                    <w:pStyle w:val="37"/>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default" w:ascii="Times New Roman" w:eastAsia="宋体"/>
                      <w:sz w:val="21"/>
                      <w:highlight w:val="none"/>
                      <w:lang w:val="en-US" w:eastAsia="zh-CN"/>
                    </w:rPr>
                  </w:pPr>
                  <w:r>
                    <w:rPr>
                      <w:rFonts w:hint="eastAsia" w:ascii="Times New Roman"/>
                      <w:sz w:val="21"/>
                      <w:highlight w:val="none"/>
                      <w:lang w:val="en-US" w:eastAsia="zh-CN"/>
                    </w:rPr>
                    <w:t>氨、硫化氢、臭气浓度</w:t>
                  </w:r>
                </w:p>
              </w:tc>
            </w:tr>
            <w:tr w14:paraId="1B701C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vMerge w:val="continue"/>
                  <w:tcBorders>
                    <w:tl2br w:val="nil"/>
                    <w:tr2bl w:val="nil"/>
                  </w:tcBorders>
                  <w:noWrap w:val="0"/>
                  <w:vAlign w:val="center"/>
                </w:tcPr>
                <w:p w14:paraId="7993DC5B">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88" w:type="dxa"/>
                  <w:tcBorders>
                    <w:tl2br w:val="nil"/>
                    <w:tr2bl w:val="nil"/>
                  </w:tcBorders>
                  <w:noWrap w:val="0"/>
                  <w:vAlign w:val="center"/>
                </w:tcPr>
                <w:p w14:paraId="03E728FC">
                  <w:pPr>
                    <w:pStyle w:val="3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eastAsia="宋体" w:cs="Times New Roman"/>
                      <w:sz w:val="21"/>
                      <w:highlight w:val="none"/>
                      <w:lang w:val="en-US" w:eastAsia="zh-CN"/>
                    </w:rPr>
                    <w:t>备用发电机尾气</w:t>
                  </w:r>
                </w:p>
              </w:tc>
              <w:tc>
                <w:tcPr>
                  <w:tcW w:w="3293" w:type="dxa"/>
                  <w:tcBorders>
                    <w:tl2br w:val="nil"/>
                    <w:tr2bl w:val="nil"/>
                  </w:tcBorders>
                  <w:noWrap w:val="0"/>
                  <w:vAlign w:val="center"/>
                </w:tcPr>
                <w:p w14:paraId="06A74767">
                  <w:pPr>
                    <w:pStyle w:val="3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sz w:val="21"/>
                      <w:highlight w:val="none"/>
                      <w:lang w:val="en-US" w:eastAsia="zh-CN"/>
                    </w:rPr>
                    <w:t>备用柴油发电机</w:t>
                  </w:r>
                </w:p>
              </w:tc>
              <w:tc>
                <w:tcPr>
                  <w:tcW w:w="2403" w:type="dxa"/>
                  <w:tcBorders>
                    <w:tl2br w:val="nil"/>
                    <w:tr2bl w:val="nil"/>
                  </w:tcBorders>
                  <w:noWrap w:val="0"/>
                  <w:vAlign w:val="center"/>
                </w:tcPr>
                <w:p w14:paraId="53619357">
                  <w:pPr>
                    <w:pStyle w:val="37"/>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eastAsia="宋体" w:cs="Times New Roman"/>
                      <w:sz w:val="21"/>
                      <w:highlight w:val="none"/>
                      <w:lang w:val="en-US" w:eastAsia="zh-CN"/>
                    </w:rPr>
                    <w:t>SO</w:t>
                  </w:r>
                  <w:r>
                    <w:rPr>
                      <w:rFonts w:hint="eastAsia" w:ascii="Times New Roman" w:eastAsia="宋体" w:cs="Times New Roman"/>
                      <w:sz w:val="21"/>
                      <w:highlight w:val="none"/>
                      <w:vertAlign w:val="subscript"/>
                      <w:lang w:val="en-US" w:eastAsia="zh-CN"/>
                    </w:rPr>
                    <w:t>2</w:t>
                  </w:r>
                  <w:r>
                    <w:rPr>
                      <w:rFonts w:hint="eastAsia" w:ascii="Times New Roman" w:eastAsia="宋体" w:cs="Times New Roman"/>
                      <w:sz w:val="21"/>
                      <w:highlight w:val="none"/>
                      <w:lang w:val="en-US" w:eastAsia="zh-CN"/>
                    </w:rPr>
                    <w:t>、CO等</w:t>
                  </w:r>
                </w:p>
              </w:tc>
            </w:tr>
            <w:tr w14:paraId="778697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vMerge w:val="restart"/>
                  <w:tcBorders>
                    <w:tl2br w:val="nil"/>
                    <w:tr2bl w:val="nil"/>
                  </w:tcBorders>
                  <w:noWrap w:val="0"/>
                  <w:vAlign w:val="center"/>
                </w:tcPr>
                <w:p w14:paraId="2A92820D">
                  <w:pPr>
                    <w:pStyle w:val="3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废水</w:t>
                  </w:r>
                </w:p>
              </w:tc>
              <w:tc>
                <w:tcPr>
                  <w:tcW w:w="1288" w:type="dxa"/>
                  <w:tcBorders>
                    <w:tl2br w:val="nil"/>
                    <w:tr2bl w:val="nil"/>
                  </w:tcBorders>
                  <w:noWrap w:val="0"/>
                  <w:vAlign w:val="center"/>
                </w:tcPr>
                <w:p w14:paraId="6DA70FF5">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医疗废水</w:t>
                  </w:r>
                </w:p>
              </w:tc>
              <w:tc>
                <w:tcPr>
                  <w:tcW w:w="3293" w:type="dxa"/>
                  <w:tcBorders>
                    <w:tl2br w:val="nil"/>
                    <w:tr2bl w:val="nil"/>
                  </w:tcBorders>
                  <w:noWrap w:val="0"/>
                  <w:vAlign w:val="center"/>
                </w:tcPr>
                <w:p w14:paraId="75E89C7C">
                  <w:pPr>
                    <w:pStyle w:val="37"/>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eastAsia" w:ascii="Times New Roman" w:hAnsi="Calibri" w:eastAsia="宋体" w:cs="Times New Roman"/>
                      <w:kern w:val="0"/>
                      <w:sz w:val="21"/>
                      <w:szCs w:val="22"/>
                      <w:highlight w:val="none"/>
                      <w:lang w:val="en-US" w:eastAsia="zh-CN" w:bidi="ar-SA"/>
                    </w:rPr>
                  </w:pPr>
                  <w:r>
                    <w:rPr>
                      <w:rFonts w:hint="eastAsia" w:ascii="Times New Roman" w:eastAsia="宋体" w:cs="Times New Roman"/>
                      <w:sz w:val="21"/>
                      <w:highlight w:val="none"/>
                      <w:lang w:val="en-US" w:eastAsia="zh-CN"/>
                    </w:rPr>
                    <w:t>门诊、治疗室等科室</w:t>
                  </w:r>
                </w:p>
              </w:tc>
              <w:tc>
                <w:tcPr>
                  <w:tcW w:w="2403" w:type="dxa"/>
                  <w:tcBorders>
                    <w:tl2br w:val="nil"/>
                    <w:tr2bl w:val="nil"/>
                  </w:tcBorders>
                  <w:noWrap w:val="0"/>
                  <w:vAlign w:val="center"/>
                </w:tcPr>
                <w:p w14:paraId="0419E6A7">
                  <w:pPr>
                    <w:pStyle w:val="37"/>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eastAsia" w:ascii="Times New Roman" w:eastAsia="宋体" w:cs="Times New Roman"/>
                      <w:sz w:val="21"/>
                      <w:highlight w:val="none"/>
                      <w:lang w:val="en-US" w:eastAsia="zh-CN"/>
                    </w:rPr>
                  </w:pPr>
                  <w:r>
                    <w:rPr>
                      <w:rFonts w:hint="default" w:ascii="Times New Roman" w:eastAsia="宋体" w:cs="Times New Roman"/>
                      <w:sz w:val="21"/>
                      <w:highlight w:val="none"/>
                      <w:lang w:val="en-US" w:eastAsia="zh-CN"/>
                    </w:rPr>
                    <w:t>pH</w:t>
                  </w:r>
                  <w:r>
                    <w:rPr>
                      <w:rFonts w:hint="eastAsia" w:ascii="Times New Roman" w:eastAsia="宋体" w:cs="Times New Roman"/>
                      <w:sz w:val="21"/>
                      <w:highlight w:val="none"/>
                      <w:lang w:val="en-US" w:eastAsia="zh-CN"/>
                    </w:rPr>
                    <w:t>、SS、COD、BOD</w:t>
                  </w:r>
                  <w:r>
                    <w:rPr>
                      <w:rFonts w:hint="eastAsia" w:ascii="Times New Roman" w:eastAsia="宋体" w:cs="Times New Roman"/>
                      <w:sz w:val="21"/>
                      <w:highlight w:val="none"/>
                      <w:vertAlign w:val="subscript"/>
                      <w:lang w:val="en-US" w:eastAsia="zh-CN"/>
                    </w:rPr>
                    <w:t>5</w:t>
                  </w:r>
                  <w:r>
                    <w:rPr>
                      <w:rFonts w:hint="eastAsia" w:ascii="Times New Roman" w:eastAsia="宋体" w:cs="Times New Roman"/>
                      <w:sz w:val="21"/>
                      <w:highlight w:val="none"/>
                      <w:lang w:val="en-US" w:eastAsia="zh-CN"/>
                    </w:rPr>
                    <w:t>、NH</w:t>
                  </w:r>
                  <w:r>
                    <w:rPr>
                      <w:rFonts w:hint="eastAsia" w:ascii="Times New Roman" w:eastAsia="宋体" w:cs="Times New Roman"/>
                      <w:sz w:val="21"/>
                      <w:highlight w:val="none"/>
                      <w:vertAlign w:val="subscript"/>
                      <w:lang w:val="en-US" w:eastAsia="zh-CN"/>
                    </w:rPr>
                    <w:t>3</w:t>
                  </w:r>
                  <w:r>
                    <w:rPr>
                      <w:rFonts w:hint="eastAsia" w:ascii="Times New Roman" w:eastAsia="宋体" w:cs="Times New Roman"/>
                      <w:sz w:val="21"/>
                      <w:highlight w:val="none"/>
                      <w:lang w:val="en-US" w:eastAsia="zh-CN"/>
                    </w:rPr>
                    <w:t>-N、粪大肠菌群数、</w:t>
                  </w:r>
                  <w:r>
                    <w:rPr>
                      <w:rFonts w:hint="eastAsia" w:ascii="Times New Roman" w:hAnsi="Times New Roman" w:eastAsia="宋体" w:cs="Times New Roman"/>
                      <w:color w:val="auto"/>
                      <w:szCs w:val="21"/>
                      <w:highlight w:val="none"/>
                      <w:u w:val="none"/>
                      <w:lang w:eastAsia="zh-CN"/>
                    </w:rPr>
                    <w:t>阴离子表面活性剂</w:t>
                  </w:r>
                </w:p>
              </w:tc>
            </w:tr>
            <w:tr w14:paraId="310AFA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vMerge w:val="continue"/>
                  <w:tcBorders>
                    <w:tl2br w:val="nil"/>
                    <w:tr2bl w:val="nil"/>
                  </w:tcBorders>
                  <w:noWrap w:val="0"/>
                  <w:vAlign w:val="center"/>
                </w:tcPr>
                <w:p w14:paraId="060D0753">
                  <w:pPr>
                    <w:pStyle w:val="3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88" w:type="dxa"/>
                  <w:tcBorders>
                    <w:tl2br w:val="nil"/>
                    <w:tr2bl w:val="nil"/>
                  </w:tcBorders>
                  <w:noWrap w:val="0"/>
                  <w:vAlign w:val="center"/>
                </w:tcPr>
                <w:p w14:paraId="7D52233F">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生活污水</w:t>
                  </w:r>
                </w:p>
              </w:tc>
              <w:tc>
                <w:tcPr>
                  <w:tcW w:w="3293" w:type="dxa"/>
                  <w:tcBorders>
                    <w:tl2br w:val="nil"/>
                    <w:tr2bl w:val="nil"/>
                  </w:tcBorders>
                  <w:noWrap w:val="0"/>
                  <w:vAlign w:val="center"/>
                </w:tcPr>
                <w:p w14:paraId="48E8174F">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办公室</w:t>
                  </w:r>
                </w:p>
              </w:tc>
              <w:tc>
                <w:tcPr>
                  <w:tcW w:w="2403" w:type="dxa"/>
                  <w:tcBorders>
                    <w:tl2br w:val="nil"/>
                    <w:tr2bl w:val="nil"/>
                  </w:tcBorders>
                  <w:noWrap w:val="0"/>
                  <w:vAlign w:val="center"/>
                </w:tcPr>
                <w:p w14:paraId="1174A947">
                  <w:pPr>
                    <w:pStyle w:val="37"/>
                    <w:keepNext w:val="0"/>
                    <w:keepLines w:val="0"/>
                    <w:pageBreakBefore w:val="0"/>
                    <w:widowControl w:val="0"/>
                    <w:kinsoku/>
                    <w:wordWrap/>
                    <w:overflowPunct/>
                    <w:topLinePunct w:val="0"/>
                    <w:autoSpaceDE/>
                    <w:autoSpaceDN/>
                    <w:bidi w:val="0"/>
                    <w:adjustRightInd/>
                    <w:snapToGrid/>
                    <w:spacing w:before="1" w:line="240" w:lineRule="auto"/>
                    <w:ind w:left="72" w:right="61"/>
                    <w:jc w:val="center"/>
                    <w:textAlignment w:val="auto"/>
                    <w:rPr>
                      <w:rFonts w:hint="eastAsia" w:ascii="Times New Roman" w:eastAsia="宋体"/>
                      <w:sz w:val="21"/>
                      <w:highlight w:val="none"/>
                      <w:lang w:val="en-US" w:eastAsia="zh-CN"/>
                    </w:rPr>
                  </w:pPr>
                  <w:r>
                    <w:rPr>
                      <w:rFonts w:hint="eastAsia" w:ascii="Times New Roman" w:hAnsi="Times New Roman" w:eastAsia="宋体" w:cs="Times New Roman"/>
                      <w:color w:val="auto"/>
                      <w:szCs w:val="21"/>
                      <w:highlight w:val="none"/>
                      <w:u w:val="none"/>
                      <w:lang w:val="en-US" w:eastAsia="zh-CN"/>
                    </w:rPr>
                    <w:t>pH、</w:t>
                  </w:r>
                  <w:r>
                    <w:rPr>
                      <w:rFonts w:hint="default" w:ascii="Times New Roman" w:hAnsi="Times New Roman" w:eastAsia="宋体" w:cs="Times New Roman"/>
                      <w:color w:val="auto"/>
                      <w:szCs w:val="21"/>
                      <w:highlight w:val="none"/>
                      <w:u w:val="none"/>
                    </w:rPr>
                    <w:t>SS、COD、BOD</w:t>
                  </w:r>
                  <w:r>
                    <w:rPr>
                      <w:rFonts w:hint="default" w:ascii="Times New Roman" w:hAnsi="Times New Roman" w:eastAsia="宋体" w:cs="Times New Roman"/>
                      <w:color w:val="auto"/>
                      <w:szCs w:val="21"/>
                      <w:highlight w:val="none"/>
                      <w:u w:val="none"/>
                      <w:vertAlign w:val="subscript"/>
                    </w:rPr>
                    <w:t>5</w:t>
                  </w:r>
                  <w:r>
                    <w:rPr>
                      <w:rFonts w:hint="eastAsia" w:ascii="Times New Roman" w:hAnsi="Times New Roman" w:eastAsia="宋体" w:cs="Times New Roman"/>
                      <w:color w:val="auto"/>
                      <w:szCs w:val="21"/>
                      <w:highlight w:val="none"/>
                      <w:u w:val="none"/>
                      <w:vertAlign w:val="baseline"/>
                      <w:lang w:eastAsia="zh-CN"/>
                    </w:rPr>
                    <w:t>、氨氮</w:t>
                  </w:r>
                  <w:r>
                    <w:rPr>
                      <w:rFonts w:hint="default" w:ascii="Times New Roman" w:hAnsi="Times New Roman" w:eastAsia="宋体" w:cs="Times New Roman"/>
                      <w:color w:val="auto"/>
                      <w:szCs w:val="21"/>
                      <w:highlight w:val="none"/>
                      <w:u w:val="none"/>
                    </w:rPr>
                    <w:t>、</w:t>
                  </w:r>
                  <w:r>
                    <w:rPr>
                      <w:rFonts w:hint="eastAsia" w:eastAsia="宋体" w:cs="Times New Roman"/>
                      <w:color w:val="auto"/>
                      <w:szCs w:val="21"/>
                      <w:highlight w:val="none"/>
                      <w:u w:val="none"/>
                      <w:lang w:val="en-US" w:eastAsia="zh-CN"/>
                    </w:rPr>
                    <w:t>总磷</w:t>
                  </w:r>
                </w:p>
              </w:tc>
            </w:tr>
            <w:tr w14:paraId="3A993C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vMerge w:val="restart"/>
                  <w:tcBorders>
                    <w:tl2br w:val="nil"/>
                    <w:tr2bl w:val="nil"/>
                  </w:tcBorders>
                  <w:noWrap w:val="0"/>
                  <w:vAlign w:val="center"/>
                </w:tcPr>
                <w:p w14:paraId="0B18FF37">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危险废物</w:t>
                  </w:r>
                </w:p>
              </w:tc>
              <w:tc>
                <w:tcPr>
                  <w:tcW w:w="1288" w:type="dxa"/>
                  <w:tcBorders>
                    <w:tl2br w:val="nil"/>
                    <w:tr2bl w:val="nil"/>
                  </w:tcBorders>
                  <w:noWrap w:val="0"/>
                  <w:vAlign w:val="center"/>
                </w:tcPr>
                <w:p w14:paraId="6F69078A">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w:t>
                  </w:r>
                </w:p>
              </w:tc>
              <w:tc>
                <w:tcPr>
                  <w:tcW w:w="3293" w:type="dxa"/>
                  <w:tcBorders>
                    <w:tl2br w:val="nil"/>
                    <w:tr2bl w:val="nil"/>
                  </w:tcBorders>
                  <w:noWrap w:val="0"/>
                  <w:vAlign w:val="center"/>
                </w:tcPr>
                <w:p w14:paraId="220795F1">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污水处理站污泥、格栅渣</w:t>
                  </w:r>
                </w:p>
              </w:tc>
              <w:tc>
                <w:tcPr>
                  <w:tcW w:w="2403" w:type="dxa"/>
                  <w:tcBorders>
                    <w:tl2br w:val="nil"/>
                    <w:tr2bl w:val="nil"/>
                  </w:tcBorders>
                  <w:noWrap w:val="0"/>
                  <w:vAlign w:val="center"/>
                </w:tcPr>
                <w:p w14:paraId="17BAA88D">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r>
            <w:tr w14:paraId="12F195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vMerge w:val="continue"/>
                  <w:tcBorders>
                    <w:tl2br w:val="nil"/>
                    <w:tr2bl w:val="nil"/>
                  </w:tcBorders>
                  <w:noWrap w:val="0"/>
                  <w:vAlign w:val="center"/>
                </w:tcPr>
                <w:p w14:paraId="2F1176AD">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88" w:type="dxa"/>
                  <w:tcBorders>
                    <w:tl2br w:val="nil"/>
                    <w:tr2bl w:val="nil"/>
                  </w:tcBorders>
                  <w:noWrap w:val="0"/>
                  <w:vAlign w:val="center"/>
                </w:tcPr>
                <w:p w14:paraId="73D2B0BE">
                  <w:pPr>
                    <w:pStyle w:val="3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检验科</w:t>
                  </w:r>
                </w:p>
              </w:tc>
              <w:tc>
                <w:tcPr>
                  <w:tcW w:w="3293" w:type="dxa"/>
                  <w:tcBorders>
                    <w:tl2br w:val="nil"/>
                    <w:tr2bl w:val="nil"/>
                  </w:tcBorders>
                  <w:noWrap w:val="0"/>
                  <w:vAlign w:val="center"/>
                </w:tcPr>
                <w:p w14:paraId="507CB5C6">
                  <w:pPr>
                    <w:pStyle w:val="3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检验废液</w:t>
                  </w:r>
                </w:p>
              </w:tc>
              <w:tc>
                <w:tcPr>
                  <w:tcW w:w="2403" w:type="dxa"/>
                  <w:tcBorders>
                    <w:tl2br w:val="nil"/>
                    <w:tr2bl w:val="nil"/>
                  </w:tcBorders>
                  <w:noWrap w:val="0"/>
                  <w:vAlign w:val="center"/>
                </w:tcPr>
                <w:p w14:paraId="6AD9FF11">
                  <w:pPr>
                    <w:pStyle w:val="37"/>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r>
            <w:tr w14:paraId="6A466A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tcBorders>
                    <w:tl2br w:val="nil"/>
                    <w:tr2bl w:val="nil"/>
                  </w:tcBorders>
                  <w:noWrap w:val="0"/>
                  <w:vAlign w:val="center"/>
                </w:tcPr>
                <w:p w14:paraId="282C0552">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医疗废物</w:t>
                  </w:r>
                </w:p>
              </w:tc>
              <w:tc>
                <w:tcPr>
                  <w:tcW w:w="1288" w:type="dxa"/>
                  <w:tcBorders>
                    <w:tl2br w:val="nil"/>
                    <w:tr2bl w:val="nil"/>
                  </w:tcBorders>
                  <w:noWrap w:val="0"/>
                  <w:vAlign w:val="center"/>
                </w:tcPr>
                <w:p w14:paraId="39837957">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门诊、手术室等科室</w:t>
                  </w:r>
                </w:p>
              </w:tc>
              <w:tc>
                <w:tcPr>
                  <w:tcW w:w="3293" w:type="dxa"/>
                  <w:tcBorders>
                    <w:tl2br w:val="nil"/>
                    <w:tr2bl w:val="nil"/>
                  </w:tcBorders>
                  <w:noWrap w:val="0"/>
                  <w:vAlign w:val="center"/>
                </w:tcPr>
                <w:p w14:paraId="1041D02F">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eastAsia="宋体" w:cs="Times New Roman"/>
                      <w:sz w:val="21"/>
                      <w:highlight w:val="none"/>
                      <w:lang w:val="en-US" w:eastAsia="zh-CN"/>
                    </w:rPr>
                  </w:pPr>
                  <w:r>
                    <w:rPr>
                      <w:rFonts w:hint="eastAsia" w:eastAsia="宋体" w:cs="Times New Roman"/>
                      <w:sz w:val="21"/>
                      <w:highlight w:val="none"/>
                      <w:lang w:val="en-US" w:eastAsia="zh-CN"/>
                    </w:rPr>
                    <w:t>医疗废物</w:t>
                  </w:r>
                  <w:r>
                    <w:rPr>
                      <w:rFonts w:hint="eastAsia" w:cs="Times New Roman"/>
                      <w:sz w:val="21"/>
                      <w:highlight w:val="none"/>
                      <w:lang w:val="en-US" w:eastAsia="zh-CN"/>
                    </w:rPr>
                    <w:t>（感染性废物，损伤性废物，药物性废物）</w:t>
                  </w:r>
                </w:p>
              </w:tc>
              <w:tc>
                <w:tcPr>
                  <w:tcW w:w="2403" w:type="dxa"/>
                  <w:tcBorders>
                    <w:tl2br w:val="nil"/>
                    <w:tr2bl w:val="nil"/>
                  </w:tcBorders>
                  <w:noWrap w:val="0"/>
                  <w:vAlign w:val="center"/>
                </w:tcPr>
                <w:p w14:paraId="1EA986F4">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r>
            <w:tr w14:paraId="7A11DC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47" w:type="dxa"/>
                  <w:tcBorders>
                    <w:tl2br w:val="nil"/>
                    <w:tr2bl w:val="nil"/>
                  </w:tcBorders>
                  <w:noWrap w:val="0"/>
                  <w:vAlign w:val="center"/>
                </w:tcPr>
                <w:p w14:paraId="574B4E75">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一般固废</w:t>
                  </w:r>
                </w:p>
              </w:tc>
              <w:tc>
                <w:tcPr>
                  <w:tcW w:w="1288" w:type="dxa"/>
                  <w:tcBorders>
                    <w:tl2br w:val="nil"/>
                    <w:tr2bl w:val="nil"/>
                  </w:tcBorders>
                  <w:noWrap w:val="0"/>
                  <w:vAlign w:val="center"/>
                </w:tcPr>
                <w:p w14:paraId="47A5BE75">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输液区、办公室、煎药室</w:t>
                  </w:r>
                </w:p>
              </w:tc>
              <w:tc>
                <w:tcPr>
                  <w:tcW w:w="3293" w:type="dxa"/>
                  <w:tcBorders>
                    <w:tl2br w:val="nil"/>
                    <w:tr2bl w:val="nil"/>
                  </w:tcBorders>
                  <w:noWrap w:val="0"/>
                  <w:vAlign w:val="center"/>
                </w:tcPr>
                <w:p w14:paraId="016B2927">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生活垃圾、废一次性输液瓶（袋）、中西药包装及拆包过程产生的废弃包装物、中药渣</w:t>
                  </w:r>
                </w:p>
              </w:tc>
              <w:tc>
                <w:tcPr>
                  <w:tcW w:w="2403" w:type="dxa"/>
                  <w:tcBorders>
                    <w:tl2br w:val="nil"/>
                    <w:tr2bl w:val="nil"/>
                  </w:tcBorders>
                  <w:noWrap w:val="0"/>
                  <w:vAlign w:val="center"/>
                </w:tcPr>
                <w:p w14:paraId="5244A5E3">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r>
            <w:tr w14:paraId="18E6A6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35" w:type="dxa"/>
                  <w:gridSpan w:val="2"/>
                  <w:tcBorders>
                    <w:tl2br w:val="nil"/>
                    <w:tr2bl w:val="nil"/>
                  </w:tcBorders>
                  <w:noWrap w:val="0"/>
                  <w:vAlign w:val="center"/>
                </w:tcPr>
                <w:p w14:paraId="6BD7DD83">
                  <w:pPr>
                    <w:pStyle w:val="37"/>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噪声</w:t>
                  </w:r>
                </w:p>
              </w:tc>
              <w:tc>
                <w:tcPr>
                  <w:tcW w:w="3293" w:type="dxa"/>
                  <w:tcBorders>
                    <w:tl2br w:val="nil"/>
                    <w:tr2bl w:val="nil"/>
                  </w:tcBorders>
                  <w:noWrap w:val="0"/>
                  <w:vAlign w:val="center"/>
                </w:tcPr>
                <w:p w14:paraId="49904962">
                  <w:pPr>
                    <w:pStyle w:val="37"/>
                    <w:keepNext w:val="0"/>
                    <w:keepLines w:val="0"/>
                    <w:pageBreakBefore w:val="0"/>
                    <w:widowControl w:val="0"/>
                    <w:kinsoku/>
                    <w:wordWrap/>
                    <w:overflowPunct/>
                    <w:topLinePunct w:val="0"/>
                    <w:autoSpaceDE/>
                    <w:autoSpaceDN/>
                    <w:bidi w:val="0"/>
                    <w:adjustRightInd/>
                    <w:snapToGrid/>
                    <w:spacing w:before="3" w:line="240" w:lineRule="auto"/>
                    <w:ind w:left="149" w:right="140"/>
                    <w:jc w:val="center"/>
                    <w:textAlignment w:val="auto"/>
                    <w:rPr>
                      <w:rFonts w:hint="eastAsia" w:eastAsia="宋体"/>
                      <w:sz w:val="21"/>
                      <w:highlight w:val="none"/>
                      <w:lang w:eastAsia="zh-CN"/>
                    </w:rPr>
                  </w:pPr>
                  <w:r>
                    <w:rPr>
                      <w:rFonts w:hint="eastAsia"/>
                      <w:sz w:val="21"/>
                      <w:highlight w:val="none"/>
                      <w:lang w:eastAsia="zh-CN"/>
                    </w:rPr>
                    <w:t>院区</w:t>
                  </w:r>
                </w:p>
              </w:tc>
              <w:tc>
                <w:tcPr>
                  <w:tcW w:w="2403" w:type="dxa"/>
                  <w:tcBorders>
                    <w:tl2br w:val="nil"/>
                    <w:tr2bl w:val="nil"/>
                  </w:tcBorders>
                  <w:noWrap w:val="0"/>
                  <w:vAlign w:val="center"/>
                </w:tcPr>
                <w:p w14:paraId="4BD7DA83">
                  <w:pPr>
                    <w:pStyle w:val="37"/>
                    <w:keepNext w:val="0"/>
                    <w:keepLines w:val="0"/>
                    <w:pageBreakBefore w:val="0"/>
                    <w:widowControl w:val="0"/>
                    <w:kinsoku/>
                    <w:wordWrap/>
                    <w:overflowPunct/>
                    <w:topLinePunct w:val="0"/>
                    <w:autoSpaceDE/>
                    <w:autoSpaceDN/>
                    <w:bidi w:val="0"/>
                    <w:adjustRightInd/>
                    <w:snapToGrid/>
                    <w:spacing w:before="3" w:line="240" w:lineRule="auto"/>
                    <w:ind w:left="68" w:right="61"/>
                    <w:jc w:val="center"/>
                    <w:textAlignment w:val="auto"/>
                    <w:rPr>
                      <w:sz w:val="21"/>
                      <w:highlight w:val="none"/>
                    </w:rPr>
                  </w:pPr>
                  <w:r>
                    <w:rPr>
                      <w:sz w:val="21"/>
                      <w:highlight w:val="none"/>
                    </w:rPr>
                    <w:t>等效</w:t>
                  </w:r>
                  <w:r>
                    <w:rPr>
                      <w:rFonts w:hint="eastAsia"/>
                      <w:sz w:val="21"/>
                      <w:highlight w:val="none"/>
                      <w:lang w:eastAsia="zh-CN"/>
                    </w:rPr>
                    <w:t>连续</w:t>
                  </w:r>
                  <w:r>
                    <w:rPr>
                      <w:rFonts w:ascii="Times New Roman" w:eastAsia="Times New Roman"/>
                      <w:sz w:val="21"/>
                      <w:highlight w:val="none"/>
                    </w:rPr>
                    <w:t>A</w:t>
                  </w:r>
                  <w:r>
                    <w:rPr>
                      <w:sz w:val="21"/>
                      <w:highlight w:val="none"/>
                    </w:rPr>
                    <w:t>声级</w:t>
                  </w:r>
                </w:p>
              </w:tc>
            </w:tr>
          </w:tbl>
          <w:p w14:paraId="3CED59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p>
        </w:tc>
      </w:tr>
      <w:tr w14:paraId="37E6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426" w:type="dxa"/>
            <w:shd w:val="clear" w:color="auto" w:fill="auto"/>
          </w:tcPr>
          <w:p w14:paraId="71FF41D1">
            <w:pPr>
              <w:pStyle w:val="14"/>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与项目有关的原有环境污染问题</w:t>
            </w:r>
          </w:p>
        </w:tc>
        <w:tc>
          <w:tcPr>
            <w:tcW w:w="8407" w:type="dxa"/>
            <w:shd w:val="clear" w:color="auto" w:fill="auto"/>
          </w:tcPr>
          <w:p w14:paraId="1B5EFB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r>
              <w:rPr>
                <w:rFonts w:ascii="Times New Roman" w:hAnsi="Times New Roman" w:eastAsia="宋体"/>
                <w:sz w:val="24"/>
                <w:szCs w:val="24"/>
              </w:rPr>
              <w:t>1、</w:t>
            </w:r>
            <w:r>
              <w:rPr>
                <w:rFonts w:hint="eastAsia"/>
                <w:sz w:val="24"/>
                <w:szCs w:val="24"/>
                <w:lang w:val="en-US" w:eastAsia="zh-CN"/>
              </w:rPr>
              <w:t>现有工程基本情况</w:t>
            </w:r>
          </w:p>
          <w:p w14:paraId="02E85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Times New Roman" w:hAnsi="Times New Roman" w:eastAsia="宋体" w:cs="Times New Roman"/>
                <w:sz w:val="24"/>
                <w:szCs w:val="24"/>
                <w:lang w:val="en-US" w:eastAsia="zh-CN"/>
              </w:rPr>
              <w:t>茶陵县浣溪卫生院位于茶陵县</w:t>
            </w:r>
            <w:r>
              <w:rPr>
                <w:rFonts w:hint="eastAsia" w:cs="Times New Roman"/>
                <w:sz w:val="24"/>
                <w:szCs w:val="24"/>
                <w:lang w:val="en-US" w:eastAsia="zh-CN"/>
              </w:rPr>
              <w:t>浣溪镇（原湖口镇）</w:t>
            </w:r>
            <w:r>
              <w:rPr>
                <w:rFonts w:hint="eastAsia" w:ascii="Times New Roman" w:hAnsi="Times New Roman" w:eastAsia="宋体" w:cs="Times New Roman"/>
                <w:sz w:val="24"/>
                <w:szCs w:val="24"/>
                <w:lang w:val="en-US" w:eastAsia="zh-CN"/>
              </w:rPr>
              <w:t>由义村1组圩上106国道附近</w:t>
            </w:r>
            <w:r>
              <w:rPr>
                <w:sz w:val="24"/>
                <w:szCs w:val="24"/>
              </w:rPr>
              <w:t>，建</w:t>
            </w:r>
            <w:r>
              <w:rPr>
                <w:rFonts w:hint="eastAsia"/>
                <w:sz w:val="24"/>
                <w:szCs w:val="24"/>
                <w:lang w:val="en-US" w:eastAsia="zh-CN"/>
              </w:rPr>
              <w:t>成</w:t>
            </w:r>
            <w:r>
              <w:rPr>
                <w:sz w:val="24"/>
                <w:szCs w:val="24"/>
              </w:rPr>
              <w:t>于</w:t>
            </w:r>
            <w:r>
              <w:rPr>
                <w:rFonts w:hint="eastAsia"/>
                <w:sz w:val="24"/>
                <w:szCs w:val="24"/>
                <w:lang w:val="en-US" w:eastAsia="zh-CN"/>
              </w:rPr>
              <w:t>1958</w:t>
            </w:r>
            <w:r>
              <w:rPr>
                <w:sz w:val="24"/>
                <w:szCs w:val="24"/>
              </w:rPr>
              <w:t>年</w:t>
            </w:r>
            <w:r>
              <w:rPr>
                <w:rFonts w:hint="eastAsia"/>
                <w:sz w:val="24"/>
                <w:szCs w:val="24"/>
                <w:lang w:val="en-US" w:eastAsia="zh-CN"/>
              </w:rPr>
              <w:t>并</w:t>
            </w:r>
            <w:r>
              <w:rPr>
                <w:rFonts w:hint="eastAsia"/>
                <w:sz w:val="24"/>
                <w:szCs w:val="24"/>
                <w:lang w:eastAsia="zh-CN"/>
              </w:rPr>
              <w:t>投入使用；</w:t>
            </w:r>
            <w:r>
              <w:rPr>
                <w:rFonts w:hint="eastAsia"/>
                <w:sz w:val="24"/>
                <w:szCs w:val="24"/>
                <w:lang w:val="en-US" w:eastAsia="zh-CN"/>
              </w:rPr>
              <w:t>门诊楼于1997年10月29日建成，新增放射科、妇检科、儿检室、犬伤门诊等；住院部于2000年10月29日建成，新增门诊输液室、化验室、高血压糖尿病门诊等；</w:t>
            </w:r>
            <w:r>
              <w:rPr>
                <w:rFonts w:hint="eastAsia"/>
                <w:sz w:val="24"/>
                <w:szCs w:val="24"/>
                <w:lang w:eastAsia="zh-CN"/>
              </w:rPr>
              <w:t>2021年7月23</w:t>
            </w:r>
            <w:r>
              <w:rPr>
                <w:rFonts w:hint="eastAsia"/>
                <w:sz w:val="24"/>
                <w:szCs w:val="24"/>
                <w:lang w:val="en-US" w:eastAsia="zh-CN"/>
              </w:rPr>
              <w:t>日</w:t>
            </w:r>
            <w:r>
              <w:rPr>
                <w:rFonts w:hint="eastAsia"/>
                <w:sz w:val="24"/>
                <w:szCs w:val="24"/>
                <w:lang w:eastAsia="zh-CN"/>
              </w:rPr>
              <w:t>新</w:t>
            </w:r>
            <w:r>
              <w:rPr>
                <w:rFonts w:hint="eastAsia"/>
                <w:sz w:val="24"/>
                <w:szCs w:val="24"/>
                <w:lang w:val="en-US" w:eastAsia="zh-CN"/>
              </w:rPr>
              <w:t>建</w:t>
            </w:r>
            <w:r>
              <w:rPr>
                <w:rFonts w:hint="eastAsia"/>
                <w:sz w:val="24"/>
                <w:szCs w:val="24"/>
                <w:lang w:eastAsia="zh-CN"/>
              </w:rPr>
              <w:t>公</w:t>
            </w:r>
            <w:r>
              <w:rPr>
                <w:rFonts w:hint="eastAsia"/>
                <w:sz w:val="24"/>
                <w:szCs w:val="24"/>
                <w:lang w:val="en-US" w:eastAsia="zh-CN"/>
              </w:rPr>
              <w:t>卫</w:t>
            </w:r>
            <w:r>
              <w:rPr>
                <w:rFonts w:hint="eastAsia"/>
                <w:sz w:val="24"/>
                <w:szCs w:val="24"/>
                <w:lang w:eastAsia="zh-CN"/>
              </w:rPr>
              <w:t>楼，</w:t>
            </w:r>
            <w:r>
              <w:rPr>
                <w:rFonts w:hint="eastAsia"/>
                <w:sz w:val="24"/>
                <w:szCs w:val="24"/>
                <w:lang w:val="en-US" w:eastAsia="zh-CN"/>
              </w:rPr>
              <w:t>新增预防保健科、接种室、公卫办、妇保办等。本项目地址自建起从未搬迁，</w:t>
            </w:r>
            <w:r>
              <w:rPr>
                <w:rFonts w:hint="eastAsia" w:cs="Times New Roman"/>
                <w:color w:val="auto"/>
                <w:kern w:val="2"/>
                <w:sz w:val="24"/>
                <w:szCs w:val="24"/>
                <w:highlight w:val="none"/>
                <w:lang w:val="en-US" w:eastAsia="zh-CN" w:bidi="ar-SA"/>
              </w:rPr>
              <w:t>不存在搬迁、重建等事项。</w:t>
            </w:r>
            <w:r>
              <w:rPr>
                <w:sz w:val="24"/>
                <w:szCs w:val="24"/>
              </w:rPr>
              <w:t>当时并未履行环评及环保验收手续</w:t>
            </w:r>
            <w:r>
              <w:rPr>
                <w:rFonts w:hint="eastAsia"/>
                <w:sz w:val="24"/>
                <w:szCs w:val="24"/>
                <w:lang w:eastAsia="zh-CN"/>
              </w:rPr>
              <w:t>。</w:t>
            </w:r>
            <w:r>
              <w:rPr>
                <w:sz w:val="24"/>
                <w:szCs w:val="24"/>
              </w:rPr>
              <w:t>企业自运营以来，无环境污染纠纷问题，与周边企业和居民关系融洽，至今未发生环保投诉事件。</w:t>
            </w:r>
          </w:p>
          <w:p w14:paraId="54376084">
            <w:pPr>
              <w:bidi w:val="0"/>
              <w:rPr>
                <w:rFonts w:hint="default" w:eastAsia="宋体"/>
                <w:lang w:val="en-US" w:eastAsia="zh-CN"/>
              </w:rPr>
            </w:pPr>
            <w:r>
              <w:rPr>
                <w:rFonts w:hint="eastAsia"/>
                <w:sz w:val="24"/>
                <w:szCs w:val="24"/>
                <w:lang w:val="en-US" w:eastAsia="zh-CN"/>
              </w:rPr>
              <w:t>2</w:t>
            </w:r>
            <w:r>
              <w:rPr>
                <w:rFonts w:hint="eastAsia"/>
                <w:sz w:val="24"/>
                <w:szCs w:val="24"/>
              </w:rPr>
              <w:t>、</w:t>
            </w:r>
            <w:r>
              <w:rPr>
                <w:rFonts w:hint="eastAsia"/>
                <w:sz w:val="24"/>
                <w:szCs w:val="24"/>
                <w:lang w:val="en-US" w:eastAsia="zh-CN"/>
              </w:rPr>
              <w:t>与项目有关的原有环境问题</w:t>
            </w:r>
          </w:p>
          <w:p w14:paraId="1E0C25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u w:val="none"/>
                <w:lang w:val="en-US" w:eastAsia="zh-CN"/>
              </w:rPr>
            </w:pPr>
            <w:r>
              <w:rPr>
                <w:rFonts w:hint="eastAsia" w:cs="Times New Roman"/>
                <w:sz w:val="24"/>
                <w:szCs w:val="24"/>
                <w:u w:val="none"/>
                <w:lang w:val="en-US" w:eastAsia="zh-CN"/>
              </w:rPr>
              <w:t>本项目已运营多年，没有原有环境问题。</w:t>
            </w:r>
          </w:p>
          <w:p w14:paraId="06D51648">
            <w:pPr>
              <w:pStyle w:val="6"/>
              <w:rPr>
                <w:rFonts w:hint="eastAsia"/>
                <w:lang w:val="en-US" w:eastAsia="zh-CN"/>
              </w:rPr>
            </w:pPr>
          </w:p>
        </w:tc>
      </w:tr>
    </w:tbl>
    <w:p w14:paraId="77E53458">
      <w:r>
        <w:br w:type="page"/>
      </w:r>
    </w:p>
    <w:p w14:paraId="4121B0A8">
      <w:pPr>
        <w:pStyle w:val="14"/>
        <w:jc w:val="center"/>
        <w:outlineLvl w:val="0"/>
        <w:rPr>
          <w:rFonts w:hint="eastAsia" w:ascii="Times New Roman" w:hAnsi="Times New Roman" w:eastAsia="黑体"/>
          <w:snapToGrid w:val="0"/>
          <w:color w:val="000000" w:themeColor="text1"/>
          <w:sz w:val="30"/>
          <w:szCs w:val="30"/>
          <w14:textFill>
            <w14:solidFill>
              <w14:schemeClr w14:val="tx1"/>
            </w14:solidFill>
          </w14:textFill>
        </w:rPr>
      </w:pPr>
      <w:bookmarkStart w:id="13" w:name="_Toc7245"/>
      <w:bookmarkStart w:id="14" w:name="_Toc6907"/>
      <w:bookmarkStart w:id="15" w:name="_Toc11204"/>
      <w:r>
        <w:rPr>
          <w:rFonts w:hint="eastAsia"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bookmarkEnd w:id="13"/>
      <w:bookmarkEnd w:id="14"/>
      <w:bookmarkEnd w:id="15"/>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7997"/>
      </w:tblGrid>
      <w:tr w14:paraId="27678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59FDF944">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区域</w:t>
            </w:r>
          </w:p>
          <w:p w14:paraId="79E81461">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14:paraId="0ECE3D48">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质量</w:t>
            </w:r>
          </w:p>
          <w:p w14:paraId="73423971">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现状</w:t>
            </w:r>
          </w:p>
        </w:tc>
        <w:tc>
          <w:tcPr>
            <w:tcW w:w="8771" w:type="dxa"/>
          </w:tcPr>
          <w:p w14:paraId="4576076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1、</w:t>
            </w:r>
            <w:r>
              <w:rPr>
                <w:sz w:val="24"/>
                <w:szCs w:val="24"/>
              </w:rPr>
              <w:t>环境空气质量现状评价</w:t>
            </w:r>
          </w:p>
          <w:p w14:paraId="3BF20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lang w:val="en-GB"/>
              </w:rPr>
              <w:t>区域环境质量达标判定</w:t>
            </w:r>
          </w:p>
          <w:p w14:paraId="23727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为了解工程所在地的环境空气质量状况，本环评采用株洲市生态环境保护委员会办公室2024年1月19日公布的《关于2023年12月及全年全市环境空气质量、地表水环境质量状况的通报》（株生环委办〔2024〕3号）中茶陵县大气环境质量监测数据进行评价，监测数据见下表。</w:t>
            </w:r>
          </w:p>
          <w:p w14:paraId="4A8F73F5">
            <w:pPr>
              <w:adjustRightInd w:val="0"/>
              <w:snapToGrid w:val="0"/>
              <w:jc w:val="center"/>
              <w:rPr>
                <w:rFonts w:hint="default" w:ascii="Times New Roman" w:hAnsi="Times New Roman" w:eastAsia="宋体" w:cs="Times New Roman"/>
                <w:b/>
                <w:bCs/>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 xml:space="preserve">表3-1 </w:t>
            </w:r>
            <w:r>
              <w:rPr>
                <w:rFonts w:hint="default" w:ascii="Times New Roman" w:hAnsi="Times New Roman" w:eastAsia="宋体" w:cs="Times New Roman"/>
                <w:b/>
                <w:bCs/>
                <w:color w:val="000000" w:themeColor="text1"/>
                <w:spacing w:val="0"/>
                <w:kern w:val="0"/>
                <w:sz w:val="21"/>
                <w:szCs w:val="21"/>
                <w:lang w:eastAsia="zh-CN"/>
                <w14:textFill>
                  <w14:solidFill>
                    <w14:schemeClr w14:val="tx1"/>
                  </w14:solidFill>
                </w14:textFill>
              </w:rPr>
              <w:t>茶陵县</w:t>
            </w:r>
            <w:r>
              <w:rPr>
                <w:rFonts w:hint="default" w:ascii="Times New Roman" w:hAnsi="Times New Roman" w:eastAsia="宋体" w:cs="Times New Roman"/>
                <w:b/>
                <w:bCs/>
                <w:color w:val="000000" w:themeColor="text1"/>
                <w:spacing w:val="0"/>
                <w:kern w:val="0"/>
                <w:sz w:val="21"/>
                <w:szCs w:val="21"/>
                <w:lang w:val="en-US" w:eastAsia="zh-CN"/>
                <w14:textFill>
                  <w14:solidFill>
                    <w14:schemeClr w14:val="tx1"/>
                  </w14:solidFill>
                </w14:textFill>
              </w:rPr>
              <w:t>2023年环境空气质量状况</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26"/>
              <w:gridCol w:w="1586"/>
              <w:gridCol w:w="1805"/>
              <w:gridCol w:w="1261"/>
            </w:tblGrid>
            <w:tr w14:paraId="451B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3AFC60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污染物</w:t>
                  </w:r>
                </w:p>
              </w:tc>
              <w:tc>
                <w:tcPr>
                  <w:tcW w:w="2301" w:type="dxa"/>
                  <w:shd w:val="clear" w:color="auto" w:fill="auto"/>
                  <w:vAlign w:val="center"/>
                </w:tcPr>
                <w:p w14:paraId="4552DB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年评价指标</w:t>
                  </w:r>
                </w:p>
              </w:tc>
              <w:tc>
                <w:tcPr>
                  <w:tcW w:w="1659" w:type="dxa"/>
                  <w:shd w:val="clear" w:color="auto" w:fill="auto"/>
                  <w:vAlign w:val="center"/>
                </w:tcPr>
                <w:p w14:paraId="69B1B0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标准值（μg/m</w:t>
                  </w:r>
                  <w:r>
                    <w:rPr>
                      <w:rFonts w:hint="default" w:ascii="Times New Roman" w:hAnsi="Times New Roman" w:eastAsia="宋体" w:cs="Times New Roman"/>
                      <w:b/>
                      <w:bCs/>
                      <w:color w:val="000000" w:themeColor="text1"/>
                      <w:spacing w:val="0"/>
                      <w:kern w:val="0"/>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w:t>
                  </w:r>
                </w:p>
              </w:tc>
              <w:tc>
                <w:tcPr>
                  <w:tcW w:w="1915" w:type="dxa"/>
                  <w:shd w:val="clear" w:color="auto" w:fill="auto"/>
                  <w:vAlign w:val="center"/>
                </w:tcPr>
                <w:p w14:paraId="5CFE89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现状浓度（μg/m</w:t>
                  </w:r>
                  <w:r>
                    <w:rPr>
                      <w:rFonts w:hint="default" w:ascii="Times New Roman" w:hAnsi="Times New Roman" w:eastAsia="宋体" w:cs="Times New Roman"/>
                      <w:b/>
                      <w:bCs/>
                      <w:color w:val="000000" w:themeColor="text1"/>
                      <w:spacing w:val="0"/>
                      <w:kern w:val="0"/>
                      <w:sz w:val="21"/>
                      <w:szCs w:val="21"/>
                      <w:vertAlign w:val="superscript"/>
                      <w14:textFill>
                        <w14:solidFill>
                          <w14:schemeClr w14:val="tx1"/>
                        </w14:solidFill>
                      </w14:textFill>
                    </w:rPr>
                    <w:t>3</w:t>
                  </w: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w:t>
                  </w:r>
                </w:p>
              </w:tc>
              <w:tc>
                <w:tcPr>
                  <w:tcW w:w="1405" w:type="dxa"/>
                  <w:shd w:val="clear" w:color="auto" w:fill="auto"/>
                  <w:vAlign w:val="center"/>
                </w:tcPr>
                <w:p w14:paraId="53E2FC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达标情况</w:t>
                  </w:r>
                </w:p>
              </w:tc>
            </w:tr>
            <w:tr w14:paraId="1C7B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1BE876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SO</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14:paraId="421C63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46FBA8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60</w:t>
                  </w:r>
                </w:p>
              </w:tc>
              <w:tc>
                <w:tcPr>
                  <w:tcW w:w="1915" w:type="dxa"/>
                  <w:shd w:val="clear" w:color="auto" w:fill="auto"/>
                  <w:vAlign w:val="center"/>
                </w:tcPr>
                <w:p w14:paraId="5CF359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6</w:t>
                  </w:r>
                </w:p>
              </w:tc>
              <w:tc>
                <w:tcPr>
                  <w:tcW w:w="1405" w:type="dxa"/>
                  <w:shd w:val="clear" w:color="auto" w:fill="auto"/>
                  <w:vAlign w:val="center"/>
                </w:tcPr>
                <w:p w14:paraId="392ACF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155D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1D1CED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NO</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14:paraId="56609A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1B3E94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40</w:t>
                  </w:r>
                </w:p>
              </w:tc>
              <w:tc>
                <w:tcPr>
                  <w:tcW w:w="1915" w:type="dxa"/>
                  <w:shd w:val="clear" w:color="auto" w:fill="auto"/>
                  <w:vAlign w:val="center"/>
                </w:tcPr>
                <w:p w14:paraId="4AC10A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9</w:t>
                  </w:r>
                </w:p>
              </w:tc>
              <w:tc>
                <w:tcPr>
                  <w:tcW w:w="1405" w:type="dxa"/>
                  <w:shd w:val="clear" w:color="auto" w:fill="auto"/>
                  <w:vAlign w:val="center"/>
                </w:tcPr>
                <w:p w14:paraId="777829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3438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0EA239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PM</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10</w:t>
                  </w:r>
                </w:p>
              </w:tc>
              <w:tc>
                <w:tcPr>
                  <w:tcW w:w="2301" w:type="dxa"/>
                  <w:shd w:val="clear" w:color="auto" w:fill="auto"/>
                  <w:vAlign w:val="center"/>
                </w:tcPr>
                <w:p w14:paraId="2B63CC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6FAF2A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70</w:t>
                  </w:r>
                </w:p>
              </w:tc>
              <w:tc>
                <w:tcPr>
                  <w:tcW w:w="1915" w:type="dxa"/>
                  <w:shd w:val="clear" w:color="auto" w:fill="auto"/>
                  <w:vAlign w:val="center"/>
                </w:tcPr>
                <w:p w14:paraId="1FB3B3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41</w:t>
                  </w:r>
                </w:p>
              </w:tc>
              <w:tc>
                <w:tcPr>
                  <w:tcW w:w="1405" w:type="dxa"/>
                  <w:shd w:val="clear" w:color="auto" w:fill="auto"/>
                  <w:vAlign w:val="center"/>
                </w:tcPr>
                <w:p w14:paraId="58FE1B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1C1D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2C38DF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PM</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2.5</w:t>
                  </w:r>
                </w:p>
              </w:tc>
              <w:tc>
                <w:tcPr>
                  <w:tcW w:w="2301" w:type="dxa"/>
                  <w:shd w:val="clear" w:color="auto" w:fill="auto"/>
                  <w:vAlign w:val="center"/>
                </w:tcPr>
                <w:p w14:paraId="2952F1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14:paraId="3F5C4C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35</w:t>
                  </w:r>
                </w:p>
              </w:tc>
              <w:tc>
                <w:tcPr>
                  <w:tcW w:w="1915" w:type="dxa"/>
                  <w:shd w:val="clear" w:color="auto" w:fill="auto"/>
                  <w:vAlign w:val="center"/>
                </w:tcPr>
                <w:p w14:paraId="51F720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28</w:t>
                  </w:r>
                </w:p>
              </w:tc>
              <w:tc>
                <w:tcPr>
                  <w:tcW w:w="1405" w:type="dxa"/>
                  <w:shd w:val="clear" w:color="auto" w:fill="auto"/>
                  <w:vAlign w:val="center"/>
                </w:tcPr>
                <w:p w14:paraId="1268F8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0A68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4A733B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CO</w:t>
                  </w:r>
                </w:p>
              </w:tc>
              <w:tc>
                <w:tcPr>
                  <w:tcW w:w="2301" w:type="dxa"/>
                  <w:shd w:val="clear" w:color="auto" w:fill="auto"/>
                  <w:vAlign w:val="center"/>
                </w:tcPr>
                <w:p w14:paraId="7D7D99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95百分位数日平均质量浓度</w:t>
                  </w:r>
                </w:p>
              </w:tc>
              <w:tc>
                <w:tcPr>
                  <w:tcW w:w="1659" w:type="dxa"/>
                  <w:shd w:val="clear" w:color="auto" w:fill="auto"/>
                  <w:vAlign w:val="center"/>
                </w:tcPr>
                <w:p w14:paraId="6626C3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4000</w:t>
                  </w:r>
                </w:p>
              </w:tc>
              <w:tc>
                <w:tcPr>
                  <w:tcW w:w="1915" w:type="dxa"/>
                  <w:shd w:val="clear" w:color="auto" w:fill="auto"/>
                  <w:vAlign w:val="center"/>
                </w:tcPr>
                <w:p w14:paraId="267AF8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1200</w:t>
                  </w:r>
                </w:p>
              </w:tc>
              <w:tc>
                <w:tcPr>
                  <w:tcW w:w="1405" w:type="dxa"/>
                  <w:shd w:val="clear" w:color="auto" w:fill="auto"/>
                  <w:vAlign w:val="center"/>
                </w:tcPr>
                <w:p w14:paraId="2A9277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r w14:paraId="3F40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14:paraId="562AE7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O</w:t>
                  </w:r>
                  <w:r>
                    <w:rPr>
                      <w:rFonts w:hint="default" w:ascii="Times New Roman" w:hAnsi="Times New Roman" w:eastAsia="宋体" w:cs="Times New Roman"/>
                      <w:color w:val="000000" w:themeColor="text1"/>
                      <w:spacing w:val="0"/>
                      <w:kern w:val="0"/>
                      <w:sz w:val="21"/>
                      <w:szCs w:val="21"/>
                      <w:vertAlign w:val="subscript"/>
                      <w14:textFill>
                        <w14:solidFill>
                          <w14:schemeClr w14:val="tx1"/>
                        </w14:solidFill>
                      </w14:textFill>
                    </w:rPr>
                    <w:t>3</w:t>
                  </w:r>
                </w:p>
              </w:tc>
              <w:tc>
                <w:tcPr>
                  <w:tcW w:w="2301" w:type="dxa"/>
                  <w:shd w:val="clear" w:color="auto" w:fill="auto"/>
                  <w:vAlign w:val="center"/>
                </w:tcPr>
                <w:p w14:paraId="525C9A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90百分位数最大8小时平均质量浓度</w:t>
                  </w:r>
                </w:p>
              </w:tc>
              <w:tc>
                <w:tcPr>
                  <w:tcW w:w="1659" w:type="dxa"/>
                  <w:shd w:val="clear" w:color="auto" w:fill="auto"/>
                  <w:vAlign w:val="center"/>
                </w:tcPr>
                <w:p w14:paraId="3D8ECF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160</w:t>
                  </w:r>
                </w:p>
              </w:tc>
              <w:tc>
                <w:tcPr>
                  <w:tcW w:w="1915" w:type="dxa"/>
                  <w:shd w:val="clear" w:color="auto" w:fill="auto"/>
                  <w:vAlign w:val="center"/>
                </w:tcPr>
                <w:p w14:paraId="0C3727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121</w:t>
                  </w:r>
                </w:p>
              </w:tc>
              <w:tc>
                <w:tcPr>
                  <w:tcW w:w="1405" w:type="dxa"/>
                  <w:shd w:val="clear" w:color="auto" w:fill="auto"/>
                  <w:vAlign w:val="center"/>
                </w:tcPr>
                <w:p w14:paraId="14A682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达标</w:t>
                  </w:r>
                </w:p>
              </w:tc>
            </w:tr>
          </w:tbl>
          <w:p w14:paraId="34097C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Cs w:val="24"/>
              </w:rPr>
            </w:pPr>
            <w:r>
              <w:rPr>
                <w:rFonts w:hint="default" w:ascii="Times New Roman" w:hAnsi="Times New Roman" w:eastAsia="宋体" w:cs="Times New Roman"/>
                <w:color w:val="000000"/>
                <w:kern w:val="0"/>
                <w:sz w:val="24"/>
                <w:szCs w:val="24"/>
                <w:lang w:val="en-US" w:eastAsia="zh-CN" w:bidi="ar"/>
              </w:rPr>
              <w:t>由上表可知，项目所在区域202</w:t>
            </w:r>
            <w:r>
              <w:rPr>
                <w:rFonts w:hint="eastAsia" w:ascii="Times New Roman" w:hAnsi="Times New Roman"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年环境空气质量SO</w:t>
            </w:r>
            <w:r>
              <w:rPr>
                <w:rFonts w:hint="default" w:ascii="Times New Roman" w:hAnsi="Times New Roman" w:eastAsia="宋体" w:cs="Times New Roman"/>
                <w:color w:val="000000"/>
                <w:kern w:val="0"/>
                <w:sz w:val="15"/>
                <w:szCs w:val="15"/>
                <w:lang w:val="en-US" w:eastAsia="zh-CN" w:bidi="ar"/>
              </w:rPr>
              <w:t>2</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10</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2.5</w:t>
            </w:r>
            <w:r>
              <w:rPr>
                <w:rFonts w:hint="default" w:ascii="Times New Roman" w:hAnsi="Times New Roman" w:eastAsia="宋体" w:cs="Times New Roman"/>
                <w:color w:val="000000"/>
                <w:kern w:val="0"/>
                <w:sz w:val="24"/>
                <w:szCs w:val="24"/>
                <w:lang w:val="en-US" w:eastAsia="zh-CN" w:bidi="ar"/>
              </w:rPr>
              <w:t>的年平均浓度和CO的24小时平均浓度、O</w:t>
            </w:r>
            <w:r>
              <w:rPr>
                <w:rFonts w:hint="default" w:ascii="Times New Roman" w:hAnsi="Times New Roman" w:eastAsia="宋体" w:cs="Times New Roman"/>
                <w:color w:val="000000"/>
                <w:kern w:val="0"/>
                <w:sz w:val="15"/>
                <w:szCs w:val="15"/>
                <w:lang w:val="en-US" w:eastAsia="zh-CN" w:bidi="ar"/>
              </w:rPr>
              <w:t>3</w:t>
            </w:r>
            <w:r>
              <w:rPr>
                <w:rFonts w:hint="default" w:ascii="Times New Roman" w:hAnsi="Times New Roman" w:eastAsia="宋体" w:cs="Times New Roman"/>
                <w:color w:val="000000"/>
                <w:kern w:val="0"/>
                <w:sz w:val="24"/>
                <w:szCs w:val="24"/>
                <w:lang w:val="en-US" w:eastAsia="zh-CN" w:bidi="ar"/>
              </w:rPr>
              <w:t>的日最大8h平均浓度均可达到《环境空气质量标准》（GB3095-2012）及其修改单中二级标准限值要求。根据《环境影响评价技术导则大气环境》（HJ2.2-2018），判定本项目所在区域为达标区。</w:t>
            </w:r>
          </w:p>
          <w:p w14:paraId="760D37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2、水环境质量现状评价</w:t>
            </w:r>
          </w:p>
          <w:p w14:paraId="14E6A8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pPr>
            <w:r>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t>为了解项目所在区域水环境质量现状，本环评引用</w:t>
            </w:r>
            <w:r>
              <w:rPr>
                <w:rFonts w:hint="default" w:ascii="Times New Roman" w:hAnsi="Times New Roman" w:eastAsia="宋体" w:cs="Times New Roman"/>
                <w:sz w:val="24"/>
                <w:szCs w:val="24"/>
                <w:lang w:val="en-US" w:eastAsia="zh-CN"/>
              </w:rPr>
              <w:t>2024年1月19日公布的《关于2023年12月及全年全市环境空气质量、地表水环境质量状况的通报》（株生环委办〔2024〕3号）</w:t>
            </w:r>
            <w:r>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t>中</w:t>
            </w:r>
            <w:r>
              <w:rPr>
                <w:rFonts w:hint="default" w:ascii="Times New Roman" w:hAnsi="Times New Roman" w:eastAsia="宋体" w:cs="Times New Roman"/>
                <w:color w:val="000000" w:themeColor="text1"/>
                <w:spacing w:val="0"/>
                <w:kern w:val="0"/>
                <w:sz w:val="24"/>
                <w:szCs w:val="24"/>
                <w:u w:val="none" w:color="auto"/>
                <w:lang w:val="en-US" w:eastAsia="zh-CN"/>
                <w14:textFill>
                  <w14:solidFill>
                    <w14:schemeClr w14:val="tx1"/>
                  </w14:solidFill>
                </w14:textFill>
              </w:rPr>
              <w:t>苏州坝</w:t>
            </w:r>
            <w:r>
              <w:rPr>
                <w:rFonts w:hint="default" w:ascii="Times New Roman" w:hAnsi="Times New Roman" w:eastAsia="宋体" w:cs="Times New Roman"/>
                <w:color w:val="000000" w:themeColor="text1"/>
                <w:spacing w:val="0"/>
                <w:kern w:val="0"/>
                <w:sz w:val="24"/>
                <w:szCs w:val="24"/>
                <w:u w:val="none" w:color="auto"/>
                <w:lang w:eastAsia="zh-CN"/>
                <w14:textFill>
                  <w14:solidFill>
                    <w14:schemeClr w14:val="tx1"/>
                  </w14:solidFill>
                </w14:textFill>
              </w:rPr>
              <w:t>断面</w:t>
            </w:r>
            <w:r>
              <w:rPr>
                <w:rFonts w:hint="default" w:ascii="Times New Roman" w:hAnsi="Times New Roman" w:eastAsia="宋体" w:cs="Times New Roman"/>
                <w:color w:val="000000" w:themeColor="text1"/>
                <w:spacing w:val="0"/>
                <w:kern w:val="0"/>
                <w:sz w:val="24"/>
                <w:szCs w:val="24"/>
                <w:u w:val="none" w:color="auto"/>
                <w14:textFill>
                  <w14:solidFill>
                    <w14:schemeClr w14:val="tx1"/>
                  </w14:solidFill>
                </w14:textFill>
              </w:rPr>
              <w:t>水质状况，统计结果如下：</w:t>
            </w:r>
          </w:p>
          <w:p w14:paraId="24802112">
            <w:pPr>
              <w:pStyle w:val="6"/>
              <w:rPr>
                <w:rFonts w:hint="default"/>
              </w:rPr>
            </w:pPr>
          </w:p>
          <w:p w14:paraId="613FEB64">
            <w:pPr>
              <w:adjustRightInd w:val="0"/>
              <w:snapToGrid w:val="0"/>
              <w:jc w:val="cente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表3-</w:t>
            </w:r>
            <w:r>
              <w:rPr>
                <w:rFonts w:hint="default" w:ascii="Times New Roman" w:hAnsi="Times New Roman" w:eastAsia="宋体" w:cs="Times New Roman"/>
                <w:b/>
                <w:bCs/>
                <w:color w:val="000000" w:themeColor="text1"/>
                <w:spacing w:val="0"/>
                <w:kern w:val="0"/>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pacing w:val="0"/>
                <w:kern w:val="0"/>
                <w:sz w:val="21"/>
                <w:szCs w:val="21"/>
                <w14:textFill>
                  <w14:solidFill>
                    <w14:schemeClr w14:val="tx1"/>
                  </w14:solidFill>
                </w14:textFill>
              </w:rPr>
              <w:t>地表水环境现状监测结果</w:t>
            </w:r>
          </w:p>
          <w:tbl>
            <w:tblPr>
              <w:tblStyle w:val="17"/>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094"/>
              <w:gridCol w:w="685"/>
              <w:gridCol w:w="820"/>
              <w:gridCol w:w="821"/>
              <w:gridCol w:w="820"/>
              <w:gridCol w:w="957"/>
              <w:gridCol w:w="958"/>
              <w:gridCol w:w="892"/>
            </w:tblGrid>
            <w:tr w14:paraId="1A04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14:paraId="49262EBB">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河流</w:t>
                  </w:r>
                </w:p>
              </w:tc>
              <w:tc>
                <w:tcPr>
                  <w:tcW w:w="1094" w:type="dxa"/>
                  <w:vMerge w:val="restart"/>
                  <w:vAlign w:val="center"/>
                </w:tcPr>
                <w:p w14:paraId="57C217B3">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断面名称</w:t>
                  </w:r>
                </w:p>
              </w:tc>
              <w:tc>
                <w:tcPr>
                  <w:tcW w:w="685" w:type="dxa"/>
                  <w:vMerge w:val="restart"/>
                  <w:vAlign w:val="center"/>
                </w:tcPr>
                <w:p w14:paraId="47A9C68B">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控制级别</w:t>
                  </w:r>
                </w:p>
              </w:tc>
              <w:tc>
                <w:tcPr>
                  <w:tcW w:w="5268" w:type="dxa"/>
                  <w:gridSpan w:val="6"/>
                  <w:vAlign w:val="center"/>
                </w:tcPr>
                <w:p w14:paraId="731E3394">
                  <w:pPr>
                    <w:adjustRightInd w:val="0"/>
                    <w:snapToGrid w:val="0"/>
                    <w:spacing w:line="360" w:lineRule="auto"/>
                    <w:jc w:val="center"/>
                    <w:rPr>
                      <w:rFonts w:hint="default" w:ascii="Times New Roman" w:hAnsi="Times New Roman" w:eastAsia="宋体" w:cs="Times New Roman"/>
                      <w:b/>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0"/>
                      <w:kern w:val="0"/>
                      <w:sz w:val="21"/>
                      <w:szCs w:val="21"/>
                      <w14:textFill>
                        <w14:solidFill>
                          <w14:schemeClr w14:val="tx1"/>
                        </w14:solidFill>
                      </w14:textFill>
                    </w:rPr>
                    <w:t>水质</w:t>
                  </w:r>
                </w:p>
              </w:tc>
            </w:tr>
            <w:tr w14:paraId="036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2E56DDF9">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1094" w:type="dxa"/>
                  <w:vMerge w:val="continue"/>
                  <w:vAlign w:val="center"/>
                </w:tcPr>
                <w:p w14:paraId="6667EA40">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685" w:type="dxa"/>
                  <w:vMerge w:val="continue"/>
                  <w:vAlign w:val="center"/>
                </w:tcPr>
                <w:p w14:paraId="732466B0">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820" w:type="dxa"/>
                  <w:vAlign w:val="center"/>
                </w:tcPr>
                <w:p w14:paraId="23B4E1F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年1月</w:t>
                  </w:r>
                </w:p>
              </w:tc>
              <w:tc>
                <w:tcPr>
                  <w:tcW w:w="821" w:type="dxa"/>
                  <w:vAlign w:val="center"/>
                </w:tcPr>
                <w:p w14:paraId="0CB8CBF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年2月</w:t>
                  </w:r>
                </w:p>
              </w:tc>
              <w:tc>
                <w:tcPr>
                  <w:tcW w:w="820" w:type="dxa"/>
                  <w:vAlign w:val="center"/>
                </w:tcPr>
                <w:p w14:paraId="2CD2BAE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年3月</w:t>
                  </w:r>
                </w:p>
              </w:tc>
              <w:tc>
                <w:tcPr>
                  <w:tcW w:w="957" w:type="dxa"/>
                  <w:vAlign w:val="center"/>
                </w:tcPr>
                <w:p w14:paraId="0E5D5B3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年4月</w:t>
                  </w:r>
                </w:p>
              </w:tc>
              <w:tc>
                <w:tcPr>
                  <w:tcW w:w="958" w:type="dxa"/>
                  <w:vAlign w:val="center"/>
                </w:tcPr>
                <w:p w14:paraId="3DD3F74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年5月</w:t>
                  </w:r>
                </w:p>
              </w:tc>
              <w:tc>
                <w:tcPr>
                  <w:tcW w:w="892" w:type="dxa"/>
                  <w:vAlign w:val="center"/>
                </w:tcPr>
                <w:p w14:paraId="33F77A9F">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w:t>
                  </w:r>
                </w:p>
                <w:p w14:paraId="0BD952A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6月</w:t>
                  </w:r>
                </w:p>
              </w:tc>
            </w:tr>
            <w:tr w14:paraId="5E06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14:paraId="17829ADE">
                  <w:pPr>
                    <w:snapToGrid w:val="0"/>
                    <w:jc w:val="cente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洣水</w:t>
                  </w:r>
                </w:p>
              </w:tc>
              <w:tc>
                <w:tcPr>
                  <w:tcW w:w="1094" w:type="dxa"/>
                  <w:vMerge w:val="restart"/>
                  <w:vAlign w:val="center"/>
                </w:tcPr>
                <w:p w14:paraId="74AFA882">
                  <w:pPr>
                    <w:snapToGrid w:val="0"/>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苏州坝</w:t>
                  </w:r>
                </w:p>
              </w:tc>
              <w:tc>
                <w:tcPr>
                  <w:tcW w:w="685" w:type="dxa"/>
                  <w:vAlign w:val="center"/>
                </w:tcPr>
                <w:p w14:paraId="1A65A8AE">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省控</w:t>
                  </w:r>
                </w:p>
              </w:tc>
              <w:tc>
                <w:tcPr>
                  <w:tcW w:w="820" w:type="dxa"/>
                  <w:vAlign w:val="center"/>
                </w:tcPr>
                <w:p w14:paraId="1211CDDF">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21" w:type="dxa"/>
                  <w:vAlign w:val="center"/>
                </w:tcPr>
                <w:p w14:paraId="7B6F9CA3">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20" w:type="dxa"/>
                  <w:vAlign w:val="center"/>
                </w:tcPr>
                <w:p w14:paraId="5FF88C08">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957" w:type="dxa"/>
                  <w:vAlign w:val="center"/>
                </w:tcPr>
                <w:p w14:paraId="493E3C3C">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958" w:type="dxa"/>
                  <w:vAlign w:val="center"/>
                </w:tcPr>
                <w:p w14:paraId="6C4975B6">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92" w:type="dxa"/>
                  <w:vAlign w:val="center"/>
                </w:tcPr>
                <w:p w14:paraId="060444CE">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r>
            <w:tr w14:paraId="56FB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210EB8A3">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1094" w:type="dxa"/>
                  <w:vMerge w:val="continue"/>
                  <w:vAlign w:val="center"/>
                </w:tcPr>
                <w:p w14:paraId="40A24A90">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685" w:type="dxa"/>
                  <w:vMerge w:val="restart"/>
                  <w:vAlign w:val="center"/>
                </w:tcPr>
                <w:p w14:paraId="788ACFDA">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r>
                    <w:rPr>
                      <w:rFonts w:hint="default" w:ascii="Times New Roman" w:hAnsi="Times New Roman" w:eastAsia="宋体" w:cs="Times New Roman"/>
                      <w:b/>
                      <w:bCs/>
                      <w:color w:val="000000" w:themeColor="text1"/>
                      <w:spacing w:val="0"/>
                      <w:sz w:val="21"/>
                      <w:szCs w:val="21"/>
                      <w14:textFill>
                        <w14:solidFill>
                          <w14:schemeClr w14:val="tx1"/>
                        </w14:solidFill>
                      </w14:textFill>
                    </w:rPr>
                    <w:t>控制级别</w:t>
                  </w:r>
                </w:p>
              </w:tc>
              <w:tc>
                <w:tcPr>
                  <w:tcW w:w="5268" w:type="dxa"/>
                  <w:gridSpan w:val="6"/>
                  <w:vAlign w:val="center"/>
                </w:tcPr>
                <w:p w14:paraId="2CAC7EB9">
                  <w:pPr>
                    <w:adjustRightInd w:val="0"/>
                    <w:snapToGrid w:val="0"/>
                    <w:spacing w:line="360" w:lineRule="auto"/>
                    <w:jc w:val="center"/>
                    <w:rPr>
                      <w:rFonts w:hint="default" w:ascii="Times New Roman" w:hAnsi="Times New Roman" w:eastAsia="宋体" w:cs="Times New Roman"/>
                      <w:b/>
                      <w:color w:val="000000" w:themeColor="text1"/>
                      <w:spacing w:val="0"/>
                      <w:kern w:val="0"/>
                      <w:sz w:val="21"/>
                      <w:szCs w:val="21"/>
                      <w14:textFill>
                        <w14:solidFill>
                          <w14:schemeClr w14:val="tx1"/>
                        </w14:solidFill>
                      </w14:textFill>
                    </w:rPr>
                  </w:pPr>
                  <w:r>
                    <w:rPr>
                      <w:rFonts w:hint="default" w:ascii="Times New Roman" w:hAnsi="Times New Roman" w:eastAsia="宋体" w:cs="Times New Roman"/>
                      <w:b/>
                      <w:color w:val="000000" w:themeColor="text1"/>
                      <w:spacing w:val="0"/>
                      <w:kern w:val="0"/>
                      <w:sz w:val="21"/>
                      <w:szCs w:val="21"/>
                      <w14:textFill>
                        <w14:solidFill>
                          <w14:schemeClr w14:val="tx1"/>
                        </w14:solidFill>
                      </w14:textFill>
                    </w:rPr>
                    <w:t>水质</w:t>
                  </w:r>
                </w:p>
              </w:tc>
            </w:tr>
            <w:tr w14:paraId="1F7A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21EB3F50">
                  <w:pPr>
                    <w:widowControl/>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1094" w:type="dxa"/>
                  <w:vMerge w:val="continue"/>
                  <w:vAlign w:val="center"/>
                </w:tcPr>
                <w:p w14:paraId="073119FF">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685" w:type="dxa"/>
                  <w:vMerge w:val="continue"/>
                  <w:vAlign w:val="center"/>
                </w:tcPr>
                <w:p w14:paraId="071E48B0">
                  <w:pPr>
                    <w:snapToGrid w:val="0"/>
                    <w:jc w:val="center"/>
                    <w:rPr>
                      <w:rFonts w:hint="default" w:ascii="Times New Roman" w:hAnsi="Times New Roman" w:eastAsia="宋体" w:cs="Times New Roman"/>
                      <w:b/>
                      <w:bCs/>
                      <w:color w:val="000000" w:themeColor="text1"/>
                      <w:spacing w:val="0"/>
                      <w:sz w:val="21"/>
                      <w:szCs w:val="21"/>
                      <w14:textFill>
                        <w14:solidFill>
                          <w14:schemeClr w14:val="tx1"/>
                        </w14:solidFill>
                      </w14:textFill>
                    </w:rPr>
                  </w:pPr>
                </w:p>
              </w:tc>
              <w:tc>
                <w:tcPr>
                  <w:tcW w:w="820" w:type="dxa"/>
                  <w:vAlign w:val="center"/>
                </w:tcPr>
                <w:p w14:paraId="0B21F2C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年7月</w:t>
                  </w:r>
                </w:p>
              </w:tc>
              <w:tc>
                <w:tcPr>
                  <w:tcW w:w="821" w:type="dxa"/>
                  <w:vAlign w:val="center"/>
                </w:tcPr>
                <w:p w14:paraId="1CF9D35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年8月</w:t>
                  </w:r>
                </w:p>
              </w:tc>
              <w:tc>
                <w:tcPr>
                  <w:tcW w:w="820" w:type="dxa"/>
                  <w:vAlign w:val="center"/>
                </w:tcPr>
                <w:p w14:paraId="3163411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年9月</w:t>
                  </w:r>
                </w:p>
              </w:tc>
              <w:tc>
                <w:tcPr>
                  <w:tcW w:w="957" w:type="dxa"/>
                  <w:vAlign w:val="center"/>
                </w:tcPr>
                <w:p w14:paraId="257C5D66">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年10月</w:t>
                  </w:r>
                </w:p>
              </w:tc>
              <w:tc>
                <w:tcPr>
                  <w:tcW w:w="958" w:type="dxa"/>
                  <w:vAlign w:val="center"/>
                </w:tcPr>
                <w:p w14:paraId="7208E6D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年11月</w:t>
                  </w:r>
                </w:p>
              </w:tc>
              <w:tc>
                <w:tcPr>
                  <w:tcW w:w="892" w:type="dxa"/>
                  <w:vAlign w:val="center"/>
                </w:tcPr>
                <w:p w14:paraId="4D35A187">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202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14:textFill>
                        <w14:solidFill>
                          <w14:schemeClr w14:val="tx1"/>
                        </w14:solidFill>
                      </w14:textFill>
                    </w:rPr>
                    <w:t>年12月</w:t>
                  </w:r>
                </w:p>
              </w:tc>
            </w:tr>
            <w:tr w14:paraId="22CB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14:paraId="6831B346">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p>
              </w:tc>
              <w:tc>
                <w:tcPr>
                  <w:tcW w:w="1094" w:type="dxa"/>
                  <w:vMerge w:val="continue"/>
                  <w:vAlign w:val="center"/>
                </w:tcPr>
                <w:p w14:paraId="123E566A">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p>
              </w:tc>
              <w:tc>
                <w:tcPr>
                  <w:tcW w:w="685" w:type="dxa"/>
                  <w:vAlign w:val="center"/>
                </w:tcPr>
                <w:p w14:paraId="00CB77F1">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省控</w:t>
                  </w:r>
                </w:p>
              </w:tc>
              <w:tc>
                <w:tcPr>
                  <w:tcW w:w="820" w:type="dxa"/>
                  <w:vAlign w:val="center"/>
                </w:tcPr>
                <w:p w14:paraId="35835A0E">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821" w:type="dxa"/>
                  <w:vAlign w:val="center"/>
                </w:tcPr>
                <w:p w14:paraId="566DC5DE">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c>
                <w:tcPr>
                  <w:tcW w:w="820" w:type="dxa"/>
                  <w:vAlign w:val="center"/>
                </w:tcPr>
                <w:p w14:paraId="6DA33FEB">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Ⅱ类</w:t>
                  </w:r>
                </w:p>
              </w:tc>
              <w:tc>
                <w:tcPr>
                  <w:tcW w:w="957" w:type="dxa"/>
                  <w:vAlign w:val="center"/>
                </w:tcPr>
                <w:p w14:paraId="0E1290BC">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c>
                <w:tcPr>
                  <w:tcW w:w="958" w:type="dxa"/>
                  <w:vAlign w:val="center"/>
                </w:tcPr>
                <w:p w14:paraId="7E34E517">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c>
                <w:tcPr>
                  <w:tcW w:w="892" w:type="dxa"/>
                  <w:vAlign w:val="center"/>
                </w:tcPr>
                <w:p w14:paraId="06D7B22B">
                  <w:pPr>
                    <w:snapToGrid w:val="0"/>
                    <w:jc w:val="center"/>
                    <w:rPr>
                      <w:rFonts w:hint="default" w:ascii="Times New Roman" w:hAnsi="Times New Roman" w:eastAsia="宋体" w:cs="Times New Roman"/>
                      <w:color w:val="000000" w:themeColor="text1"/>
                      <w:spacing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lang w:eastAsia="zh-CN"/>
                      <w14:textFill>
                        <w14:solidFill>
                          <w14:schemeClr w14:val="tx1"/>
                        </w14:solidFill>
                      </w14:textFill>
                    </w:rPr>
                    <w:t>Ⅱ</w:t>
                  </w:r>
                  <w:r>
                    <w:rPr>
                      <w:rFonts w:hint="default" w:ascii="Times New Roman" w:hAnsi="Times New Roman" w:eastAsia="宋体" w:cs="Times New Roman"/>
                      <w:color w:val="000000" w:themeColor="text1"/>
                      <w:spacing w:val="0"/>
                      <w:sz w:val="21"/>
                      <w:szCs w:val="21"/>
                      <w14:textFill>
                        <w14:solidFill>
                          <w14:schemeClr w14:val="tx1"/>
                        </w14:solidFill>
                      </w14:textFill>
                    </w:rPr>
                    <w:t>类</w:t>
                  </w:r>
                </w:p>
              </w:tc>
            </w:tr>
          </w:tbl>
          <w:p w14:paraId="36179DFB">
            <w:pPr>
              <w:adjustRightInd w:val="0"/>
              <w:snapToGrid w:val="0"/>
              <w:spacing w:line="360" w:lineRule="auto"/>
              <w:ind w:firstLine="480" w:firstLineChars="200"/>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4"/>
                <w:szCs w:val="24"/>
                <w14:textFill>
                  <w14:solidFill>
                    <w14:schemeClr w14:val="tx1"/>
                  </w14:solidFill>
                </w14:textFill>
              </w:rPr>
              <w:t>根据上表监测结果，</w:t>
            </w:r>
            <w:r>
              <w:rPr>
                <w:rFonts w:hint="default" w:ascii="Times New Roman" w:hAnsi="Times New Roman" w:eastAsia="宋体" w:cs="Times New Roman"/>
                <w:color w:val="000000" w:themeColor="text1"/>
                <w:spacing w:val="0"/>
                <w:kern w:val="0"/>
                <w:sz w:val="24"/>
                <w:szCs w:val="24"/>
                <w:lang w:val="en-US" w:eastAsia="zh-CN"/>
                <w14:textFill>
                  <w14:solidFill>
                    <w14:schemeClr w14:val="tx1"/>
                  </w14:solidFill>
                </w14:textFill>
              </w:rPr>
              <w:t>苏州坝</w:t>
            </w:r>
            <w:r>
              <w:rPr>
                <w:rFonts w:hint="default" w:ascii="Times New Roman" w:hAnsi="Times New Roman" w:eastAsia="宋体" w:cs="Times New Roman"/>
                <w:color w:val="000000" w:themeColor="text1"/>
                <w:spacing w:val="0"/>
                <w:kern w:val="0"/>
                <w:sz w:val="24"/>
                <w:szCs w:val="24"/>
                <w14:textFill>
                  <w14:solidFill>
                    <w14:schemeClr w14:val="tx1"/>
                  </w14:solidFill>
                </w14:textFill>
              </w:rPr>
              <w:t>水质能达到《地表水环境质量标准》（GB3838-2002）II类水质要求，区域地表水环境质量现状较好。</w:t>
            </w:r>
            <w:r>
              <w:rPr>
                <w:rFonts w:hint="default" w:ascii="Times New Roman" w:hAnsi="Times New Roman" w:eastAsia="宋体" w:cs="Times New Roman"/>
                <w:color w:val="000000" w:themeColor="text1"/>
                <w:spacing w:val="0"/>
                <w:kern w:val="0"/>
                <w:sz w:val="24"/>
                <w:szCs w:val="24"/>
                <w:lang w:val="en-US" w:eastAsia="zh-CN"/>
                <w14:textFill>
                  <w14:solidFill>
                    <w14:schemeClr w14:val="tx1"/>
                  </w14:solidFill>
                </w14:textFill>
              </w:rPr>
              <w:t xml:space="preserve"> </w:t>
            </w:r>
            <w:r>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t xml:space="preserve"> </w:t>
            </w:r>
          </w:p>
          <w:p w14:paraId="25FEEE1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u w:val="none"/>
              </w:rPr>
            </w:pPr>
            <w:r>
              <w:rPr>
                <w:rFonts w:hint="eastAsia"/>
                <w:sz w:val="24"/>
                <w:szCs w:val="24"/>
                <w:lang w:val="en-US" w:eastAsia="zh-CN"/>
              </w:rPr>
              <w:t>3</w:t>
            </w:r>
            <w:r>
              <w:rPr>
                <w:rFonts w:hint="eastAsia"/>
                <w:sz w:val="24"/>
                <w:szCs w:val="24"/>
              </w:rPr>
              <w:t>、</w:t>
            </w:r>
            <w:r>
              <w:rPr>
                <w:rFonts w:hint="eastAsia"/>
                <w:sz w:val="24"/>
                <w:szCs w:val="24"/>
                <w:u w:val="none"/>
              </w:rPr>
              <w:t>生态环境现状</w:t>
            </w:r>
          </w:p>
          <w:p w14:paraId="451E04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u w:val="none"/>
              </w:rPr>
            </w:pPr>
            <w:r>
              <w:rPr>
                <w:sz w:val="24"/>
                <w:szCs w:val="24"/>
                <w:highlight w:val="none"/>
                <w:u w:val="none"/>
              </w:rPr>
              <w:t>项目位于</w:t>
            </w:r>
            <w:r>
              <w:rPr>
                <w:rFonts w:hint="eastAsia" w:ascii="宋体" w:hAnsi="宋体" w:cs="宋体"/>
                <w:b w:val="0"/>
                <w:bCs w:val="0"/>
                <w:color w:val="000000"/>
                <w:sz w:val="24"/>
                <w:szCs w:val="24"/>
                <w:highlight w:val="none"/>
                <w:u w:val="none"/>
                <w:lang w:eastAsia="zh-CN"/>
              </w:rPr>
              <w:t>茶陵县</w:t>
            </w:r>
            <w:r>
              <w:rPr>
                <w:rFonts w:hint="eastAsia" w:ascii="宋体" w:hAnsi="宋体" w:cs="宋体"/>
                <w:b w:val="0"/>
                <w:bCs w:val="0"/>
                <w:color w:val="000000"/>
                <w:sz w:val="24"/>
                <w:szCs w:val="24"/>
                <w:highlight w:val="none"/>
                <w:u w:val="none"/>
                <w:lang w:val="en-US" w:eastAsia="zh-CN"/>
              </w:rPr>
              <w:t>浣溪镇（原湖口镇）由义村</w:t>
            </w:r>
            <w:r>
              <w:rPr>
                <w:sz w:val="24"/>
                <w:szCs w:val="24"/>
                <w:u w:val="none"/>
              </w:rPr>
              <w:t>，项目所在地周边植物主要为乔木、杂草以及附近村民种植作物，动物主要为周边村民饲养的鸡、鸭、狗等常见动物。根据历史资料和实地考察，本项目选址不涉及珍稀濒危的保护动植物。</w:t>
            </w:r>
          </w:p>
          <w:p w14:paraId="53226D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none"/>
                <w:lang w:eastAsia="zh-CN"/>
              </w:rPr>
            </w:pPr>
            <w:r>
              <w:rPr>
                <w:rFonts w:hint="eastAsia"/>
                <w:sz w:val="24"/>
                <w:szCs w:val="24"/>
                <w:u w:val="none"/>
                <w:lang w:val="en-US" w:eastAsia="zh-CN"/>
              </w:rPr>
              <w:t>4</w:t>
            </w:r>
            <w:r>
              <w:rPr>
                <w:rFonts w:hint="eastAsia"/>
                <w:sz w:val="24"/>
                <w:szCs w:val="24"/>
                <w:u w:val="none"/>
              </w:rPr>
              <w:t>、地下水</w:t>
            </w:r>
            <w:r>
              <w:rPr>
                <w:rFonts w:hint="eastAsia"/>
                <w:sz w:val="24"/>
                <w:szCs w:val="24"/>
                <w:u w:val="none"/>
                <w:lang w:eastAsia="zh-CN"/>
              </w:rPr>
              <w:t>、土壤环境</w:t>
            </w:r>
          </w:p>
          <w:p w14:paraId="2F0955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none"/>
              </w:rPr>
            </w:pPr>
            <w:r>
              <w:rPr>
                <w:sz w:val="24"/>
                <w:szCs w:val="24"/>
                <w:highlight w:val="none"/>
                <w:u w:val="none"/>
              </w:rPr>
              <w:t>本项目位于</w:t>
            </w:r>
            <w:r>
              <w:rPr>
                <w:rFonts w:hint="eastAsia" w:ascii="宋体" w:hAnsi="宋体" w:cs="宋体"/>
                <w:b w:val="0"/>
                <w:bCs w:val="0"/>
                <w:color w:val="000000"/>
                <w:sz w:val="24"/>
                <w:szCs w:val="24"/>
                <w:highlight w:val="none"/>
                <w:u w:val="none"/>
                <w:lang w:eastAsia="zh-CN"/>
              </w:rPr>
              <w:t>茶陵县</w:t>
            </w:r>
            <w:r>
              <w:rPr>
                <w:rFonts w:hint="eastAsia" w:ascii="宋体" w:hAnsi="宋体" w:cs="宋体"/>
                <w:b w:val="0"/>
                <w:bCs w:val="0"/>
                <w:color w:val="000000"/>
                <w:sz w:val="24"/>
                <w:szCs w:val="24"/>
                <w:highlight w:val="none"/>
                <w:u w:val="none"/>
                <w:lang w:val="en-US" w:eastAsia="zh-CN"/>
              </w:rPr>
              <w:t>浣溪镇（原湖口镇）由义村</w:t>
            </w:r>
            <w:r>
              <w:rPr>
                <w:sz w:val="24"/>
                <w:szCs w:val="24"/>
                <w:u w:val="none"/>
              </w:rPr>
              <w:t>，周边居民均采用市政自来水进行供水，地下水环境敏感程度为不敏感；</w:t>
            </w:r>
            <w:r>
              <w:rPr>
                <w:rFonts w:hint="eastAsia"/>
                <w:sz w:val="24"/>
                <w:szCs w:val="24"/>
                <w:u w:val="none"/>
                <w:lang w:eastAsia="zh-CN"/>
              </w:rPr>
              <w:t>院内</w:t>
            </w:r>
            <w:r>
              <w:rPr>
                <w:sz w:val="24"/>
                <w:szCs w:val="24"/>
                <w:u w:val="none"/>
              </w:rPr>
              <w:t>地面已硬化，周边近距离范围内主要为标准</w:t>
            </w:r>
            <w:r>
              <w:rPr>
                <w:rFonts w:hint="eastAsia"/>
                <w:sz w:val="24"/>
                <w:szCs w:val="24"/>
                <w:u w:val="none"/>
                <w:lang w:eastAsia="zh-CN"/>
              </w:rPr>
              <w:t>居民住宅</w:t>
            </w:r>
            <w:r>
              <w:rPr>
                <w:sz w:val="24"/>
                <w:szCs w:val="24"/>
                <w:u w:val="none"/>
              </w:rPr>
              <w:t>，污染影响敏感程度为不敏感，可不开展地下水、土壤的环境质量现状调查。</w:t>
            </w:r>
          </w:p>
          <w:p w14:paraId="4D9BAB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4"/>
                <w:u w:val="none"/>
                <w:lang w:val="en-US" w:eastAsia="zh-CN"/>
              </w:rPr>
            </w:pPr>
            <w:r>
              <w:rPr>
                <w:rFonts w:hint="eastAsia"/>
                <w:sz w:val="24"/>
                <w:szCs w:val="24"/>
                <w:u w:val="none"/>
                <w:lang w:val="en-US" w:eastAsia="zh-CN"/>
              </w:rPr>
              <w:t>5</w:t>
            </w:r>
            <w:r>
              <w:rPr>
                <w:rFonts w:hint="eastAsia"/>
                <w:sz w:val="24"/>
                <w:szCs w:val="24"/>
                <w:u w:val="none"/>
              </w:rPr>
              <w:t>、</w:t>
            </w:r>
            <w:r>
              <w:rPr>
                <w:rFonts w:hint="eastAsia" w:eastAsia="宋体"/>
                <w:sz w:val="24"/>
                <w:szCs w:val="24"/>
                <w:u w:val="none"/>
                <w:lang w:val="en-US" w:eastAsia="zh-CN"/>
              </w:rPr>
              <w:t>电磁辐射</w:t>
            </w:r>
          </w:p>
          <w:p w14:paraId="0B4E7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24"/>
                <w:u w:val="none"/>
                <w:lang w:val="en-US" w:eastAsia="zh-CN"/>
              </w:rPr>
            </w:pPr>
            <w:r>
              <w:rPr>
                <w:rFonts w:hint="eastAsia" w:eastAsia="宋体"/>
                <w:sz w:val="24"/>
                <w:szCs w:val="24"/>
                <w:u w:val="none"/>
                <w:lang w:val="en-US" w:eastAsia="zh-CN"/>
              </w:rPr>
              <w:t>本次评价不包括辐射和放射性环境影响评价，项目涉及的有关辐射和放射性设备等内容，另行委托相关资质单位评价。</w:t>
            </w:r>
          </w:p>
          <w:p w14:paraId="36556E9A">
            <w:pPr>
              <w:keepNext w:val="0"/>
              <w:keepLines w:val="0"/>
              <w:pageBreakBefore w:val="0"/>
              <w:widowControl w:val="0"/>
              <w:numPr>
                <w:ilvl w:val="0"/>
                <w:numId w:val="0"/>
              </w:numPr>
              <w:kinsoku/>
              <w:wordWrap/>
              <w:overflowPunct/>
              <w:topLinePunct w:val="0"/>
              <w:autoSpaceDE/>
              <w:autoSpaceDN/>
              <w:bidi w:val="0"/>
              <w:adjustRightInd/>
              <w:snapToGrid/>
              <w:ind w:left="210" w:leftChars="0" w:firstLine="420" w:firstLineChars="200"/>
              <w:textAlignment w:val="auto"/>
              <w:rPr>
                <w:rFonts w:hint="eastAsia"/>
                <w:lang w:val="en-US" w:eastAsia="zh-CN"/>
              </w:rPr>
            </w:pPr>
          </w:p>
        </w:tc>
      </w:tr>
      <w:tr w14:paraId="52C75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7DCC0010">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14:paraId="405B2A5C">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保护</w:t>
            </w:r>
          </w:p>
          <w:p w14:paraId="26FB71A1">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目标</w:t>
            </w:r>
          </w:p>
        </w:tc>
        <w:tc>
          <w:tcPr>
            <w:tcW w:w="8771" w:type="dxa"/>
          </w:tcPr>
          <w:p w14:paraId="0F1467A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olor w:val="000000" w:themeColor="text1"/>
                <w:spacing w:val="0"/>
                <w:sz w:val="24"/>
                <w:szCs w:val="24"/>
                <w14:textFill>
                  <w14:solidFill>
                    <w14:schemeClr w14:val="tx1"/>
                  </w14:solidFill>
                </w14:textFill>
              </w:rPr>
              <w:t>1</w:t>
            </w:r>
            <w:r>
              <w:rPr>
                <w:rFonts w:hint="eastAsia" w:ascii="Times New Roman" w:hAnsi="Times New Roman" w:eastAsia="宋体" w:cs="宋体"/>
                <w:color w:val="000000" w:themeColor="text1"/>
                <w:spacing w:val="0"/>
                <w:sz w:val="24"/>
                <w:szCs w:val="24"/>
                <w14:textFill>
                  <w14:solidFill>
                    <w14:schemeClr w14:val="tx1"/>
                  </w14:solidFill>
                </w14:textFill>
              </w:rPr>
              <w:t>、环境保护目标</w:t>
            </w:r>
          </w:p>
          <w:p w14:paraId="533739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环境保护目标主要是评价范围内可能受影响的附近居民居住区及河流。项目附近主要环境敏感点详见下表：</w:t>
            </w:r>
          </w:p>
          <w:p w14:paraId="286BEDB4">
            <w:pPr>
              <w:adjustRightInd w:val="0"/>
              <w:snapToGrid w:val="0"/>
              <w:jc w:val="center"/>
              <w:rPr>
                <w:rFonts w:ascii="Times New Roman" w:hAnsi="Times New Roman" w:eastAsia="宋体" w:cs="宋体"/>
                <w:b/>
                <w:color w:val="000000" w:themeColor="text1"/>
                <w:spacing w:val="0"/>
                <w:sz w:val="24"/>
                <w:szCs w:val="24"/>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表</w:t>
            </w:r>
            <w:r>
              <w:rPr>
                <w:rFonts w:ascii="Times New Roman" w:hAnsi="Times New Roman" w:eastAsia="宋体"/>
                <w:b/>
                <w:bCs/>
                <w:color w:val="000000" w:themeColor="text1"/>
                <w:spacing w:val="0"/>
                <w:sz w:val="21"/>
                <w:szCs w:val="21"/>
                <w14:textFill>
                  <w14:solidFill>
                    <w14:schemeClr w14:val="tx1"/>
                  </w14:solidFill>
                </w14:textFill>
              </w:rPr>
              <w:t>3-</w:t>
            </w:r>
            <w:r>
              <w:rPr>
                <w:rFonts w:hint="eastAsia"/>
                <w:b/>
                <w:bCs/>
                <w:color w:val="000000" w:themeColor="text1"/>
                <w:spacing w:val="0"/>
                <w:sz w:val="21"/>
                <w:szCs w:val="21"/>
                <w:lang w:val="en-US" w:eastAsia="zh-CN"/>
                <w14:textFill>
                  <w14:solidFill>
                    <w14:schemeClr w14:val="tx1"/>
                  </w14:solidFill>
                </w14:textFill>
              </w:rPr>
              <w:t xml:space="preserve">3 </w:t>
            </w:r>
            <w:r>
              <w:rPr>
                <w:rFonts w:hint="eastAsia" w:ascii="Times New Roman" w:hAnsi="Times New Roman" w:eastAsia="宋体" w:cs="宋体"/>
                <w:b/>
                <w:color w:val="000000" w:themeColor="text1"/>
                <w:spacing w:val="0"/>
                <w:sz w:val="21"/>
                <w:szCs w:val="21"/>
                <w14:textFill>
                  <w14:solidFill>
                    <w14:schemeClr w14:val="tx1"/>
                  </w14:solidFill>
                </w14:textFill>
              </w:rPr>
              <w:t>大气环境保护目标一览表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4"/>
              <w:gridCol w:w="2163"/>
              <w:gridCol w:w="1013"/>
              <w:gridCol w:w="1200"/>
              <w:gridCol w:w="1860"/>
            </w:tblGrid>
            <w:tr w14:paraId="59A5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9" w:type="pct"/>
                  <w:vAlign w:val="center"/>
                </w:tcPr>
                <w:p w14:paraId="1293ED08">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环境要素</w:t>
                  </w:r>
                </w:p>
              </w:tc>
              <w:tc>
                <w:tcPr>
                  <w:tcW w:w="575" w:type="pct"/>
                  <w:vAlign w:val="center"/>
                </w:tcPr>
                <w:p w14:paraId="2FAA6355">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环境敏感点</w:t>
                  </w:r>
                </w:p>
              </w:tc>
              <w:tc>
                <w:tcPr>
                  <w:tcW w:w="1392" w:type="pct"/>
                  <w:vAlign w:val="center"/>
                </w:tcPr>
                <w:p w14:paraId="7134AF4A">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经</w:t>
                  </w:r>
                  <w:r>
                    <w:rPr>
                      <w:rFonts w:hint="default" w:ascii="Times New Roman" w:hAnsi="Times New Roman" w:eastAsia="宋体" w:cs="Times New Roman"/>
                      <w:b/>
                      <w:color w:val="000000" w:themeColor="text1"/>
                      <w:spacing w:val="0"/>
                      <w:sz w:val="21"/>
                      <w:szCs w:val="21"/>
                      <w:lang w:eastAsia="zh-CN"/>
                      <w14:textFill>
                        <w14:solidFill>
                          <w14:schemeClr w14:val="tx1"/>
                        </w14:solidFill>
                      </w14:textFill>
                    </w:rPr>
                    <w:t>、</w:t>
                  </w:r>
                  <w:r>
                    <w:rPr>
                      <w:rFonts w:hint="default" w:ascii="Times New Roman" w:hAnsi="Times New Roman" w:eastAsia="宋体" w:cs="Times New Roman"/>
                      <w:b/>
                      <w:color w:val="000000" w:themeColor="text1"/>
                      <w:spacing w:val="0"/>
                      <w:sz w:val="21"/>
                      <w:szCs w:val="21"/>
                      <w14:textFill>
                        <w14:solidFill>
                          <w14:schemeClr w14:val="tx1"/>
                        </w14:solidFill>
                      </w14:textFill>
                    </w:rPr>
                    <w:t>纬度</w:t>
                  </w:r>
                </w:p>
              </w:tc>
              <w:tc>
                <w:tcPr>
                  <w:tcW w:w="652" w:type="pct"/>
                  <w:vAlign w:val="center"/>
                </w:tcPr>
                <w:p w14:paraId="4BE5E6CB">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方位/距离</w:t>
                  </w:r>
                </w:p>
              </w:tc>
              <w:tc>
                <w:tcPr>
                  <w:tcW w:w="772" w:type="pct"/>
                  <w:vAlign w:val="center"/>
                </w:tcPr>
                <w:p w14:paraId="508CC414">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功能/规模</w:t>
                  </w:r>
                </w:p>
              </w:tc>
              <w:tc>
                <w:tcPr>
                  <w:tcW w:w="1197" w:type="pct"/>
                  <w:vAlign w:val="center"/>
                </w:tcPr>
                <w:p w14:paraId="4F79CD6B">
                  <w:pPr>
                    <w:jc w:val="center"/>
                    <w:rPr>
                      <w:rFonts w:hint="default" w:ascii="Times New Roman" w:hAnsi="Times New Roman" w:eastAsia="宋体" w:cs="Times New Roman"/>
                      <w:b/>
                      <w:color w:val="000000" w:themeColor="text1"/>
                      <w:spacing w:val="0"/>
                      <w:sz w:val="21"/>
                      <w:szCs w:val="21"/>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环境保护区域标准</w:t>
                  </w:r>
                </w:p>
              </w:tc>
            </w:tr>
            <w:tr w14:paraId="240F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9" w:type="pct"/>
                  <w:vMerge w:val="restart"/>
                  <w:vAlign w:val="center"/>
                </w:tcPr>
                <w:p w14:paraId="201ED7AF">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大气环境</w:t>
                  </w:r>
                </w:p>
              </w:tc>
              <w:tc>
                <w:tcPr>
                  <w:tcW w:w="575" w:type="pct"/>
                  <w:vAlign w:val="center"/>
                </w:tcPr>
                <w:p w14:paraId="1DA1764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村居民点1</w:t>
                  </w:r>
                </w:p>
              </w:tc>
              <w:tc>
                <w:tcPr>
                  <w:tcW w:w="1392" w:type="pct"/>
                  <w:vAlign w:val="center"/>
                </w:tcPr>
                <w:p w14:paraId="15C33E9A">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113°36′1.95″E, 26°33′46.26″N</w:t>
                  </w:r>
                </w:p>
                <w:p w14:paraId="67348A7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p>
              </w:tc>
              <w:tc>
                <w:tcPr>
                  <w:tcW w:w="652" w:type="pct"/>
                  <w:vAlign w:val="center"/>
                </w:tcPr>
                <w:p w14:paraId="4AB5540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西，15m</w:t>
                  </w:r>
                </w:p>
              </w:tc>
              <w:tc>
                <w:tcPr>
                  <w:tcW w:w="772" w:type="pct"/>
                  <w:vAlign w:val="center"/>
                </w:tcPr>
                <w:p w14:paraId="23AA36F7">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p>
                <w:p w14:paraId="1815447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300—350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restart"/>
                  <w:vAlign w:val="center"/>
                </w:tcPr>
                <w:p w14:paraId="5F651AB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14:textFill>
                        <w14:solidFill>
                          <w14:schemeClr w14:val="tx1"/>
                        </w14:solidFill>
                      </w14:textFill>
                    </w:rPr>
                    <w:t>《环境空气质量标准》（GB3095-2012）二类标准要求</w:t>
                  </w:r>
                </w:p>
              </w:tc>
            </w:tr>
            <w:tr w14:paraId="445C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9" w:type="pct"/>
                  <w:vMerge w:val="continue"/>
                  <w:vAlign w:val="center"/>
                </w:tcPr>
                <w:p w14:paraId="3744EEE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78523E8F">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村居民点2</w:t>
                  </w:r>
                </w:p>
              </w:tc>
              <w:tc>
                <w:tcPr>
                  <w:tcW w:w="1392" w:type="pct"/>
                  <w:vAlign w:val="center"/>
                </w:tcPr>
                <w:p w14:paraId="29DC9DBF">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113°35′59.84″E, 26°34′2.57″N</w:t>
                  </w:r>
                </w:p>
                <w:p w14:paraId="2EFBC58F">
                  <w:pPr>
                    <w:adjustRightInd w:val="0"/>
                    <w:snapToGrid w:val="0"/>
                    <w:jc w:val="center"/>
                    <w:rPr>
                      <w:rFonts w:hint="default" w:ascii="Times New Roman" w:hAnsi="Times New Roman" w:eastAsia="宋体" w:cs="Times New Roman"/>
                      <w:lang w:val="en-US" w:eastAsia="zh-CN"/>
                    </w:rPr>
                  </w:pPr>
                </w:p>
              </w:tc>
              <w:tc>
                <w:tcPr>
                  <w:tcW w:w="652" w:type="pct"/>
                  <w:vAlign w:val="center"/>
                </w:tcPr>
                <w:p w14:paraId="6435CEA2">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西北，130m</w:t>
                  </w:r>
                </w:p>
              </w:tc>
              <w:tc>
                <w:tcPr>
                  <w:tcW w:w="772" w:type="pct"/>
                  <w:vAlign w:val="center"/>
                </w:tcPr>
                <w:p w14:paraId="1F296389">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p>
                <w:p w14:paraId="29E19AD1">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140—160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continue"/>
                  <w:vAlign w:val="center"/>
                </w:tcPr>
                <w:p w14:paraId="128E79D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79CF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9" w:type="pct"/>
                  <w:vMerge w:val="continue"/>
                  <w:vAlign w:val="center"/>
                </w:tcPr>
                <w:p w14:paraId="278F39C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4AB700CC">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村居民点3</w:t>
                  </w:r>
                </w:p>
              </w:tc>
              <w:tc>
                <w:tcPr>
                  <w:tcW w:w="1392" w:type="pct"/>
                  <w:vAlign w:val="center"/>
                </w:tcPr>
                <w:p w14:paraId="11A89715">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113°36′2.90″E, 26°33′57.00″N</w:t>
                  </w:r>
                </w:p>
              </w:tc>
              <w:tc>
                <w:tcPr>
                  <w:tcW w:w="652" w:type="pct"/>
                  <w:vAlign w:val="center"/>
                </w:tcPr>
                <w:p w14:paraId="604A7AC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东北，305m</w:t>
                  </w:r>
                </w:p>
              </w:tc>
              <w:tc>
                <w:tcPr>
                  <w:tcW w:w="772" w:type="pct"/>
                  <w:vAlign w:val="center"/>
                </w:tcPr>
                <w:p w14:paraId="0D306002">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35</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0人</w:t>
                  </w:r>
                </w:p>
              </w:tc>
              <w:tc>
                <w:tcPr>
                  <w:tcW w:w="1197" w:type="pct"/>
                  <w:vMerge w:val="continue"/>
                  <w:vAlign w:val="center"/>
                </w:tcPr>
                <w:p w14:paraId="5CAE9505">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5555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9" w:type="pct"/>
                  <w:vMerge w:val="continue"/>
                  <w:vAlign w:val="center"/>
                </w:tcPr>
                <w:p w14:paraId="674C826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7541BE34">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村居民点4</w:t>
                  </w:r>
                </w:p>
              </w:tc>
              <w:tc>
                <w:tcPr>
                  <w:tcW w:w="1392" w:type="pct"/>
                  <w:vAlign w:val="center"/>
                </w:tcPr>
                <w:p w14:paraId="7F6047CF">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113°36′2.9″E, 26°33′57.0″N</w:t>
                  </w:r>
                </w:p>
                <w:p w14:paraId="63D9ED6D">
                  <w:pPr>
                    <w:adjustRightInd w:val="0"/>
                    <w:snapToGrid w:val="0"/>
                    <w:jc w:val="center"/>
                    <w:rPr>
                      <w:rFonts w:hint="default" w:ascii="Times New Roman" w:hAnsi="Times New Roman" w:eastAsia="宋体" w:cs="Times New Roman"/>
                      <w:lang w:val="en-US" w:eastAsia="zh-CN"/>
                    </w:rPr>
                  </w:pPr>
                </w:p>
              </w:tc>
              <w:tc>
                <w:tcPr>
                  <w:tcW w:w="652" w:type="pct"/>
                  <w:vAlign w:val="center"/>
                </w:tcPr>
                <w:p w14:paraId="71A30052">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北，2.5m</w:t>
                  </w:r>
                </w:p>
              </w:tc>
              <w:tc>
                <w:tcPr>
                  <w:tcW w:w="772" w:type="pct"/>
                  <w:vAlign w:val="center"/>
                </w:tcPr>
                <w:p w14:paraId="02288DA9">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125</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140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continue"/>
                  <w:vAlign w:val="center"/>
                </w:tcPr>
                <w:p w14:paraId="63DC9B8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1281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09" w:type="pct"/>
                  <w:vMerge w:val="continue"/>
                  <w:vAlign w:val="center"/>
                </w:tcPr>
                <w:p w14:paraId="4AE2657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70ACDFE2">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村居民点5</w:t>
                  </w:r>
                </w:p>
              </w:tc>
              <w:tc>
                <w:tcPr>
                  <w:tcW w:w="1392" w:type="pct"/>
                  <w:vAlign w:val="center"/>
                </w:tcPr>
                <w:p w14:paraId="61021716">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113°36′5.92″E, 26°33′47.06″N</w:t>
                  </w:r>
                </w:p>
                <w:p w14:paraId="378AE18D">
                  <w:pPr>
                    <w:adjustRightInd w:val="0"/>
                    <w:snapToGrid w:val="0"/>
                    <w:jc w:val="center"/>
                    <w:rPr>
                      <w:rFonts w:hint="default" w:ascii="Times New Roman" w:hAnsi="Times New Roman" w:eastAsia="宋体" w:cs="Times New Roman"/>
                      <w:lang w:val="en-US" w:eastAsia="zh-CN"/>
                    </w:rPr>
                  </w:pPr>
                </w:p>
              </w:tc>
              <w:tc>
                <w:tcPr>
                  <w:tcW w:w="652" w:type="pct"/>
                  <w:vAlign w:val="center"/>
                </w:tcPr>
                <w:p w14:paraId="5CAC506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南，</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5m</w:t>
                  </w:r>
                </w:p>
              </w:tc>
              <w:tc>
                <w:tcPr>
                  <w:tcW w:w="772" w:type="pct"/>
                  <w:vAlign w:val="center"/>
                </w:tcPr>
                <w:p w14:paraId="60BBFB83">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50—</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270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continue"/>
                  <w:vAlign w:val="center"/>
                </w:tcPr>
                <w:p w14:paraId="16AA328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74A3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07752CE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2B5BF796">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村居民点6</w:t>
                  </w:r>
                </w:p>
              </w:tc>
              <w:tc>
                <w:tcPr>
                  <w:tcW w:w="1392" w:type="pct"/>
                  <w:vAlign w:val="center"/>
                </w:tcPr>
                <w:p w14:paraId="456C896E">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113°36′11.66″E, 26°33′40.09″N</w:t>
                  </w:r>
                </w:p>
                <w:p w14:paraId="628877E9">
                  <w:pPr>
                    <w:adjustRightInd w:val="0"/>
                    <w:snapToGrid w:val="0"/>
                    <w:jc w:val="center"/>
                    <w:rPr>
                      <w:rFonts w:hint="default" w:ascii="Times New Roman" w:hAnsi="Times New Roman" w:eastAsia="宋体" w:cs="Times New Roman"/>
                      <w:lang w:val="en-US" w:eastAsia="zh-CN"/>
                    </w:rPr>
                  </w:pPr>
                </w:p>
              </w:tc>
              <w:tc>
                <w:tcPr>
                  <w:tcW w:w="652" w:type="pct"/>
                  <w:vAlign w:val="center"/>
                </w:tcPr>
                <w:p w14:paraId="22F33F0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东南，3</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64</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m</w:t>
                  </w:r>
                </w:p>
              </w:tc>
              <w:tc>
                <w:tcPr>
                  <w:tcW w:w="772" w:type="pct"/>
                  <w:vAlign w:val="center"/>
                </w:tcPr>
                <w:p w14:paraId="04C0D1A4">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p>
                <w:p w14:paraId="09CC1EDB">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0人</w:t>
                  </w:r>
                </w:p>
              </w:tc>
              <w:tc>
                <w:tcPr>
                  <w:tcW w:w="1197" w:type="pct"/>
                  <w:vMerge w:val="continue"/>
                  <w:vAlign w:val="center"/>
                </w:tcPr>
                <w:p w14:paraId="4B82407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48AD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409" w:type="pct"/>
                  <w:vMerge w:val="continue"/>
                  <w:vAlign w:val="center"/>
                </w:tcPr>
                <w:p w14:paraId="038FAFF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5C85EDE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7</w:t>
                  </w:r>
                </w:p>
              </w:tc>
              <w:tc>
                <w:tcPr>
                  <w:tcW w:w="1392" w:type="pct"/>
                  <w:vAlign w:val="center"/>
                </w:tcPr>
                <w:p w14:paraId="7F91D25D">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113°36′7.01″E, 26°33′40.01″N</w:t>
                  </w:r>
                </w:p>
                <w:p w14:paraId="39E47F46">
                  <w:pPr>
                    <w:adjustRightInd w:val="0"/>
                    <w:snapToGrid w:val="0"/>
                    <w:jc w:val="center"/>
                    <w:rPr>
                      <w:rFonts w:hint="default" w:ascii="Times New Roman" w:hAnsi="Times New Roman" w:eastAsia="宋体" w:cs="Times New Roman"/>
                      <w:lang w:val="en-US" w:eastAsia="zh-CN"/>
                    </w:rPr>
                  </w:pPr>
                </w:p>
              </w:tc>
              <w:tc>
                <w:tcPr>
                  <w:tcW w:w="652" w:type="pct"/>
                  <w:vAlign w:val="center"/>
                </w:tcPr>
                <w:p w14:paraId="6759DFFB">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352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m</w:t>
                  </w:r>
                </w:p>
              </w:tc>
              <w:tc>
                <w:tcPr>
                  <w:tcW w:w="772" w:type="pct"/>
                  <w:vAlign w:val="center"/>
                </w:tcPr>
                <w:p w14:paraId="08F34F6D">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p>
                <w:p w14:paraId="66049155">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0人</w:t>
                  </w:r>
                </w:p>
              </w:tc>
              <w:tc>
                <w:tcPr>
                  <w:tcW w:w="1197" w:type="pct"/>
                  <w:vMerge w:val="continue"/>
                  <w:vAlign w:val="center"/>
                </w:tcPr>
                <w:p w14:paraId="28BC8649">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705A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9" w:type="pct"/>
                  <w:vMerge w:val="continue"/>
                  <w:vAlign w:val="center"/>
                </w:tcPr>
                <w:p w14:paraId="194CB38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1E21C1FB">
                  <w:pPr>
                    <w:keepNext w:val="0"/>
                    <w:keepLines w:val="0"/>
                    <w:widowControl/>
                    <w:suppressLineNumbers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8</w:t>
                  </w:r>
                </w:p>
              </w:tc>
              <w:tc>
                <w:tcPr>
                  <w:tcW w:w="1392" w:type="pct"/>
                  <w:vAlign w:val="center"/>
                </w:tcPr>
                <w:p w14:paraId="0519CEF3">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113°36′0.54″E, 26°33′38.91″N</w:t>
                  </w:r>
                </w:p>
                <w:p w14:paraId="4FD58B24">
                  <w:pPr>
                    <w:adjustRightInd w:val="0"/>
                    <w:snapToGrid w:val="0"/>
                    <w:jc w:val="center"/>
                    <w:rPr>
                      <w:rFonts w:hint="default" w:ascii="Times New Roman" w:hAnsi="Times New Roman" w:eastAsia="宋体" w:cs="Times New Roman"/>
                      <w:lang w:val="en-US" w:eastAsia="zh-CN"/>
                    </w:rPr>
                  </w:pPr>
                </w:p>
              </w:tc>
              <w:tc>
                <w:tcPr>
                  <w:tcW w:w="652" w:type="pct"/>
                  <w:vAlign w:val="center"/>
                </w:tcPr>
                <w:p w14:paraId="2215145B">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西南</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328m</w:t>
                  </w:r>
                </w:p>
              </w:tc>
              <w:tc>
                <w:tcPr>
                  <w:tcW w:w="772" w:type="pct"/>
                  <w:vAlign w:val="center"/>
                </w:tcPr>
                <w:p w14:paraId="550ED648">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p>
                <w:p w14:paraId="220A435F">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7</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0人</w:t>
                  </w:r>
                </w:p>
              </w:tc>
              <w:tc>
                <w:tcPr>
                  <w:tcW w:w="1197" w:type="pct"/>
                  <w:vMerge w:val="continue"/>
                  <w:vAlign w:val="center"/>
                </w:tcPr>
                <w:p w14:paraId="46DB79B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136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7BE324A0">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6266CB1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茶陵浣溪中学</w:t>
                  </w:r>
                </w:p>
              </w:tc>
              <w:tc>
                <w:tcPr>
                  <w:tcW w:w="1392" w:type="pct"/>
                  <w:vAlign w:val="center"/>
                </w:tcPr>
                <w:p w14:paraId="5EDE114B">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113°36′1.98″E, 26°34′4.85″N</w:t>
                  </w:r>
                </w:p>
              </w:tc>
              <w:tc>
                <w:tcPr>
                  <w:tcW w:w="652" w:type="pct"/>
                  <w:vAlign w:val="center"/>
                </w:tcPr>
                <w:p w14:paraId="56DFEB5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北，398m</w:t>
                  </w:r>
                </w:p>
              </w:tc>
              <w:tc>
                <w:tcPr>
                  <w:tcW w:w="772" w:type="pct"/>
                  <w:vAlign w:val="center"/>
                </w:tcPr>
                <w:p w14:paraId="28B4545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w:t>
                  </w: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师生</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约</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1200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continue"/>
                </w:tcPr>
                <w:p w14:paraId="5107721A">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794C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5E0304C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30480882">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金童年</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幼儿园</w:t>
                  </w:r>
                </w:p>
              </w:tc>
              <w:tc>
                <w:tcPr>
                  <w:tcW w:w="1392" w:type="pct"/>
                  <w:vAlign w:val="center"/>
                </w:tcPr>
                <w:p w14:paraId="012DF064">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113°36</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1.18</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E,</w:t>
                  </w:r>
                </w:p>
                <w:p w14:paraId="37D278AE">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26°33</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56.46</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N</w:t>
                  </w:r>
                </w:p>
              </w:tc>
              <w:tc>
                <w:tcPr>
                  <w:tcW w:w="652" w:type="pct"/>
                  <w:vAlign w:val="center"/>
                </w:tcPr>
                <w:p w14:paraId="2B59351C">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西</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北</w:t>
                  </w:r>
                  <w:r>
                    <w:rPr>
                      <w:rFonts w:hint="eastAsia" w:eastAsia="宋体" w:cs="Times New Roman"/>
                      <w:color w:val="000000" w:themeColor="text1"/>
                      <w:spacing w:val="0"/>
                      <w:kern w:val="0"/>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91</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m</w:t>
                  </w:r>
                </w:p>
              </w:tc>
              <w:tc>
                <w:tcPr>
                  <w:tcW w:w="772" w:type="pct"/>
                  <w:vAlign w:val="center"/>
                </w:tcPr>
                <w:p w14:paraId="03D036B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学校，约60人</w:t>
                  </w:r>
                </w:p>
              </w:tc>
              <w:tc>
                <w:tcPr>
                  <w:tcW w:w="1197" w:type="pct"/>
                  <w:vMerge w:val="continue"/>
                </w:tcPr>
                <w:p w14:paraId="5BCE312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70A0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5C8D92F2">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0F6FF9BF">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茶陵县浣溪镇白露村卫生室</w:t>
                  </w:r>
                </w:p>
              </w:tc>
              <w:tc>
                <w:tcPr>
                  <w:tcW w:w="1392" w:type="pct"/>
                  <w:vAlign w:val="center"/>
                </w:tcPr>
                <w:p w14:paraId="4D6BF77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113°36′7.28″E, 26°33′42.30″N</w:t>
                  </w:r>
                </w:p>
              </w:tc>
              <w:tc>
                <w:tcPr>
                  <w:tcW w:w="652" w:type="pct"/>
                  <w:vAlign w:val="center"/>
                </w:tcPr>
                <w:p w14:paraId="67A36525">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东南，325m</w:t>
                  </w:r>
                </w:p>
              </w:tc>
              <w:tc>
                <w:tcPr>
                  <w:tcW w:w="772" w:type="pct"/>
                  <w:vAlign w:val="center"/>
                </w:tcPr>
                <w:p w14:paraId="275F947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医疗卫生机构</w:t>
                  </w:r>
                </w:p>
              </w:tc>
              <w:tc>
                <w:tcPr>
                  <w:tcW w:w="1197" w:type="pct"/>
                  <w:vMerge w:val="continue"/>
                </w:tcPr>
                <w:p w14:paraId="3119B1DF">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6206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1CC10A15">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737D7A3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梦华中医诊所</w:t>
                  </w:r>
                </w:p>
              </w:tc>
              <w:tc>
                <w:tcPr>
                  <w:tcW w:w="1392" w:type="pct"/>
                  <w:vAlign w:val="center"/>
                </w:tcPr>
                <w:p w14:paraId="1DB0A26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113°36′7.92″E, 26°33′43.16″N</w:t>
                  </w:r>
                </w:p>
              </w:tc>
              <w:tc>
                <w:tcPr>
                  <w:tcW w:w="652" w:type="pct"/>
                  <w:vAlign w:val="center"/>
                </w:tcPr>
                <w:p w14:paraId="6CAA64A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东南，309m</w:t>
                  </w:r>
                </w:p>
              </w:tc>
              <w:tc>
                <w:tcPr>
                  <w:tcW w:w="772" w:type="pct"/>
                  <w:vAlign w:val="center"/>
                </w:tcPr>
                <w:p w14:paraId="42015EA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医疗卫生机构</w:t>
                  </w:r>
                </w:p>
              </w:tc>
              <w:tc>
                <w:tcPr>
                  <w:tcW w:w="1197" w:type="pct"/>
                  <w:vMerge w:val="continue"/>
                </w:tcPr>
                <w:p w14:paraId="373E395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7F2F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069E10AA">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037A22D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育才幼儿园</w:t>
                  </w:r>
                </w:p>
              </w:tc>
              <w:tc>
                <w:tcPr>
                  <w:tcW w:w="1392" w:type="pct"/>
                  <w:vAlign w:val="center"/>
                </w:tcPr>
                <w:p w14:paraId="1D4B6266">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113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11.11</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E</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 26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42.5</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N</w:t>
                  </w:r>
                </w:p>
                <w:p w14:paraId="3655E86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p>
              </w:tc>
              <w:tc>
                <w:tcPr>
                  <w:tcW w:w="652" w:type="pct"/>
                  <w:vAlign w:val="center"/>
                </w:tcPr>
                <w:p w14:paraId="496E301E">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东南，3</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1m</w:t>
                  </w:r>
                </w:p>
              </w:tc>
              <w:tc>
                <w:tcPr>
                  <w:tcW w:w="772" w:type="pct"/>
                  <w:vAlign w:val="center"/>
                </w:tcPr>
                <w:p w14:paraId="4673247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学校，约60人</w:t>
                  </w:r>
                </w:p>
              </w:tc>
              <w:tc>
                <w:tcPr>
                  <w:tcW w:w="1197" w:type="pct"/>
                  <w:vMerge w:val="continue"/>
                </w:tcPr>
                <w:p w14:paraId="270569FB">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6F8E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09" w:type="pct"/>
                  <w:vMerge w:val="continue"/>
                  <w:vAlign w:val="center"/>
                </w:tcPr>
                <w:p w14:paraId="0E2B564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7492595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浣溪镇社区居民委员会</w:t>
                  </w:r>
                </w:p>
              </w:tc>
              <w:tc>
                <w:tcPr>
                  <w:tcW w:w="1392" w:type="pct"/>
                  <w:vAlign w:val="center"/>
                </w:tcPr>
                <w:p w14:paraId="16BE7849">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113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10.05</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E</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 26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41.88</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N</w:t>
                  </w:r>
                </w:p>
                <w:p w14:paraId="5D19877D">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p>
              </w:tc>
              <w:tc>
                <w:tcPr>
                  <w:tcW w:w="652" w:type="pct"/>
                  <w:vAlign w:val="center"/>
                </w:tcPr>
                <w:p w14:paraId="4F27441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东</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南，</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336</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m</w:t>
                  </w:r>
                </w:p>
              </w:tc>
              <w:tc>
                <w:tcPr>
                  <w:tcW w:w="772" w:type="pct"/>
                  <w:vAlign w:val="center"/>
                </w:tcPr>
                <w:p w14:paraId="722B36F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基层群众自治组织</w:t>
                  </w:r>
                </w:p>
              </w:tc>
              <w:tc>
                <w:tcPr>
                  <w:tcW w:w="1197" w:type="pct"/>
                  <w:vMerge w:val="continue"/>
                </w:tcPr>
                <w:p w14:paraId="59F7FB0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1999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61521F25">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4102799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湖口中西派出所交警中队</w:t>
                  </w:r>
                </w:p>
              </w:tc>
              <w:tc>
                <w:tcPr>
                  <w:tcW w:w="1392" w:type="pct"/>
                  <w:vAlign w:val="center"/>
                </w:tcPr>
                <w:p w14:paraId="59AB4A84">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113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18.93</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E</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 26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49.84</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N</w:t>
                  </w:r>
                </w:p>
                <w:p w14:paraId="7C1675B1">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p>
              </w:tc>
              <w:tc>
                <w:tcPr>
                  <w:tcW w:w="652" w:type="pct"/>
                  <w:vAlign w:val="center"/>
                </w:tcPr>
                <w:p w14:paraId="366EB4FA">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东南，401m</w:t>
                  </w:r>
                </w:p>
              </w:tc>
              <w:tc>
                <w:tcPr>
                  <w:tcW w:w="772" w:type="pct"/>
                  <w:vAlign w:val="center"/>
                </w:tcPr>
                <w:p w14:paraId="0A769590">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公安交通管理机构</w:t>
                  </w:r>
                </w:p>
              </w:tc>
              <w:tc>
                <w:tcPr>
                  <w:tcW w:w="1197" w:type="pct"/>
                  <w:vMerge w:val="continue"/>
                </w:tcPr>
                <w:p w14:paraId="5BDA16A7">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505E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continue"/>
                  <w:vAlign w:val="center"/>
                </w:tcPr>
                <w:p w14:paraId="0819CF9E">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09C6BCCB">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龙下村人社服务窗口</w:t>
                  </w:r>
                </w:p>
              </w:tc>
              <w:tc>
                <w:tcPr>
                  <w:tcW w:w="1392" w:type="pct"/>
                  <w:vAlign w:val="center"/>
                </w:tcPr>
                <w:p w14:paraId="0506DA0E">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113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16.01</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E</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 26</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33</w:t>
                  </w:r>
                  <w:r>
                    <w:rPr>
                      <w:rFonts w:hint="default" w:ascii="Times New Roman" w:hAnsi="Times New Roman" w:eastAsia="宋体" w:cs="Times New Roman"/>
                      <w:lang w:val="en-US" w:eastAsia="zh-CN"/>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51.61</w:t>
                  </w:r>
                  <w:r>
                    <w:rPr>
                      <w:rFonts w:hint="default" w:ascii="Times New Roman" w:hAnsi="Times New Roman" w:eastAsia="宋体" w:cs="Times New Roman"/>
                      <w:lang w:val="en-US" w:eastAsia="zh-CN"/>
                    </w:rPr>
                    <w:t>″</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N</w:t>
                  </w:r>
                </w:p>
                <w:p w14:paraId="30FD1C6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p>
              </w:tc>
              <w:tc>
                <w:tcPr>
                  <w:tcW w:w="652" w:type="pct"/>
                  <w:vAlign w:val="center"/>
                </w:tcPr>
                <w:p w14:paraId="23B362B2">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东</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302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m</w:t>
                  </w:r>
                </w:p>
              </w:tc>
              <w:tc>
                <w:tcPr>
                  <w:tcW w:w="772" w:type="pct"/>
                  <w:vAlign w:val="center"/>
                </w:tcPr>
                <w:p w14:paraId="5C8E1E5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政府机构</w:t>
                  </w:r>
                </w:p>
              </w:tc>
              <w:tc>
                <w:tcPr>
                  <w:tcW w:w="1197" w:type="pct"/>
                  <w:vMerge w:val="continue"/>
                </w:tcPr>
                <w:p w14:paraId="7C2125A4">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54F4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9" w:type="pct"/>
                  <w:vMerge w:val="restart"/>
                  <w:vAlign w:val="center"/>
                </w:tcPr>
                <w:p w14:paraId="1B9A7221">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color w:val="000000" w:themeColor="text1"/>
                      <w:spacing w:val="0"/>
                      <w:sz w:val="21"/>
                      <w:szCs w:val="21"/>
                      <w14:textFill>
                        <w14:solidFill>
                          <w14:schemeClr w14:val="tx1"/>
                        </w14:solidFill>
                      </w14:textFill>
                    </w:rPr>
                    <w:t>声环境</w:t>
                  </w:r>
                </w:p>
              </w:tc>
              <w:tc>
                <w:tcPr>
                  <w:tcW w:w="575" w:type="pct"/>
                  <w:vAlign w:val="center"/>
                </w:tcPr>
                <w:p w14:paraId="63F145EE">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村居民点4</w:t>
                  </w:r>
                </w:p>
              </w:tc>
              <w:tc>
                <w:tcPr>
                  <w:tcW w:w="1392" w:type="pct"/>
                  <w:vAlign w:val="center"/>
                </w:tcPr>
                <w:p w14:paraId="082E156E">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113°36′2.9″E, 26°33′57.0″N</w:t>
                  </w:r>
                </w:p>
                <w:p w14:paraId="37EC09BE">
                  <w:pPr>
                    <w:adjustRightInd w:val="0"/>
                    <w:snapToGrid w:val="0"/>
                    <w:jc w:val="center"/>
                    <w:rPr>
                      <w:rFonts w:hint="default" w:ascii="Times New Roman" w:hAnsi="Times New Roman" w:eastAsia="宋体" w:cs="Times New Roman"/>
                    </w:rPr>
                  </w:pPr>
                </w:p>
              </w:tc>
              <w:tc>
                <w:tcPr>
                  <w:tcW w:w="652" w:type="pct"/>
                  <w:vAlign w:val="center"/>
                </w:tcPr>
                <w:p w14:paraId="10D1E59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北，2.5m</w:t>
                  </w:r>
                </w:p>
              </w:tc>
              <w:tc>
                <w:tcPr>
                  <w:tcW w:w="772" w:type="pct"/>
                  <w:vAlign w:val="center"/>
                </w:tcPr>
                <w:p w14:paraId="3DE07948">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125</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140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restart"/>
                </w:tcPr>
                <w:p w14:paraId="2DE76B7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r>
                    <w:rPr>
                      <w:rFonts w:hint="default" w:ascii="Times New Roman" w:hAnsi="Times New Roman" w:eastAsia="宋体" w:cs="Times New Roman"/>
                      <w:kern w:val="2"/>
                      <w:sz w:val="21"/>
                      <w:szCs w:val="24"/>
                      <w:lang w:val="en-GB" w:eastAsia="zh-CN" w:bidi="ar-SA"/>
                    </w:rPr>
                    <w:t>《声环境质量标准》</w:t>
                  </w:r>
                  <w:r>
                    <w:rPr>
                      <w:rFonts w:hint="default" w:ascii="Times New Roman" w:hAnsi="Times New Roman" w:eastAsia="宋体" w:cs="Times New Roman"/>
                      <w:kern w:val="2"/>
                      <w:sz w:val="21"/>
                      <w:szCs w:val="24"/>
                      <w:lang w:val="en-US" w:eastAsia="zh-CN" w:bidi="ar-SA"/>
                    </w:rPr>
                    <w:t>(GB3096-2008)2类标准</w:t>
                  </w:r>
                </w:p>
              </w:tc>
            </w:tr>
            <w:tr w14:paraId="254B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409" w:type="pct"/>
                  <w:vMerge w:val="continue"/>
                  <w:vAlign w:val="center"/>
                </w:tcPr>
                <w:p w14:paraId="5DB295C8">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6449BC17">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村居民点1</w:t>
                  </w:r>
                </w:p>
              </w:tc>
              <w:tc>
                <w:tcPr>
                  <w:tcW w:w="1392" w:type="pct"/>
                  <w:vAlign w:val="center"/>
                </w:tcPr>
                <w:p w14:paraId="291E6817">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113°36′1.95″E, 26°33′46.26″N</w:t>
                  </w:r>
                </w:p>
                <w:p w14:paraId="7F90ADCD">
                  <w:pPr>
                    <w:adjustRightInd w:val="0"/>
                    <w:snapToGrid w:val="0"/>
                    <w:jc w:val="center"/>
                    <w:rPr>
                      <w:rFonts w:hint="default" w:ascii="Times New Roman" w:hAnsi="Times New Roman" w:eastAsia="宋体" w:cs="Times New Roman"/>
                    </w:rPr>
                  </w:pPr>
                </w:p>
              </w:tc>
              <w:tc>
                <w:tcPr>
                  <w:tcW w:w="652" w:type="pct"/>
                  <w:vAlign w:val="center"/>
                </w:tcPr>
                <w:p w14:paraId="38947885">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西，15m</w:t>
                  </w:r>
                </w:p>
              </w:tc>
              <w:tc>
                <w:tcPr>
                  <w:tcW w:w="772" w:type="pct"/>
                  <w:vAlign w:val="center"/>
                </w:tcPr>
                <w:p w14:paraId="0543A0B0">
                  <w:pPr>
                    <w:adjustRightInd w:val="0"/>
                    <w:snapToGrid w:val="0"/>
                    <w:jc w:val="cente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p>
                <w:p w14:paraId="5ED0FC43">
                  <w:pPr>
                    <w:adjustRightInd w:val="0"/>
                    <w:snapToGrid w:val="0"/>
                    <w:jc w:val="cente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300—350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continue"/>
                </w:tcPr>
                <w:p w14:paraId="65B64841">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r w14:paraId="3D9C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409" w:type="pct"/>
                  <w:vMerge w:val="continue"/>
                  <w:vAlign w:val="center"/>
                </w:tcPr>
                <w:p w14:paraId="6E226BFC">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c>
                <w:tcPr>
                  <w:tcW w:w="575" w:type="pct"/>
                  <w:vAlign w:val="center"/>
                </w:tcPr>
                <w:p w14:paraId="2017BF4F">
                  <w:pPr>
                    <w:adjustRightInd w:val="0"/>
                    <w:snapToGrid w:val="0"/>
                    <w:jc w:val="center"/>
                    <w:rPr>
                      <w:rFonts w:hint="eastAsia"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由义</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村居民点5</w:t>
                  </w:r>
                </w:p>
              </w:tc>
              <w:tc>
                <w:tcPr>
                  <w:tcW w:w="1392" w:type="pct"/>
                  <w:vAlign w:val="center"/>
                </w:tcPr>
                <w:p w14:paraId="3B552BB1">
                  <w:pPr>
                    <w:adjustRightInd w:val="0"/>
                    <w:snapToGrid w:val="0"/>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113°36′5.92″E, 26°33′47.06″N</w:t>
                  </w:r>
                </w:p>
                <w:p w14:paraId="53EDA529">
                  <w:pPr>
                    <w:adjustRightInd w:val="0"/>
                    <w:snapToGrid w:val="0"/>
                    <w:jc w:val="center"/>
                    <w:rPr>
                      <w:rFonts w:hint="default" w:ascii="Times New Roman" w:hAnsi="Times New Roman" w:eastAsia="宋体" w:cs="Times New Roman"/>
                      <w:kern w:val="2"/>
                      <w:sz w:val="21"/>
                      <w:szCs w:val="24"/>
                      <w:lang w:val="en-US" w:eastAsia="zh-CN" w:bidi="ar-SA"/>
                    </w:rPr>
                  </w:pPr>
                </w:p>
              </w:tc>
              <w:tc>
                <w:tcPr>
                  <w:tcW w:w="652" w:type="pct"/>
                  <w:vAlign w:val="center"/>
                </w:tcPr>
                <w:p w14:paraId="7DFC5AA1">
                  <w:pPr>
                    <w:adjustRightInd w:val="0"/>
                    <w:snapToGrid w:val="0"/>
                    <w:jc w:val="center"/>
                    <w:rPr>
                      <w:rFonts w:hint="eastAsia"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南，</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5m</w:t>
                  </w:r>
                </w:p>
              </w:tc>
              <w:tc>
                <w:tcPr>
                  <w:tcW w:w="772" w:type="pct"/>
                  <w:vAlign w:val="center"/>
                </w:tcPr>
                <w:p w14:paraId="333E106F">
                  <w:pPr>
                    <w:adjustRightInd w:val="0"/>
                    <w:snapToGrid w:val="0"/>
                    <w:jc w:val="center"/>
                    <w:rPr>
                      <w:rFonts w:hint="eastAsia" w:ascii="Times New Roman" w:hAnsi="Times New Roman" w:eastAsia="宋体" w:cs="Times New Roman"/>
                      <w:color w:val="000000" w:themeColor="text1"/>
                      <w:spacing w:val="0"/>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50—</w:t>
                  </w:r>
                  <w:r>
                    <w:rPr>
                      <w:rFonts w:hint="eastAsia" w:ascii="Times New Roman" w:hAnsi="Times New Roman" w:eastAsia="宋体" w:cs="Times New Roman"/>
                      <w:color w:val="000000" w:themeColor="text1"/>
                      <w:spacing w:val="0"/>
                      <w:kern w:val="0"/>
                      <w:sz w:val="21"/>
                      <w:szCs w:val="21"/>
                      <w:lang w:val="en-US" w:eastAsia="zh-CN"/>
                      <w14:textFill>
                        <w14:solidFill>
                          <w14:schemeClr w14:val="tx1"/>
                        </w14:solidFill>
                      </w14:textFill>
                    </w:rPr>
                    <w:t>270</w:t>
                  </w:r>
                  <w:r>
                    <w:rPr>
                      <w:rFonts w:hint="default" w:ascii="Times New Roman" w:hAnsi="Times New Roman" w:eastAsia="宋体" w:cs="Times New Roman"/>
                      <w:color w:val="000000" w:themeColor="text1"/>
                      <w:spacing w:val="0"/>
                      <w:kern w:val="0"/>
                      <w:sz w:val="21"/>
                      <w:szCs w:val="21"/>
                      <w:lang w:val="en-US" w:eastAsia="zh-CN"/>
                      <w14:textFill>
                        <w14:solidFill>
                          <w14:schemeClr w14:val="tx1"/>
                        </w14:solidFill>
                      </w14:textFill>
                    </w:rPr>
                    <w:t>人</w:t>
                  </w:r>
                </w:p>
              </w:tc>
              <w:tc>
                <w:tcPr>
                  <w:tcW w:w="1197" w:type="pct"/>
                  <w:vMerge w:val="continue"/>
                </w:tcPr>
                <w:p w14:paraId="741989DD">
                  <w:pPr>
                    <w:adjustRightInd w:val="0"/>
                    <w:snapToGrid w:val="0"/>
                    <w:jc w:val="center"/>
                    <w:rPr>
                      <w:rFonts w:hint="default" w:ascii="Times New Roman" w:hAnsi="Times New Roman" w:eastAsia="宋体" w:cs="Times New Roman"/>
                      <w:color w:val="000000" w:themeColor="text1"/>
                      <w:spacing w:val="0"/>
                      <w:kern w:val="0"/>
                      <w:sz w:val="21"/>
                      <w:szCs w:val="21"/>
                      <w14:textFill>
                        <w14:solidFill>
                          <w14:schemeClr w14:val="tx1"/>
                        </w14:solidFill>
                      </w14:textFill>
                    </w:rPr>
                  </w:pPr>
                </w:p>
              </w:tc>
            </w:tr>
          </w:tbl>
          <w:p w14:paraId="5274B5FB">
            <w:pPr>
              <w:pStyle w:val="6"/>
            </w:pPr>
          </w:p>
        </w:tc>
      </w:tr>
      <w:tr w14:paraId="5FD46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Mar>
              <w:left w:w="28" w:type="dxa"/>
              <w:right w:w="28" w:type="dxa"/>
            </w:tcMar>
            <w:vAlign w:val="center"/>
          </w:tcPr>
          <w:p w14:paraId="444D1FA2">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污染</w:t>
            </w:r>
          </w:p>
          <w:p w14:paraId="6AA028CD">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物排</w:t>
            </w:r>
          </w:p>
          <w:p w14:paraId="23990DD5">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放控</w:t>
            </w:r>
          </w:p>
          <w:p w14:paraId="562E2053">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制标</w:t>
            </w:r>
          </w:p>
          <w:p w14:paraId="725EA149">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准</w:t>
            </w:r>
          </w:p>
        </w:tc>
        <w:tc>
          <w:tcPr>
            <w:tcW w:w="8771" w:type="dxa"/>
            <w:vAlign w:val="top"/>
          </w:tcPr>
          <w:p w14:paraId="1963DEB4">
            <w:pPr>
              <w:adjustRightInd w:val="0"/>
              <w:snapToGrid w:val="0"/>
              <w:jc w:val="center"/>
              <w:rPr>
                <w:rFonts w:hint="default" w:ascii="Times New Roman" w:hAnsi="Times New Roman" w:eastAsia="宋体" w:cs="Times New Roman"/>
                <w:b/>
                <w:color w:val="000000" w:themeColor="text1"/>
                <w:spacing w:val="0"/>
                <w:sz w:val="24"/>
                <w:szCs w:val="24"/>
                <w14:textFill>
                  <w14:solidFill>
                    <w14:schemeClr w14:val="tx1"/>
                  </w14:solidFill>
                </w14:textFill>
              </w:rPr>
            </w:pPr>
            <w:r>
              <w:rPr>
                <w:rFonts w:hint="default" w:ascii="Times New Roman" w:hAnsi="Times New Roman" w:eastAsia="宋体" w:cs="Times New Roman"/>
                <w:b/>
                <w:color w:val="000000" w:themeColor="text1"/>
                <w:spacing w:val="0"/>
                <w:sz w:val="21"/>
                <w:szCs w:val="21"/>
                <w14:textFill>
                  <w14:solidFill>
                    <w14:schemeClr w14:val="tx1"/>
                  </w14:solidFill>
                </w14:textFill>
              </w:rPr>
              <w:t>表</w:t>
            </w:r>
            <w:r>
              <w:rPr>
                <w:rFonts w:hint="default" w:ascii="Times New Roman" w:hAnsi="Times New Roman" w:eastAsia="宋体" w:cs="Times New Roman"/>
                <w:b/>
                <w:bCs/>
                <w:color w:val="000000" w:themeColor="text1"/>
                <w:spacing w:val="0"/>
                <w:sz w:val="21"/>
                <w:szCs w:val="21"/>
                <w14:textFill>
                  <w14:solidFill>
                    <w14:schemeClr w14:val="tx1"/>
                  </w14:solidFill>
                </w14:textFill>
              </w:rPr>
              <w:t>3-</w:t>
            </w:r>
            <w:r>
              <w:rPr>
                <w:rFonts w:hint="eastAsia" w:cs="Times New Roman"/>
                <w:b/>
                <w:bCs/>
                <w:color w:val="000000" w:themeColor="text1"/>
                <w:spacing w:val="0"/>
                <w:sz w:val="2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spacing w:val="0"/>
                <w:sz w:val="21"/>
                <w:szCs w:val="21"/>
                <w:lang w:val="en-US" w:eastAsia="zh-CN"/>
                <w14:textFill>
                  <w14:solidFill>
                    <w14:schemeClr w14:val="tx1"/>
                  </w14:solidFill>
                </w14:textFill>
              </w:rPr>
              <w:t xml:space="preserve"> </w:t>
            </w:r>
            <w:r>
              <w:rPr>
                <w:rFonts w:hint="eastAsia" w:ascii="Times New Roman" w:hAnsi="Times New Roman" w:cs="Times New Roman"/>
                <w:b/>
                <w:bCs/>
                <w:color w:val="000000" w:themeColor="text1"/>
                <w:spacing w:val="0"/>
                <w:sz w:val="21"/>
                <w:szCs w:val="21"/>
                <w:lang w:val="en-US" w:eastAsia="zh-CN"/>
                <w14:textFill>
                  <w14:solidFill>
                    <w14:schemeClr w14:val="tx1"/>
                  </w14:solidFill>
                </w14:textFill>
              </w:rPr>
              <w:t>建设项目水</w:t>
            </w:r>
            <w:r>
              <w:rPr>
                <w:rFonts w:hint="default" w:ascii="Times New Roman" w:hAnsi="Times New Roman" w:eastAsia="宋体" w:cs="Times New Roman"/>
                <w:b/>
                <w:color w:val="000000" w:themeColor="text1"/>
                <w:spacing w:val="0"/>
                <w:sz w:val="21"/>
                <w:szCs w:val="21"/>
                <w14:textFill>
                  <w14:solidFill>
                    <w14:schemeClr w14:val="tx1"/>
                  </w14:solidFill>
                </w14:textFill>
              </w:rPr>
              <w:t>环境保护目标一览表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340"/>
              <w:gridCol w:w="2337"/>
              <w:gridCol w:w="1589"/>
              <w:gridCol w:w="1341"/>
            </w:tblGrid>
            <w:tr w14:paraId="43FF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DEBF42">
                  <w:pPr>
                    <w:adjustRightInd w:val="0"/>
                    <w:snapToGrid w:val="0"/>
                    <w:jc w:val="center"/>
                    <w:rPr>
                      <w:rFonts w:hint="default" w:ascii="Times New Roman" w:hAnsi="Times New Roman" w:eastAsia="宋体" w:cs="Times New Roman"/>
                      <w:color w:val="000000" w:themeColor="text1"/>
                      <w:spacing w:val="0"/>
                      <w:kern w:val="0"/>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kern w:val="0"/>
                      <w:sz w:val="24"/>
                      <w:szCs w:val="24"/>
                      <w:vertAlign w:val="baseline"/>
                      <w:lang w:val="en-US" w:eastAsia="zh-CN"/>
                      <w14:textFill>
                        <w14:solidFill>
                          <w14:schemeClr w14:val="tx1"/>
                        </w14:solidFill>
                      </w14:textFill>
                    </w:rPr>
                    <w:t>类别</w:t>
                  </w:r>
                </w:p>
              </w:tc>
              <w:tc>
                <w:tcPr>
                  <w:tcW w:w="0" w:type="auto"/>
                  <w:vAlign w:val="center"/>
                </w:tcPr>
                <w:p w14:paraId="5DED1CC3">
                  <w:pPr>
                    <w:adjustRightInd w:val="0"/>
                    <w:snapToGrid w:val="0"/>
                    <w:jc w:val="center"/>
                    <w:rPr>
                      <w:rFonts w:hint="default" w:ascii="Times New Roman" w:hAnsi="Times New Roman" w:eastAsia="宋体" w:cs="Times New Roman"/>
                      <w:color w:val="000000" w:themeColor="text1"/>
                      <w:spacing w:val="0"/>
                      <w:kern w:val="0"/>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kern w:val="0"/>
                      <w:sz w:val="24"/>
                      <w:szCs w:val="24"/>
                      <w:vertAlign w:val="baseline"/>
                      <w:lang w:val="en-US" w:eastAsia="zh-CN"/>
                      <w14:textFill>
                        <w14:solidFill>
                          <w14:schemeClr w14:val="tx1"/>
                        </w14:solidFill>
                      </w14:textFill>
                    </w:rPr>
                    <w:t>保护对象</w:t>
                  </w:r>
                </w:p>
              </w:tc>
              <w:tc>
                <w:tcPr>
                  <w:tcW w:w="0" w:type="auto"/>
                  <w:vAlign w:val="center"/>
                </w:tcPr>
                <w:p w14:paraId="74F00F50">
                  <w:pPr>
                    <w:adjustRightInd w:val="0"/>
                    <w:snapToGrid w:val="0"/>
                    <w:jc w:val="center"/>
                    <w:rPr>
                      <w:rFonts w:hint="default" w:ascii="Times New Roman" w:hAnsi="Times New Roman" w:eastAsia="宋体" w:cs="Times New Roman"/>
                      <w:color w:val="000000" w:themeColor="text1"/>
                      <w:spacing w:val="0"/>
                      <w:kern w:val="0"/>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kern w:val="0"/>
                      <w:sz w:val="24"/>
                      <w:szCs w:val="24"/>
                      <w:vertAlign w:val="baseline"/>
                      <w:lang w:val="en-US" w:eastAsia="zh-CN"/>
                      <w14:textFill>
                        <w14:solidFill>
                          <w14:schemeClr w14:val="tx1"/>
                        </w14:solidFill>
                      </w14:textFill>
                    </w:rPr>
                    <w:t>与厂界的方位距离</w:t>
                  </w:r>
                </w:p>
              </w:tc>
              <w:tc>
                <w:tcPr>
                  <w:tcW w:w="0" w:type="auto"/>
                  <w:vAlign w:val="center"/>
                </w:tcPr>
                <w:p w14:paraId="0AE02CB7">
                  <w:pPr>
                    <w:adjustRightInd w:val="0"/>
                    <w:snapToGrid w:val="0"/>
                    <w:jc w:val="center"/>
                    <w:rPr>
                      <w:rFonts w:hint="default" w:ascii="Times New Roman" w:hAnsi="Times New Roman" w:eastAsia="宋体" w:cs="Times New Roman"/>
                      <w:color w:val="000000" w:themeColor="text1"/>
                      <w:spacing w:val="0"/>
                      <w:kern w:val="0"/>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kern w:val="0"/>
                      <w:sz w:val="24"/>
                      <w:szCs w:val="24"/>
                      <w:vertAlign w:val="baseline"/>
                      <w:lang w:val="en-US" w:eastAsia="zh-CN"/>
                      <w14:textFill>
                        <w14:solidFill>
                          <w14:schemeClr w14:val="tx1"/>
                        </w14:solidFill>
                      </w14:textFill>
                    </w:rPr>
                    <w:t>规模或用途</w:t>
                  </w:r>
                </w:p>
              </w:tc>
              <w:tc>
                <w:tcPr>
                  <w:tcW w:w="0" w:type="auto"/>
                  <w:vAlign w:val="center"/>
                </w:tcPr>
                <w:p w14:paraId="49CDE16D">
                  <w:pPr>
                    <w:adjustRightInd w:val="0"/>
                    <w:snapToGrid w:val="0"/>
                    <w:jc w:val="center"/>
                    <w:rPr>
                      <w:rFonts w:hint="default" w:ascii="Times New Roman" w:hAnsi="Times New Roman" w:eastAsia="宋体" w:cs="Times New Roman"/>
                      <w:color w:val="000000" w:themeColor="text1"/>
                      <w:spacing w:val="0"/>
                      <w:kern w:val="0"/>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kern w:val="0"/>
                      <w:sz w:val="24"/>
                      <w:szCs w:val="24"/>
                      <w:vertAlign w:val="baseline"/>
                      <w:lang w:val="en-US" w:eastAsia="zh-CN"/>
                      <w14:textFill>
                        <w14:solidFill>
                          <w14:schemeClr w14:val="tx1"/>
                        </w14:solidFill>
                      </w14:textFill>
                    </w:rPr>
                    <w:t>保护级别</w:t>
                  </w:r>
                </w:p>
              </w:tc>
            </w:tr>
            <w:tr w14:paraId="4EDA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4E8115">
                  <w:pPr>
                    <w:adjustRightInd w:val="0"/>
                    <w:snapToGrid w:val="0"/>
                    <w:jc w:val="center"/>
                    <w:rPr>
                      <w:rFonts w:hint="default" w:ascii="Times New Roman" w:hAnsi="Times New Roman" w:eastAsia="宋体" w:cs="Times New Roman"/>
                      <w:color w:val="000000" w:themeColor="text1"/>
                      <w:spacing w:val="0"/>
                      <w:kern w:val="0"/>
                      <w:sz w:val="24"/>
                      <w:szCs w:val="24"/>
                      <w:vertAlign w:val="baseline"/>
                      <w:lang w:val="en-US" w:eastAsia="zh-CN"/>
                      <w14:textFill>
                        <w14:solidFill>
                          <w14:schemeClr w14:val="tx1"/>
                        </w14:solidFill>
                      </w14:textFill>
                    </w:rPr>
                  </w:pPr>
                  <w:r>
                    <w:rPr>
                      <w:rFonts w:hint="eastAsia" w:ascii="Times New Roman" w:hAnsi="Times New Roman" w:cs="Times New Roman"/>
                      <w:color w:val="000000" w:themeColor="text1"/>
                      <w:spacing w:val="0"/>
                      <w:kern w:val="0"/>
                      <w:sz w:val="24"/>
                      <w:szCs w:val="24"/>
                      <w:vertAlign w:val="baseline"/>
                      <w:lang w:val="en-US" w:eastAsia="zh-CN"/>
                      <w14:textFill>
                        <w14:solidFill>
                          <w14:schemeClr w14:val="tx1"/>
                        </w14:solidFill>
                      </w14:textFill>
                    </w:rPr>
                    <w:t>地下水环境</w:t>
                  </w:r>
                </w:p>
              </w:tc>
              <w:tc>
                <w:tcPr>
                  <w:tcW w:w="0" w:type="auto"/>
                  <w:gridSpan w:val="4"/>
                  <w:vAlign w:val="center"/>
                </w:tcPr>
                <w:p w14:paraId="21611E58">
                  <w:pPr>
                    <w:keepNext w:val="0"/>
                    <w:keepLines w:val="0"/>
                    <w:widowControl/>
                    <w:suppressLineNumbers w:val="0"/>
                    <w:jc w:val="center"/>
                    <w:rPr>
                      <w:rFonts w:hint="default" w:ascii="Times New Roman" w:hAnsi="Times New Roman" w:eastAsia="宋体" w:cs="Times New Roman"/>
                      <w:color w:val="000000" w:themeColor="text1"/>
                      <w:spacing w:val="0"/>
                      <w:kern w:val="0"/>
                      <w:sz w:val="24"/>
                      <w:szCs w:val="24"/>
                      <w:vertAlign w:val="baseline"/>
                      <w:lang w:val="en-US" w:eastAsia="zh-CN"/>
                      <w14:textFill>
                        <w14:solidFill>
                          <w14:schemeClr w14:val="tx1"/>
                        </w14:solidFill>
                      </w14:textFill>
                    </w:rPr>
                  </w:pPr>
                  <w:r>
                    <w:rPr>
                      <w:rFonts w:hint="eastAsia" w:ascii="宋体" w:hAnsi="宋体" w:eastAsia="宋体" w:cs="宋体"/>
                      <w:color w:val="000000"/>
                      <w:kern w:val="0"/>
                      <w:sz w:val="22"/>
                      <w:szCs w:val="22"/>
                      <w:lang w:val="en-US" w:eastAsia="zh-CN" w:bidi="ar"/>
                    </w:rPr>
                    <w:t>项目厂界</w:t>
                  </w:r>
                  <w:r>
                    <w:rPr>
                      <w:rFonts w:hint="default" w:ascii="Times New Roman" w:hAnsi="Times New Roman" w:eastAsia="宋体" w:cs="Times New Roman"/>
                      <w:color w:val="000000"/>
                      <w:kern w:val="0"/>
                      <w:sz w:val="22"/>
                      <w:szCs w:val="22"/>
                      <w:lang w:val="en-US" w:eastAsia="zh-CN" w:bidi="ar"/>
                    </w:rPr>
                    <w:t>500m</w:t>
                  </w:r>
                  <w:r>
                    <w:rPr>
                      <w:rFonts w:hint="eastAsia" w:ascii="宋体" w:hAnsi="宋体" w:eastAsia="宋体" w:cs="宋体"/>
                      <w:color w:val="000000"/>
                      <w:kern w:val="0"/>
                      <w:sz w:val="22"/>
                      <w:szCs w:val="22"/>
                      <w:lang w:val="en-US" w:eastAsia="zh-CN" w:bidi="ar"/>
                    </w:rPr>
                    <w:t>范围内无地下水集中式饮用水水源、矿泉水、温泉等特殊地下水资源</w:t>
                  </w:r>
                </w:p>
              </w:tc>
            </w:tr>
          </w:tbl>
          <w:p w14:paraId="7F0E20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sz w:val="24"/>
                <w:szCs w:val="24"/>
                <w:highlight w:val="none"/>
              </w:rPr>
            </w:pPr>
          </w:p>
          <w:p w14:paraId="71045E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ascii="Times New Roman" w:hAnsi="Times New Roman" w:eastAsia="宋体"/>
                <w:sz w:val="24"/>
                <w:szCs w:val="24"/>
                <w:highlight w:val="none"/>
              </w:rPr>
              <w:t>废水：</w:t>
            </w:r>
            <w:r>
              <w:rPr>
                <w:rFonts w:hint="eastAsia"/>
                <w:sz w:val="24"/>
                <w:szCs w:val="24"/>
                <w:highlight w:val="none"/>
                <w:lang w:val="en-US" w:eastAsia="zh-CN"/>
              </w:rPr>
              <w:t>本项目</w:t>
            </w:r>
            <w:r>
              <w:rPr>
                <w:rFonts w:hint="eastAsia" w:ascii="Times New Roman" w:hAnsi="Times New Roman" w:eastAsia="宋体" w:cs="Times New Roman"/>
                <w:color w:val="auto"/>
                <w:sz w:val="24"/>
                <w:szCs w:val="24"/>
                <w:highlight w:val="none"/>
                <w:vertAlign w:val="baseline"/>
                <w:lang w:val="en-US" w:eastAsia="zh-CN"/>
              </w:rPr>
              <w:t>经自建污水处理站处理后达标排入东侧的洣水，最终汇入洣水。</w:t>
            </w:r>
            <w:r>
              <w:rPr>
                <w:rFonts w:hint="eastAsia" w:cs="Times New Roman"/>
                <w:color w:val="auto"/>
                <w:sz w:val="24"/>
                <w:szCs w:val="24"/>
                <w:highlight w:val="none"/>
                <w:vertAlign w:val="baseline"/>
                <w:lang w:val="en-US" w:eastAsia="zh-CN"/>
              </w:rPr>
              <w:t>医疗</w:t>
            </w:r>
            <w:r>
              <w:rPr>
                <w:rFonts w:ascii="Times New Roman" w:hAnsi="Times New Roman" w:eastAsia="宋体"/>
                <w:sz w:val="24"/>
                <w:szCs w:val="24"/>
                <w:highlight w:val="none"/>
              </w:rPr>
              <w:t>废水执行《医疗机构水污染物排放标准》（GB18466-2005）中表2中</w:t>
            </w:r>
            <w:r>
              <w:rPr>
                <w:rFonts w:hint="eastAsia" w:ascii="Times New Roman" w:hAnsi="Times New Roman" w:eastAsia="宋体"/>
                <w:sz w:val="24"/>
                <w:szCs w:val="24"/>
                <w:highlight w:val="none"/>
                <w:lang w:eastAsia="zh-CN"/>
              </w:rPr>
              <w:t>排放</w:t>
            </w:r>
            <w:r>
              <w:rPr>
                <w:rFonts w:ascii="Times New Roman" w:hAnsi="Times New Roman" w:eastAsia="宋体"/>
                <w:sz w:val="24"/>
                <w:szCs w:val="24"/>
                <w:highlight w:val="none"/>
              </w:rPr>
              <w:t>标准。具体详见下表。</w:t>
            </w:r>
          </w:p>
          <w:p w14:paraId="2433DDC5">
            <w:pPr>
              <w:bidi w:val="0"/>
              <w:jc w:val="center"/>
              <w:rPr>
                <w:rFonts w:hint="eastAsia"/>
                <w:b/>
                <w:bCs/>
                <w:sz w:val="21"/>
                <w:lang w:eastAsia="zh-CN"/>
              </w:rPr>
            </w:pPr>
            <w:r>
              <w:rPr>
                <w:b/>
                <w:bCs/>
                <w:sz w:val="21"/>
              </w:rPr>
              <w:t>表 3-</w:t>
            </w:r>
            <w:r>
              <w:rPr>
                <w:rFonts w:hint="eastAsia"/>
                <w:b/>
                <w:bCs/>
                <w:sz w:val="21"/>
                <w:lang w:val="en-US" w:eastAsia="zh-CN"/>
              </w:rPr>
              <w:t>5</w:t>
            </w:r>
            <w:r>
              <w:rPr>
                <w:b/>
                <w:bCs/>
                <w:sz w:val="21"/>
              </w:rPr>
              <w:t>医疗机构水污染物排放标准</w:t>
            </w:r>
          </w:p>
          <w:tbl>
            <w:tblPr>
              <w:tblStyle w:val="17"/>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992"/>
              <w:gridCol w:w="2526"/>
            </w:tblGrid>
            <w:tr w14:paraId="04AB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04CE79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序号</w:t>
                  </w:r>
                </w:p>
              </w:tc>
              <w:tc>
                <w:tcPr>
                  <w:tcW w:w="3992" w:type="dxa"/>
                  <w:vAlign w:val="center"/>
                </w:tcPr>
                <w:p w14:paraId="55C3B0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控制项目</w:t>
                  </w:r>
                </w:p>
              </w:tc>
              <w:tc>
                <w:tcPr>
                  <w:tcW w:w="2526" w:type="dxa"/>
                  <w:vAlign w:val="center"/>
                </w:tcPr>
                <w:p w14:paraId="093337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排放标准</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mg/L</w:t>
                  </w:r>
                  <w:r>
                    <w:rPr>
                      <w:rFonts w:hint="eastAsia" w:ascii="Times New Roman" w:hAnsi="Times New Roman" w:eastAsia="宋体"/>
                      <w:sz w:val="21"/>
                      <w:szCs w:val="21"/>
                      <w:lang w:eastAsia="zh-CN"/>
                    </w:rPr>
                    <w:t>）</w:t>
                  </w:r>
                </w:p>
              </w:tc>
            </w:tr>
            <w:tr w14:paraId="38DD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3D5A0F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w:t>
                  </w:r>
                </w:p>
              </w:tc>
              <w:tc>
                <w:tcPr>
                  <w:tcW w:w="3992" w:type="dxa"/>
                  <w:vAlign w:val="center"/>
                </w:tcPr>
                <w:p w14:paraId="21DE2E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粪大肠菌群（MPN/L）</w:t>
                  </w:r>
                </w:p>
              </w:tc>
              <w:tc>
                <w:tcPr>
                  <w:tcW w:w="2526" w:type="dxa"/>
                  <w:vAlign w:val="center"/>
                </w:tcPr>
                <w:p w14:paraId="18F7F2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500</w:t>
                  </w:r>
                </w:p>
              </w:tc>
            </w:tr>
            <w:tr w14:paraId="25B1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536FF7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w:t>
                  </w:r>
                </w:p>
              </w:tc>
              <w:tc>
                <w:tcPr>
                  <w:tcW w:w="3992" w:type="dxa"/>
                  <w:vAlign w:val="center"/>
                </w:tcPr>
                <w:p w14:paraId="46E60C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pH</w:t>
                  </w:r>
                </w:p>
              </w:tc>
              <w:tc>
                <w:tcPr>
                  <w:tcW w:w="2526" w:type="dxa"/>
                  <w:vAlign w:val="center"/>
                </w:tcPr>
                <w:p w14:paraId="555697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6-9</w:t>
                  </w:r>
                </w:p>
              </w:tc>
            </w:tr>
            <w:tr w14:paraId="685F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2A21BD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w:t>
                  </w:r>
                </w:p>
              </w:tc>
              <w:tc>
                <w:tcPr>
                  <w:tcW w:w="3992" w:type="dxa"/>
                  <w:vAlign w:val="center"/>
                </w:tcPr>
                <w:p w14:paraId="66B63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2526" w:type="dxa"/>
                  <w:vAlign w:val="center"/>
                </w:tcPr>
                <w:p w14:paraId="406424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w:t>
                  </w:r>
                </w:p>
              </w:tc>
            </w:tr>
            <w:tr w14:paraId="2263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0501A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w:t>
                  </w:r>
                </w:p>
              </w:tc>
              <w:tc>
                <w:tcPr>
                  <w:tcW w:w="3992" w:type="dxa"/>
                  <w:vAlign w:val="center"/>
                </w:tcPr>
                <w:p w14:paraId="45C81C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w:t>
                  </w:r>
                </w:p>
              </w:tc>
              <w:tc>
                <w:tcPr>
                  <w:tcW w:w="2526" w:type="dxa"/>
                  <w:vAlign w:val="center"/>
                </w:tcPr>
                <w:p w14:paraId="0362AC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14:paraId="67E9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3EB372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c>
                <w:tcPr>
                  <w:tcW w:w="3992" w:type="dxa"/>
                  <w:vAlign w:val="center"/>
                </w:tcPr>
                <w:p w14:paraId="7F579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2526" w:type="dxa"/>
                  <w:vAlign w:val="center"/>
                </w:tcPr>
                <w:p w14:paraId="00EABF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14:paraId="097D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41C6AF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w:t>
                  </w:r>
                </w:p>
              </w:tc>
              <w:tc>
                <w:tcPr>
                  <w:tcW w:w="3992" w:type="dxa"/>
                  <w:vAlign w:val="center"/>
                </w:tcPr>
                <w:p w14:paraId="49ADAF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氨氮</w:t>
                  </w:r>
                </w:p>
              </w:tc>
              <w:tc>
                <w:tcPr>
                  <w:tcW w:w="2526" w:type="dxa"/>
                  <w:vAlign w:val="center"/>
                </w:tcPr>
                <w:p w14:paraId="391E97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15</w:t>
                  </w:r>
                </w:p>
              </w:tc>
            </w:tr>
            <w:tr w14:paraId="0646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7E520B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7</w:t>
                  </w:r>
                </w:p>
              </w:tc>
              <w:tc>
                <w:tcPr>
                  <w:tcW w:w="3992" w:type="dxa"/>
                  <w:vAlign w:val="center"/>
                </w:tcPr>
                <w:p w14:paraId="2E3474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动植物油</w:t>
                  </w:r>
                </w:p>
              </w:tc>
              <w:tc>
                <w:tcPr>
                  <w:tcW w:w="2526" w:type="dxa"/>
                  <w:vAlign w:val="center"/>
                </w:tcPr>
                <w:p w14:paraId="2C8C41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14:paraId="46B7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0A7A35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8</w:t>
                  </w:r>
                </w:p>
              </w:tc>
              <w:tc>
                <w:tcPr>
                  <w:tcW w:w="3992" w:type="dxa"/>
                  <w:vAlign w:val="center"/>
                </w:tcPr>
                <w:p w14:paraId="01C041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石油类</w:t>
                  </w:r>
                </w:p>
              </w:tc>
              <w:tc>
                <w:tcPr>
                  <w:tcW w:w="2526" w:type="dxa"/>
                  <w:vAlign w:val="center"/>
                </w:tcPr>
                <w:p w14:paraId="7ADE55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14:paraId="3A8E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160301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9</w:t>
                  </w:r>
                </w:p>
              </w:tc>
              <w:tc>
                <w:tcPr>
                  <w:tcW w:w="3992" w:type="dxa"/>
                  <w:vAlign w:val="center"/>
                </w:tcPr>
                <w:p w14:paraId="771301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阴离子表面活性剂</w:t>
                  </w:r>
                </w:p>
              </w:tc>
              <w:tc>
                <w:tcPr>
                  <w:tcW w:w="2526" w:type="dxa"/>
                  <w:vAlign w:val="center"/>
                </w:tcPr>
                <w:p w14:paraId="5C9493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14:paraId="6EAB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4EB2BD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10</w:t>
                  </w:r>
                </w:p>
              </w:tc>
              <w:tc>
                <w:tcPr>
                  <w:tcW w:w="3992" w:type="dxa"/>
                  <w:vAlign w:val="center"/>
                </w:tcPr>
                <w:p w14:paraId="28E82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色度</w:t>
                  </w:r>
                </w:p>
              </w:tc>
              <w:tc>
                <w:tcPr>
                  <w:tcW w:w="2526" w:type="dxa"/>
                  <w:vAlign w:val="center"/>
                </w:tcPr>
                <w:p w14:paraId="582B1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30</w:t>
                  </w:r>
                </w:p>
              </w:tc>
            </w:tr>
            <w:tr w14:paraId="5C4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3BA54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11</w:t>
                  </w:r>
                </w:p>
              </w:tc>
              <w:tc>
                <w:tcPr>
                  <w:tcW w:w="3992" w:type="dxa"/>
                  <w:vAlign w:val="center"/>
                </w:tcPr>
                <w:p w14:paraId="4045E5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挥发酚</w:t>
                  </w:r>
                </w:p>
              </w:tc>
              <w:tc>
                <w:tcPr>
                  <w:tcW w:w="2526" w:type="dxa"/>
                  <w:vAlign w:val="center"/>
                </w:tcPr>
                <w:p w14:paraId="517372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r w14:paraId="2D59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44C6A6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12</w:t>
                  </w:r>
                </w:p>
              </w:tc>
              <w:tc>
                <w:tcPr>
                  <w:tcW w:w="3992" w:type="dxa"/>
                  <w:vAlign w:val="center"/>
                </w:tcPr>
                <w:p w14:paraId="6BEBE2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总氰化物</w:t>
                  </w:r>
                </w:p>
              </w:tc>
              <w:tc>
                <w:tcPr>
                  <w:tcW w:w="2526" w:type="dxa"/>
                  <w:vAlign w:val="center"/>
                </w:tcPr>
                <w:p w14:paraId="0300F9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r w14:paraId="087E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14:paraId="6650D4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13</w:t>
                  </w:r>
                </w:p>
              </w:tc>
              <w:tc>
                <w:tcPr>
                  <w:tcW w:w="3992" w:type="dxa"/>
                  <w:vAlign w:val="center"/>
                </w:tcPr>
                <w:p w14:paraId="77AFE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总余</w:t>
                  </w:r>
                  <w:r>
                    <w:rPr>
                      <w:rFonts w:hint="eastAsia"/>
                      <w:sz w:val="21"/>
                      <w:szCs w:val="21"/>
                      <w:lang w:eastAsia="zh-CN"/>
                    </w:rPr>
                    <w:t>氧</w:t>
                  </w:r>
                </w:p>
              </w:tc>
              <w:tc>
                <w:tcPr>
                  <w:tcW w:w="2526" w:type="dxa"/>
                  <w:vAlign w:val="center"/>
                </w:tcPr>
                <w:p w14:paraId="0FC18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sz w:val="21"/>
                      <w:szCs w:val="21"/>
                      <w:lang w:val="en-US" w:eastAsia="zh-CN"/>
                    </w:rPr>
                    <w:t>1</w:t>
                  </w:r>
                </w:p>
              </w:tc>
            </w:tr>
          </w:tbl>
          <w:p w14:paraId="6545A9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sz w:val="24"/>
                <w:szCs w:val="24"/>
              </w:rPr>
            </w:pPr>
            <w:r>
              <w:rPr>
                <w:rFonts w:ascii="Times New Roman" w:hAnsi="Times New Roman" w:eastAsia="宋体"/>
                <w:sz w:val="24"/>
                <w:szCs w:val="24"/>
              </w:rPr>
              <w:t>2、废气：</w:t>
            </w:r>
            <w:r>
              <w:rPr>
                <w:rFonts w:hint="eastAsia" w:ascii="Times New Roman" w:hAnsi="Times New Roman" w:eastAsia="宋体"/>
                <w:sz w:val="24"/>
                <w:szCs w:val="24"/>
                <w:lang w:eastAsia="zh-CN"/>
              </w:rPr>
              <w:t>本项目</w:t>
            </w:r>
            <w:r>
              <w:rPr>
                <w:rFonts w:ascii="Times New Roman" w:hAnsi="Times New Roman" w:eastAsia="宋体"/>
                <w:sz w:val="24"/>
                <w:szCs w:val="24"/>
              </w:rPr>
              <w:t>食堂废气执行《饮食业油烟排放标准（试行）》（GB18483-2001），污水站周边废气执行《医疗机构水污染物排放标准》（GB18466-2005）表3中标准</w:t>
            </w:r>
            <w:r>
              <w:rPr>
                <w:rFonts w:hint="eastAsia"/>
                <w:sz w:val="24"/>
                <w:szCs w:val="24"/>
                <w:lang w:eastAsia="zh-CN"/>
              </w:rPr>
              <w:t>。</w:t>
            </w:r>
            <w:r>
              <w:rPr>
                <w:rFonts w:hint="eastAsia" w:ascii="宋体" w:hAnsi="宋体" w:eastAsia="宋体" w:cs="宋体"/>
                <w:color w:val="000000"/>
                <w:kern w:val="0"/>
                <w:sz w:val="24"/>
                <w:szCs w:val="24"/>
                <w:lang w:val="en-US" w:eastAsia="zh-CN" w:bidi="ar"/>
              </w:rPr>
              <w:t>备用柴油发电机尾气执行《大气污染物综合排放标准》</w:t>
            </w:r>
            <w:r>
              <w:rPr>
                <w:rFonts w:hint="eastAsia" w:ascii="宋体" w:hAnsi="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GB16297-1996</w:t>
            </w:r>
            <w:r>
              <w:rPr>
                <w:rFonts w:hint="eastAsia"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表</w:t>
            </w:r>
            <w:r>
              <w:rPr>
                <w:rFonts w:hint="default" w:ascii="Times New Roman" w:hAnsi="Times New Roman" w:eastAsia="宋体" w:cs="Times New Roman"/>
                <w:color w:val="000000"/>
                <w:kern w:val="0"/>
                <w:sz w:val="24"/>
                <w:szCs w:val="24"/>
                <w:lang w:val="en-US" w:eastAsia="zh-CN" w:bidi="ar"/>
              </w:rPr>
              <w:t>2</w:t>
            </w:r>
            <w:r>
              <w:rPr>
                <w:rFonts w:hint="eastAsia" w:cs="Times New Roman"/>
                <w:color w:val="000000"/>
                <w:kern w:val="0"/>
                <w:sz w:val="24"/>
                <w:szCs w:val="24"/>
                <w:lang w:val="en-US" w:eastAsia="zh-CN" w:bidi="ar"/>
              </w:rPr>
              <w:t>无组织排放</w:t>
            </w:r>
            <w:r>
              <w:rPr>
                <w:rFonts w:hint="eastAsia" w:ascii="宋体" w:hAnsi="宋体" w:eastAsia="宋体" w:cs="宋体"/>
                <w:color w:val="000000"/>
                <w:kern w:val="0"/>
                <w:sz w:val="24"/>
                <w:szCs w:val="24"/>
                <w:lang w:val="en-US" w:eastAsia="zh-CN" w:bidi="ar"/>
              </w:rPr>
              <w:t>标准</w:t>
            </w:r>
            <w:r>
              <w:rPr>
                <w:rFonts w:ascii="Times New Roman" w:hAnsi="Times New Roman" w:eastAsia="宋体"/>
                <w:sz w:val="24"/>
                <w:szCs w:val="24"/>
              </w:rPr>
              <w:t>。具体标准列表如下：</w:t>
            </w:r>
          </w:p>
          <w:p w14:paraId="2557FE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sz w:val="24"/>
                <w:szCs w:val="24"/>
              </w:rPr>
            </w:pPr>
            <w:r>
              <w:rPr>
                <w:rFonts w:ascii="Times New Roman" w:hAnsi="Times New Roman" w:eastAsia="宋体"/>
                <w:sz w:val="24"/>
                <w:szCs w:val="24"/>
              </w:rPr>
              <w:t>具体标准列表如下：</w:t>
            </w:r>
          </w:p>
          <w:p w14:paraId="0C6DD9E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6</w:t>
            </w:r>
            <w:r>
              <w:rPr>
                <w:rFonts w:hint="eastAsia" w:ascii="Times New Roman" w:hAnsi="Times New Roman" w:eastAsia="宋体"/>
                <w:b/>
                <w:bCs/>
                <w:sz w:val="21"/>
                <w:szCs w:val="21"/>
                <w:lang w:val="en-US" w:eastAsia="zh-CN"/>
              </w:rPr>
              <w:t>污水处理站周边大气污染物排放最高允许浓度</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403"/>
              <w:gridCol w:w="1372"/>
              <w:gridCol w:w="1772"/>
              <w:gridCol w:w="2435"/>
            </w:tblGrid>
            <w:tr w14:paraId="5C42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1DB882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14:paraId="02C37E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14:paraId="763987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14:paraId="5C5646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14:paraId="089707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14:paraId="15FD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175A63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14:paraId="433B93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H</w:t>
                  </w:r>
                  <w:r>
                    <w:rPr>
                      <w:rFonts w:ascii="Times New Roman" w:hAnsi="Times New Roman" w:eastAsia="宋体"/>
                      <w:sz w:val="21"/>
                      <w:szCs w:val="21"/>
                      <w:vertAlign w:val="subscript"/>
                    </w:rPr>
                    <w:t>2</w:t>
                  </w:r>
                  <w:r>
                    <w:rPr>
                      <w:rFonts w:ascii="Times New Roman" w:hAnsi="Times New Roman" w:eastAsia="宋体"/>
                      <w:sz w:val="21"/>
                      <w:szCs w:val="21"/>
                    </w:rPr>
                    <w:t>S</w:t>
                  </w:r>
                </w:p>
              </w:tc>
              <w:tc>
                <w:tcPr>
                  <w:tcW w:w="1338" w:type="dxa"/>
                  <w:vAlign w:val="center"/>
                </w:tcPr>
                <w:p w14:paraId="58A3F7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14:paraId="531277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0.03</w:t>
                  </w:r>
                </w:p>
              </w:tc>
              <w:tc>
                <w:tcPr>
                  <w:tcW w:w="2375" w:type="dxa"/>
                  <w:vMerge w:val="restart"/>
                  <w:vAlign w:val="center"/>
                </w:tcPr>
                <w:p w14:paraId="1D5596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p w14:paraId="347D0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表3中标准</w:t>
                  </w:r>
                </w:p>
              </w:tc>
            </w:tr>
            <w:tr w14:paraId="3B5F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14495B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14:paraId="62FE7F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p>
              </w:tc>
              <w:tc>
                <w:tcPr>
                  <w:tcW w:w="1338" w:type="dxa"/>
                  <w:vAlign w:val="center"/>
                </w:tcPr>
                <w:p w14:paraId="1D074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14:paraId="2CF142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14:paraId="04026A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14:paraId="018F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14:paraId="1B4147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14:paraId="5E2915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臭气浓度</w:t>
                  </w:r>
                </w:p>
              </w:tc>
              <w:tc>
                <w:tcPr>
                  <w:tcW w:w="1338" w:type="dxa"/>
                  <w:vAlign w:val="center"/>
                </w:tcPr>
                <w:p w14:paraId="19049B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无量纲</w:t>
                  </w:r>
                </w:p>
              </w:tc>
              <w:tc>
                <w:tcPr>
                  <w:tcW w:w="1728" w:type="dxa"/>
                  <w:vAlign w:val="center"/>
                </w:tcPr>
                <w:p w14:paraId="7BA088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14:paraId="767170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14:paraId="31B843A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7</w:t>
            </w:r>
            <w:r>
              <w:rPr>
                <w:rFonts w:hint="eastAsia" w:ascii="Times New Roman" w:hAnsi="Times New Roman" w:eastAsia="宋体"/>
                <w:b/>
                <w:bCs/>
                <w:sz w:val="21"/>
                <w:szCs w:val="21"/>
                <w:lang w:val="en-US" w:eastAsia="zh-CN"/>
              </w:rPr>
              <w:t>《饮食业油烟排放》试行（GB18483-2001）</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0"/>
              <w:gridCol w:w="2590"/>
              <w:gridCol w:w="2591"/>
            </w:tblGrid>
            <w:tr w14:paraId="2F23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14:paraId="3D349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标准</w:t>
                  </w:r>
                </w:p>
              </w:tc>
              <w:tc>
                <w:tcPr>
                  <w:tcW w:w="2526" w:type="dxa"/>
                  <w:vAlign w:val="center"/>
                </w:tcPr>
                <w:p w14:paraId="378344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小型</w:t>
                  </w:r>
                </w:p>
              </w:tc>
              <w:tc>
                <w:tcPr>
                  <w:tcW w:w="2526" w:type="dxa"/>
                  <w:vAlign w:val="center"/>
                </w:tcPr>
                <w:p w14:paraId="0173FF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净化设施处理效率最低</w:t>
                  </w:r>
                </w:p>
              </w:tc>
            </w:tr>
            <w:tr w14:paraId="0C79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14:paraId="0C9FD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最高允许排放浓度</w:t>
                  </w:r>
                </w:p>
              </w:tc>
              <w:tc>
                <w:tcPr>
                  <w:tcW w:w="2526" w:type="dxa"/>
                  <w:vAlign w:val="center"/>
                </w:tcPr>
                <w:p w14:paraId="366F88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c>
                <w:tcPr>
                  <w:tcW w:w="2526" w:type="dxa"/>
                  <w:vAlign w:val="center"/>
                </w:tcPr>
                <w:p w14:paraId="6F582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bl>
          <w:p w14:paraId="3E76D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噪声：</w:t>
            </w:r>
            <w:r>
              <w:rPr>
                <w:rFonts w:hint="eastAsia" w:ascii="Times New Roman" w:hAnsi="Times New Roman" w:eastAsia="宋体"/>
                <w:sz w:val="24"/>
                <w:szCs w:val="24"/>
                <w:lang w:eastAsia="zh-CN"/>
              </w:rPr>
              <w:t>本项目执行《工业企业厂界环境噪声排放标准》（</w:t>
            </w:r>
            <w:r>
              <w:rPr>
                <w:rFonts w:hint="eastAsia" w:ascii="Times New Roman" w:hAnsi="Times New Roman" w:eastAsia="宋体"/>
                <w:sz w:val="24"/>
                <w:szCs w:val="24"/>
                <w:lang w:val="en-US" w:eastAsia="zh-CN"/>
              </w:rPr>
              <w:t>GB12348-2008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2类标准。</w:t>
            </w:r>
          </w:p>
          <w:p w14:paraId="701B680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w:t>
            </w:r>
            <w:r>
              <w:rPr>
                <w:rFonts w:hint="eastAsia"/>
                <w:b/>
                <w:bCs/>
                <w:sz w:val="21"/>
                <w:szCs w:val="21"/>
                <w:lang w:val="en-US" w:eastAsia="zh-CN"/>
              </w:rPr>
              <w:t xml:space="preserve">8 </w:t>
            </w:r>
            <w:r>
              <w:rPr>
                <w:rFonts w:ascii="Times New Roman" w:hAnsi="Times New Roman" w:eastAsia="宋体"/>
                <w:b/>
                <w:bCs/>
                <w:sz w:val="21"/>
                <w:szCs w:val="21"/>
              </w:rPr>
              <w:t>噪声排放标准（摘录）单位：dB（A）</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526"/>
              <w:gridCol w:w="1801"/>
              <w:gridCol w:w="1614"/>
            </w:tblGrid>
            <w:tr w14:paraId="05D4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14:paraId="768F1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标准名称及代号</w:t>
                  </w:r>
                </w:p>
              </w:tc>
              <w:tc>
                <w:tcPr>
                  <w:tcW w:w="1486" w:type="dxa"/>
                  <w:shd w:val="clear" w:color="auto" w:fill="auto"/>
                  <w:vAlign w:val="center"/>
                </w:tcPr>
                <w:p w14:paraId="3198AA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功能区</w:t>
                  </w:r>
                </w:p>
              </w:tc>
              <w:tc>
                <w:tcPr>
                  <w:tcW w:w="1754" w:type="dxa"/>
                  <w:shd w:val="clear" w:color="auto" w:fill="auto"/>
                  <w:vAlign w:val="center"/>
                </w:tcPr>
                <w:p w14:paraId="5CD54C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昼间</w:t>
                  </w:r>
                </w:p>
              </w:tc>
              <w:tc>
                <w:tcPr>
                  <w:tcW w:w="1572" w:type="dxa"/>
                  <w:shd w:val="clear" w:color="auto" w:fill="auto"/>
                  <w:vAlign w:val="center"/>
                </w:tcPr>
                <w:p w14:paraId="5BB761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夜间</w:t>
                  </w:r>
                </w:p>
              </w:tc>
            </w:tr>
            <w:tr w14:paraId="5664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14:paraId="49703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w:t>
                  </w:r>
                </w:p>
              </w:tc>
              <w:tc>
                <w:tcPr>
                  <w:tcW w:w="1486" w:type="dxa"/>
                  <w:shd w:val="clear" w:color="auto" w:fill="auto"/>
                  <w:vAlign w:val="center"/>
                </w:tcPr>
                <w:p w14:paraId="2EBC2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2</w:t>
                  </w:r>
                  <w:r>
                    <w:rPr>
                      <w:rFonts w:ascii="Times New Roman" w:hAnsi="Times New Roman" w:eastAsia="宋体"/>
                      <w:sz w:val="21"/>
                      <w:szCs w:val="21"/>
                    </w:rPr>
                    <w:t>类</w:t>
                  </w:r>
                </w:p>
              </w:tc>
              <w:tc>
                <w:tcPr>
                  <w:tcW w:w="1754" w:type="dxa"/>
                  <w:shd w:val="clear" w:color="auto" w:fill="auto"/>
                  <w:vAlign w:val="center"/>
                </w:tcPr>
                <w:p w14:paraId="0EA0C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1572" w:type="dxa"/>
                  <w:shd w:val="clear" w:color="auto" w:fill="auto"/>
                  <w:vAlign w:val="center"/>
                </w:tcPr>
                <w:p w14:paraId="1F4BEE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r>
          </w:tbl>
          <w:p w14:paraId="3CDC37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4、固体废物：</w:t>
            </w:r>
          </w:p>
          <w:p w14:paraId="7358B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一般工业固体废物执行《一般工业固体废物贮存和填埋污染控制标准》(</w:t>
            </w:r>
            <w:r>
              <w:rPr>
                <w:rFonts w:hint="default"/>
                <w:sz w:val="24"/>
                <w:szCs w:val="24"/>
                <w:lang w:val="en-US" w:eastAsia="zh-CN"/>
              </w:rPr>
              <w:t>GB18599-2020</w:t>
            </w:r>
            <w:r>
              <w:rPr>
                <w:rFonts w:hint="eastAsia"/>
                <w:sz w:val="24"/>
                <w:szCs w:val="24"/>
                <w:lang w:val="en-US" w:eastAsia="zh-CN"/>
              </w:rPr>
              <w:t>)，危险废物收集、暂时贮存、转运和处置执行《危险废物贮存污染控制标准》(</w:t>
            </w:r>
            <w:r>
              <w:rPr>
                <w:rFonts w:hint="default"/>
                <w:sz w:val="24"/>
                <w:szCs w:val="24"/>
                <w:lang w:val="en-US" w:eastAsia="zh-CN"/>
              </w:rPr>
              <w:t>GB18597-20</w:t>
            </w:r>
            <w:r>
              <w:rPr>
                <w:rFonts w:hint="eastAsia"/>
                <w:sz w:val="24"/>
                <w:szCs w:val="24"/>
                <w:lang w:val="en-US" w:eastAsia="zh-CN"/>
              </w:rPr>
              <w:t>23），污水处理污泥执行《医疗机构水污染物排放标准》(</w:t>
            </w:r>
            <w:r>
              <w:rPr>
                <w:rFonts w:hint="default"/>
                <w:sz w:val="24"/>
                <w:szCs w:val="24"/>
                <w:lang w:val="en-US" w:eastAsia="zh-CN"/>
              </w:rPr>
              <w:t>GB18466-2005</w:t>
            </w:r>
            <w:r>
              <w:rPr>
                <w:rFonts w:hint="eastAsia"/>
                <w:sz w:val="24"/>
                <w:szCs w:val="24"/>
                <w:lang w:val="en-US" w:eastAsia="zh-CN"/>
              </w:rPr>
              <w:t>）表</w:t>
            </w:r>
            <w:r>
              <w:rPr>
                <w:rFonts w:hint="default"/>
                <w:sz w:val="24"/>
                <w:szCs w:val="24"/>
                <w:lang w:val="en-US" w:eastAsia="zh-CN"/>
              </w:rPr>
              <w:t>4</w:t>
            </w:r>
            <w:r>
              <w:rPr>
                <w:rFonts w:hint="eastAsia"/>
                <w:sz w:val="24"/>
                <w:szCs w:val="24"/>
                <w:lang w:val="en-US" w:eastAsia="zh-CN"/>
              </w:rPr>
              <w:t>中医疗机构污泥控制标准。</w:t>
            </w:r>
          </w:p>
          <w:p w14:paraId="6427CC8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w:t>
            </w:r>
            <w:r>
              <w:rPr>
                <w:rFonts w:hint="eastAsia"/>
                <w:b/>
                <w:bCs/>
                <w:sz w:val="21"/>
                <w:szCs w:val="21"/>
                <w:lang w:val="en-US" w:eastAsia="zh-CN"/>
              </w:rPr>
              <w:t>9</w:t>
            </w:r>
            <w:r>
              <w:rPr>
                <w:rFonts w:ascii="Times New Roman" w:hAnsi="Times New Roman" w:eastAsia="宋体"/>
                <w:b/>
                <w:bCs/>
                <w:sz w:val="21"/>
                <w:szCs w:val="21"/>
              </w:rPr>
              <w:t xml:space="preserve"> 医疗机构污泥控制标准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573"/>
              <w:gridCol w:w="1206"/>
              <w:gridCol w:w="1065"/>
              <w:gridCol w:w="1295"/>
              <w:gridCol w:w="1295"/>
            </w:tblGrid>
            <w:tr w14:paraId="4548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59" w:type="pct"/>
                  <w:vAlign w:val="center"/>
                </w:tcPr>
                <w:p w14:paraId="10AB45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医疗机构类别</w:t>
                  </w:r>
                </w:p>
              </w:tc>
              <w:tc>
                <w:tcPr>
                  <w:tcW w:w="1012" w:type="pct"/>
                  <w:vAlign w:val="center"/>
                </w:tcPr>
                <w:p w14:paraId="1623A0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粪大肠菌群数</w:t>
                  </w:r>
                </w:p>
                <w:p w14:paraId="16E618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(MPN/g)</w:t>
                  </w:r>
                </w:p>
              </w:tc>
              <w:tc>
                <w:tcPr>
                  <w:tcW w:w="776" w:type="pct"/>
                  <w:vAlign w:val="center"/>
                </w:tcPr>
                <w:p w14:paraId="03BC2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肠道致</w:t>
                  </w:r>
                </w:p>
                <w:p w14:paraId="0AC980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病菌</w:t>
                  </w:r>
                </w:p>
              </w:tc>
              <w:tc>
                <w:tcPr>
                  <w:tcW w:w="685" w:type="pct"/>
                  <w:vAlign w:val="center"/>
                </w:tcPr>
                <w:p w14:paraId="31B41A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w:t>
                  </w:r>
                </w:p>
                <w:p w14:paraId="50EE9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病毒</w:t>
                  </w:r>
                </w:p>
              </w:tc>
              <w:tc>
                <w:tcPr>
                  <w:tcW w:w="833" w:type="pct"/>
                  <w:vAlign w:val="center"/>
                </w:tcPr>
                <w:p w14:paraId="24C17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结核</w:t>
                  </w:r>
                </w:p>
                <w:p w14:paraId="0B5066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杆菌</w:t>
                  </w:r>
                </w:p>
              </w:tc>
              <w:tc>
                <w:tcPr>
                  <w:tcW w:w="833" w:type="pct"/>
                  <w:vAlign w:val="center"/>
                </w:tcPr>
                <w:p w14:paraId="08D14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蛔虫卵死亡率</w:t>
                  </w:r>
                </w:p>
                <w:p w14:paraId="2C1028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r>
            <w:tr w14:paraId="700B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59" w:type="pct"/>
                  <w:vAlign w:val="center"/>
                </w:tcPr>
                <w:p w14:paraId="217F5D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综合医疗机构和其</w:t>
                  </w:r>
                  <w:r>
                    <w:rPr>
                      <w:rFonts w:hint="eastAsia"/>
                      <w:sz w:val="21"/>
                      <w:szCs w:val="21"/>
                      <w:lang w:eastAsia="zh-CN"/>
                    </w:rPr>
                    <w:t>他</w:t>
                  </w:r>
                  <w:r>
                    <w:rPr>
                      <w:rFonts w:ascii="Times New Roman" w:hAnsi="Times New Roman" w:eastAsia="宋体"/>
                      <w:sz w:val="21"/>
                      <w:szCs w:val="21"/>
                    </w:rPr>
                    <w:t>医疗机构</w:t>
                  </w:r>
                </w:p>
                <w:p w14:paraId="03C494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p w14:paraId="6ECDC807">
                  <w:pPr>
                    <w:pStyle w:val="6"/>
                  </w:pPr>
                </w:p>
              </w:tc>
              <w:tc>
                <w:tcPr>
                  <w:tcW w:w="1012" w:type="pct"/>
                  <w:vAlign w:val="center"/>
                </w:tcPr>
                <w:p w14:paraId="47F1B4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≤100</w:t>
                  </w:r>
                </w:p>
              </w:tc>
              <w:tc>
                <w:tcPr>
                  <w:tcW w:w="776" w:type="pct"/>
                  <w:vAlign w:val="center"/>
                </w:tcPr>
                <w:p w14:paraId="623B26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685" w:type="pct"/>
                  <w:vAlign w:val="center"/>
                </w:tcPr>
                <w:p w14:paraId="11C54A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833" w:type="pct"/>
                  <w:vAlign w:val="center"/>
                </w:tcPr>
                <w:p w14:paraId="2F1BCC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833" w:type="pct"/>
                  <w:vAlign w:val="center"/>
                </w:tcPr>
                <w:p w14:paraId="504D6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&gt;95</w:t>
                  </w:r>
                </w:p>
              </w:tc>
            </w:tr>
          </w:tbl>
          <w:p w14:paraId="05D0767E">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spacing w:val="-1"/>
                <w:lang w:eastAsia="zh-CN"/>
              </w:rPr>
            </w:pPr>
          </w:p>
        </w:tc>
      </w:tr>
      <w:tr w14:paraId="19E18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6A841D41">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总量</w:t>
            </w:r>
          </w:p>
          <w:p w14:paraId="67A71861">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控制</w:t>
            </w:r>
          </w:p>
          <w:p w14:paraId="6FC007F1">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指标</w:t>
            </w:r>
          </w:p>
        </w:tc>
        <w:tc>
          <w:tcPr>
            <w:tcW w:w="8771" w:type="dxa"/>
          </w:tcPr>
          <w:p w14:paraId="4F4643F0">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p>
          <w:p w14:paraId="5B8972B1">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spacing w:val="0"/>
                <w:kern w:val="0"/>
                <w:sz w:val="24"/>
                <w:szCs w:val="24"/>
                <w:lang w:eastAsia="zh-CN"/>
                <w14:textFill>
                  <w14:solidFill>
                    <w14:schemeClr w14:val="tx1"/>
                  </w14:solidFill>
                </w14:textFill>
              </w:rPr>
            </w:pPr>
            <w:r>
              <w:rPr>
                <w:rFonts w:hint="eastAsia"/>
                <w:lang w:val="en-US" w:eastAsia="zh-CN"/>
              </w:rPr>
              <w:t>本项目为社会公益类的乡镇卫生院项目，不属于工业类项目，</w:t>
            </w:r>
            <w:r>
              <w:rPr>
                <w:rFonts w:hint="eastAsia"/>
                <w:color w:val="auto"/>
                <w:lang w:val="en-US" w:eastAsia="zh-CN"/>
              </w:rPr>
              <w:t>不需要进行总量控制指标交易。</w:t>
            </w:r>
          </w:p>
        </w:tc>
      </w:tr>
    </w:tbl>
    <w:p w14:paraId="7EE7AE95">
      <w:pPr>
        <w:pStyle w:val="14"/>
        <w:jc w:val="center"/>
        <w:outlineLvl w:val="0"/>
        <w:rPr>
          <w:rFonts w:ascii="Times New Roman" w:hAnsi="Times New Roman" w:eastAsia="黑体"/>
          <w:snapToGrid w:val="0"/>
          <w:color w:val="000000" w:themeColor="text1"/>
          <w:sz w:val="30"/>
          <w:szCs w:val="30"/>
          <w14:textFill>
            <w14:solidFill>
              <w14:schemeClr w14:val="tx1"/>
            </w14:solidFill>
          </w14:textFill>
        </w:rPr>
      </w:pPr>
      <w:r>
        <w:br w:type="page"/>
      </w:r>
      <w:bookmarkStart w:id="16" w:name="_Toc21298"/>
      <w:bookmarkStart w:id="17" w:name="_Toc11866"/>
      <w:bookmarkStart w:id="18" w:name="_Toc132899967"/>
      <w:bookmarkStart w:id="19" w:name="_Toc9497"/>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bookmarkEnd w:id="16"/>
      <w:bookmarkEnd w:id="17"/>
      <w:bookmarkEnd w:id="18"/>
      <w:bookmarkEnd w:id="19"/>
    </w:p>
    <w:tbl>
      <w:tblPr>
        <w:tblStyle w:val="16"/>
        <w:tblW w:w="51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9917"/>
      </w:tblGrid>
      <w:tr w14:paraId="69E22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5" w:type="dxa"/>
            <w:tcMar>
              <w:left w:w="28" w:type="dxa"/>
              <w:right w:w="28" w:type="dxa"/>
            </w:tcMar>
            <w:vAlign w:val="center"/>
          </w:tcPr>
          <w:p w14:paraId="5B452666">
            <w:pPr>
              <w:pStyle w:val="14"/>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施工</w:t>
            </w:r>
          </w:p>
          <w:p w14:paraId="23096EBA">
            <w:pPr>
              <w:pStyle w:val="14"/>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期环</w:t>
            </w:r>
          </w:p>
          <w:p w14:paraId="12FFC64A">
            <w:pPr>
              <w:pStyle w:val="14"/>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境保</w:t>
            </w:r>
          </w:p>
          <w:p w14:paraId="6B7746C1">
            <w:pPr>
              <w:pStyle w:val="14"/>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护措</w:t>
            </w:r>
          </w:p>
          <w:p w14:paraId="6DF1E451">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施</w:t>
            </w:r>
          </w:p>
        </w:tc>
        <w:tc>
          <w:tcPr>
            <w:tcW w:w="8368" w:type="dxa"/>
            <w:vAlign w:val="center"/>
          </w:tcPr>
          <w:p w14:paraId="58616462">
            <w:pPr>
              <w:pStyle w:val="23"/>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ascii="Times New Roman" w:hAnsi="Times New Roman" w:eastAsia="宋体"/>
                <w:bCs/>
                <w:color w:val="000000" w:themeColor="text1"/>
                <w:spacing w:val="-10"/>
                <w:sz w:val="24"/>
                <w:szCs w:val="24"/>
                <w14:textFill>
                  <w14:solidFill>
                    <w14:schemeClr w14:val="tx1"/>
                  </w14:solidFill>
                </w14:textFill>
              </w:rPr>
            </w:pPr>
            <w:r>
              <w:rPr>
                <w:rFonts w:ascii="Times New Roman" w:hAnsi="Times New Roman"/>
                <w:spacing w:val="0"/>
                <w:position w:val="0"/>
                <w:sz w:val="24"/>
                <w:szCs w:val="24"/>
              </w:rPr>
              <w:t>本项目属于补办环评手续，项目已经建成，不存在进行施工</w:t>
            </w:r>
            <w:r>
              <w:rPr>
                <w:rFonts w:hint="eastAsia" w:ascii="Times New Roman" w:hAnsi="Times New Roman"/>
                <w:spacing w:val="0"/>
                <w:position w:val="0"/>
                <w:sz w:val="24"/>
                <w:szCs w:val="24"/>
                <w:lang w:eastAsia="zh-CN"/>
              </w:rPr>
              <w:t>。</w:t>
            </w:r>
            <w:r>
              <w:rPr>
                <w:rFonts w:ascii="Times New Roman" w:hAnsi="Times New Roman"/>
                <w:spacing w:val="0"/>
                <w:position w:val="0"/>
                <w:sz w:val="24"/>
                <w:szCs w:val="24"/>
              </w:rPr>
              <w:t>因此，本次环评不对其施工期进行评价，主要对项目营运期进行评价。</w:t>
            </w:r>
          </w:p>
        </w:tc>
      </w:tr>
      <w:tr w14:paraId="4FCFA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315" w:type="dxa"/>
            <w:tcMar>
              <w:left w:w="28" w:type="dxa"/>
              <w:right w:w="28" w:type="dxa"/>
            </w:tcMar>
            <w:vAlign w:val="center"/>
          </w:tcPr>
          <w:p w14:paraId="4DF7F97F">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运营</w:t>
            </w:r>
          </w:p>
          <w:p w14:paraId="3F7D67EE">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期环</w:t>
            </w:r>
          </w:p>
          <w:p w14:paraId="65BAF92D">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境影</w:t>
            </w:r>
          </w:p>
          <w:p w14:paraId="625778AC">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响和</w:t>
            </w:r>
          </w:p>
          <w:p w14:paraId="149D3C5A">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保护</w:t>
            </w:r>
          </w:p>
          <w:p w14:paraId="4E447AEA">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措施</w:t>
            </w:r>
          </w:p>
        </w:tc>
        <w:tc>
          <w:tcPr>
            <w:tcW w:w="8368" w:type="dxa"/>
          </w:tcPr>
          <w:p w14:paraId="5DA20E8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b/>
                <w:bCs/>
                <w:color w:val="auto"/>
                <w:sz w:val="24"/>
                <w:szCs w:val="24"/>
                <w:u w:val="none" w:color="auto"/>
              </w:rPr>
            </w:pPr>
            <w:r>
              <w:rPr>
                <w:rFonts w:hint="eastAsia" w:ascii="Times New Roman" w:hAnsi="Times New Roman" w:eastAsia="宋体"/>
                <w:b/>
                <w:bCs/>
                <w:color w:val="auto"/>
                <w:sz w:val="24"/>
                <w:szCs w:val="24"/>
                <w:u w:val="none" w:color="auto"/>
                <w:lang w:val="en-US" w:eastAsia="zh-CN"/>
              </w:rPr>
              <w:t>1.</w:t>
            </w:r>
            <w:r>
              <w:rPr>
                <w:rFonts w:ascii="Times New Roman" w:hAnsi="Times New Roman" w:eastAsia="宋体"/>
                <w:b/>
                <w:bCs/>
                <w:color w:val="auto"/>
                <w:sz w:val="24"/>
                <w:szCs w:val="24"/>
                <w:u w:val="none" w:color="auto"/>
              </w:rPr>
              <w:t>废气</w:t>
            </w:r>
          </w:p>
          <w:p w14:paraId="43838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z w:val="24"/>
                <w:szCs w:val="24"/>
                <w:u w:val="none" w:color="auto"/>
                <w:lang w:eastAsia="zh-CN"/>
              </w:rPr>
            </w:pPr>
            <w:r>
              <w:rPr>
                <w:rFonts w:hint="eastAsia" w:ascii="Times New Roman" w:hAnsi="Times New Roman" w:eastAsia="宋体"/>
                <w:color w:val="auto"/>
                <w:sz w:val="24"/>
                <w:szCs w:val="24"/>
                <w:u w:val="none" w:color="auto"/>
                <w:lang w:eastAsia="zh-CN"/>
              </w:rPr>
              <w:t>（</w:t>
            </w:r>
            <w:r>
              <w:rPr>
                <w:rFonts w:hint="eastAsia" w:ascii="Times New Roman" w:hAnsi="Times New Roman" w:eastAsia="宋体"/>
                <w:color w:val="auto"/>
                <w:sz w:val="24"/>
                <w:szCs w:val="24"/>
                <w:u w:val="none" w:color="auto"/>
                <w:lang w:val="en-US" w:eastAsia="zh-CN"/>
              </w:rPr>
              <w:t>1</w:t>
            </w:r>
            <w:r>
              <w:rPr>
                <w:rFonts w:hint="eastAsia" w:ascii="Times New Roman" w:hAnsi="Times New Roman" w:eastAsia="宋体"/>
                <w:color w:val="auto"/>
                <w:sz w:val="24"/>
                <w:szCs w:val="24"/>
                <w:u w:val="none" w:color="auto"/>
                <w:lang w:eastAsia="zh-CN"/>
              </w:rPr>
              <w:t>）废气污染源分析</w:t>
            </w:r>
          </w:p>
          <w:p w14:paraId="79C414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本项目废气主要为食堂油烟、污水处理站废气、医疗废物暂存间废气、</w:t>
            </w:r>
            <w:r>
              <w:rPr>
                <w:rFonts w:hint="eastAsia" w:ascii="宋体" w:hAnsi="宋体" w:cs="宋体"/>
                <w:color w:val="auto"/>
                <w:kern w:val="0"/>
                <w:sz w:val="24"/>
                <w:szCs w:val="24"/>
                <w:lang w:val="en-US" w:eastAsia="zh-CN" w:bidi="ar"/>
              </w:rPr>
              <w:t>备用柴油发电机废气</w:t>
            </w:r>
            <w:r>
              <w:rPr>
                <w:rFonts w:ascii="Times New Roman" w:hAnsi="Times New Roman" w:eastAsia="宋体"/>
                <w:color w:val="auto"/>
                <w:sz w:val="24"/>
                <w:szCs w:val="24"/>
                <w:u w:val="none" w:color="auto"/>
              </w:rPr>
              <w:t>。</w:t>
            </w:r>
          </w:p>
          <w:p w14:paraId="160AE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①污水处理站废气</w:t>
            </w:r>
          </w:p>
          <w:p w14:paraId="62B5E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pacing w:val="0"/>
                <w:w w:val="100"/>
                <w:position w:val="0"/>
                <w:sz w:val="24"/>
                <w:szCs w:val="24"/>
                <w:u w:val="none" w:color="auto"/>
                <w:lang w:eastAsia="zh-CN"/>
              </w:rPr>
            </w:pPr>
            <w:r>
              <w:rPr>
                <w:rFonts w:ascii="Times New Roman" w:hAnsi="Times New Roman" w:eastAsia="宋体"/>
                <w:color w:val="auto"/>
                <w:spacing w:val="0"/>
                <w:w w:val="100"/>
                <w:position w:val="0"/>
                <w:sz w:val="24"/>
                <w:szCs w:val="24"/>
                <w:u w:val="none" w:color="auto"/>
              </w:rPr>
              <w:t>医疗废水处理站产生的恶臭气体的成分主要是</w:t>
            </w:r>
            <w:r>
              <w:rPr>
                <w:rFonts w:ascii="Times New Roman" w:hAnsi="Times New Roman" w:eastAsia="宋体" w:cs="Times New Roman"/>
                <w:color w:val="auto"/>
                <w:spacing w:val="0"/>
                <w:w w:val="100"/>
                <w:position w:val="0"/>
                <w:sz w:val="24"/>
                <w:szCs w:val="24"/>
                <w:u w:val="none" w:color="auto"/>
              </w:rPr>
              <w:t>NH</w:t>
            </w:r>
            <w:r>
              <w:rPr>
                <w:rFonts w:ascii="Times New Roman" w:hAnsi="Times New Roman" w:eastAsia="宋体" w:cs="Times New Roman"/>
                <w:color w:val="auto"/>
                <w:spacing w:val="0"/>
                <w:w w:val="100"/>
                <w:position w:val="0"/>
                <w:sz w:val="24"/>
                <w:szCs w:val="24"/>
                <w:u w:val="none" w:color="auto"/>
                <w:vertAlign w:val="subscript"/>
              </w:rPr>
              <w:t>3</w:t>
            </w:r>
            <w:r>
              <w:rPr>
                <w:rFonts w:ascii="Times New Roman" w:hAnsi="Times New Roman" w:eastAsia="宋体"/>
                <w:color w:val="auto"/>
                <w:spacing w:val="0"/>
                <w:w w:val="100"/>
                <w:position w:val="0"/>
                <w:sz w:val="24"/>
                <w:szCs w:val="24"/>
                <w:u w:val="none" w:color="auto"/>
              </w:rPr>
              <w:t>和</w:t>
            </w:r>
            <w:r>
              <w:rPr>
                <w:rFonts w:ascii="Times New Roman" w:hAnsi="Times New Roman" w:eastAsia="宋体" w:cs="Times New Roman"/>
                <w:color w:val="auto"/>
                <w:spacing w:val="0"/>
                <w:w w:val="100"/>
                <w:position w:val="0"/>
                <w:sz w:val="24"/>
                <w:szCs w:val="24"/>
                <w:u w:val="none" w:color="auto"/>
              </w:rPr>
              <w:t>H</w:t>
            </w:r>
            <w:r>
              <w:rPr>
                <w:rFonts w:ascii="Times New Roman" w:hAnsi="Times New Roman" w:eastAsia="宋体" w:cs="Times New Roman"/>
                <w:color w:val="auto"/>
                <w:spacing w:val="0"/>
                <w:w w:val="100"/>
                <w:position w:val="0"/>
                <w:sz w:val="24"/>
                <w:szCs w:val="24"/>
                <w:u w:val="none" w:color="auto"/>
                <w:vertAlign w:val="subscript"/>
              </w:rPr>
              <w:t>2</w:t>
            </w:r>
            <w:r>
              <w:rPr>
                <w:rFonts w:ascii="Times New Roman" w:hAnsi="Times New Roman" w:eastAsia="宋体" w:cs="Times New Roman"/>
                <w:color w:val="auto"/>
                <w:spacing w:val="0"/>
                <w:w w:val="100"/>
                <w:position w:val="0"/>
                <w:sz w:val="24"/>
                <w:szCs w:val="24"/>
                <w:u w:val="none" w:color="auto"/>
              </w:rPr>
              <w:t>S</w:t>
            </w:r>
            <w:r>
              <w:rPr>
                <w:rFonts w:ascii="Times New Roman" w:hAnsi="Times New Roman" w:eastAsia="宋体"/>
                <w:color w:val="auto"/>
                <w:spacing w:val="0"/>
                <w:w w:val="100"/>
                <w:position w:val="0"/>
                <w:sz w:val="24"/>
                <w:szCs w:val="24"/>
                <w:u w:val="none" w:color="auto"/>
              </w:rPr>
              <w:t>。硫化氢气体具有臭鸡蛋味，有一定的刺激性。恶臭气体产生量随污水水质、气温（或水温）以及曝气量的不同而变化。有机污水产生的恶臭量大于一般工业废水，夏秋季较多。医院院内已建一座日处理能力</w:t>
            </w:r>
            <w:r>
              <w:rPr>
                <w:rFonts w:hint="eastAsia"/>
                <w:color w:val="auto"/>
                <w:spacing w:val="0"/>
                <w:w w:val="100"/>
                <w:position w:val="0"/>
                <w:sz w:val="24"/>
                <w:szCs w:val="24"/>
                <w:u w:val="none" w:color="auto"/>
                <w:lang w:val="en-US" w:eastAsia="zh-CN"/>
              </w:rPr>
              <w:t>30</w:t>
            </w:r>
            <w:r>
              <w:rPr>
                <w:rFonts w:ascii="Times New Roman" w:hAnsi="Times New Roman" w:eastAsia="宋体"/>
                <w:color w:val="auto"/>
                <w:spacing w:val="0"/>
                <w:w w:val="100"/>
                <w:position w:val="0"/>
                <w:sz w:val="24"/>
                <w:szCs w:val="24"/>
                <w:u w:val="none" w:color="auto"/>
              </w:rPr>
              <w:t>t/d的污水处理站，已投入运营。污水处理</w:t>
            </w:r>
            <w:r>
              <w:rPr>
                <w:rFonts w:hint="eastAsia"/>
                <w:color w:val="auto"/>
                <w:spacing w:val="0"/>
                <w:w w:val="100"/>
                <w:position w:val="0"/>
                <w:sz w:val="24"/>
                <w:szCs w:val="24"/>
                <w:u w:val="none" w:color="auto"/>
                <w:lang w:val="en-US" w:eastAsia="zh-CN"/>
              </w:rPr>
              <w:t>站</w:t>
            </w:r>
            <w:r>
              <w:rPr>
                <w:rFonts w:hint="eastAsia" w:ascii="Times New Roman" w:hAnsi="Times New Roman" w:eastAsia="宋体" w:cs="Times New Roman"/>
                <w:color w:val="auto"/>
                <w:spacing w:val="0"/>
                <w:w w:val="100"/>
                <w:position w:val="0"/>
                <w:sz w:val="24"/>
                <w:szCs w:val="24"/>
                <w:u w:val="none" w:color="auto"/>
                <w:lang w:val="en-US" w:eastAsia="zh-CN"/>
              </w:rPr>
              <w:t>采用(隔栅池+调节池+AO生物接触氧化池+二沉池+活性氧消毒)，（二氧化氯消毒装置备用）。</w:t>
            </w:r>
            <w:r>
              <w:rPr>
                <w:rFonts w:ascii="Times New Roman" w:hAnsi="Times New Roman" w:eastAsia="宋体" w:cs="Times New Roman"/>
                <w:color w:val="auto"/>
                <w:spacing w:val="0"/>
                <w:w w:val="100"/>
                <w:position w:val="0"/>
                <w:sz w:val="24"/>
                <w:szCs w:val="24"/>
                <w:u w:val="none" w:color="auto"/>
              </w:rPr>
              <w:t>其中消毒采用</w:t>
            </w:r>
            <w:r>
              <w:rPr>
                <w:rFonts w:hint="eastAsia" w:ascii="Times New Roman" w:hAnsi="Times New Roman" w:eastAsia="宋体" w:cs="Times New Roman"/>
                <w:color w:val="auto"/>
                <w:spacing w:val="0"/>
                <w:w w:val="100"/>
                <w:position w:val="0"/>
                <w:sz w:val="24"/>
                <w:szCs w:val="24"/>
                <w:u w:val="none" w:color="auto"/>
                <w:lang w:eastAsia="zh-CN"/>
              </w:rPr>
              <w:t>活性氧消毒剂</w:t>
            </w:r>
            <w:r>
              <w:rPr>
                <w:rFonts w:ascii="Times New Roman" w:hAnsi="Times New Roman" w:eastAsia="宋体" w:cs="Times New Roman"/>
                <w:color w:val="auto"/>
                <w:spacing w:val="0"/>
                <w:w w:val="100"/>
                <w:position w:val="0"/>
                <w:sz w:val="24"/>
                <w:szCs w:val="24"/>
                <w:u w:val="none" w:color="auto"/>
              </w:rPr>
              <w:t>，在废水处理过程中将产生少量异味气体</w:t>
            </w:r>
            <w:r>
              <w:rPr>
                <w:rFonts w:hint="eastAsia" w:ascii="Times New Roman" w:hAnsi="Times New Roman" w:eastAsia="宋体" w:cs="Times New Roman"/>
                <w:color w:val="auto"/>
                <w:spacing w:val="0"/>
                <w:w w:val="100"/>
                <w:position w:val="0"/>
                <w:sz w:val="24"/>
                <w:szCs w:val="24"/>
                <w:u w:val="none" w:color="auto"/>
                <w:lang w:eastAsia="zh-CN"/>
              </w:rPr>
              <w:t>，对周边环境影响较小</w:t>
            </w:r>
            <w:r>
              <w:rPr>
                <w:rFonts w:hint="eastAsia" w:ascii="Times New Roman" w:hAnsi="Times New Roman" w:eastAsia="宋体"/>
                <w:color w:val="auto"/>
                <w:spacing w:val="0"/>
                <w:w w:val="100"/>
                <w:position w:val="0"/>
                <w:sz w:val="24"/>
                <w:szCs w:val="24"/>
                <w:u w:val="none" w:color="auto"/>
                <w:lang w:eastAsia="zh-CN"/>
              </w:rPr>
              <w:t>，可忽略不计。</w:t>
            </w:r>
          </w:p>
          <w:p w14:paraId="27404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z w:val="24"/>
                <w:szCs w:val="24"/>
                <w:u w:val="none" w:color="auto"/>
                <w:lang w:eastAsia="zh-CN"/>
              </w:rPr>
            </w:pPr>
            <w:r>
              <w:rPr>
                <w:rFonts w:ascii="Times New Roman" w:hAnsi="Times New Roman" w:eastAsia="宋体"/>
                <w:color w:val="auto"/>
                <w:sz w:val="24"/>
                <w:szCs w:val="24"/>
                <w:u w:val="none" w:color="auto"/>
              </w:rPr>
              <w:t>②</w:t>
            </w:r>
            <w:r>
              <w:rPr>
                <w:rFonts w:hint="eastAsia" w:ascii="Times New Roman" w:hAnsi="Times New Roman" w:eastAsia="宋体"/>
                <w:color w:val="auto"/>
                <w:sz w:val="24"/>
                <w:szCs w:val="24"/>
                <w:highlight w:val="none"/>
                <w:u w:val="none" w:color="auto"/>
                <w:lang w:eastAsia="zh-CN"/>
              </w:rPr>
              <w:t>食堂油烟</w:t>
            </w:r>
          </w:p>
          <w:p w14:paraId="3D056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主要为食堂烹调时产生的油烟废气。医院内部设置食堂，不对外服务，只为医院职工提供用餐服务，就餐人数按员工总数最大</w:t>
            </w:r>
            <w:r>
              <w:rPr>
                <w:rFonts w:hint="eastAsia" w:ascii="Times New Roman" w:hAnsi="Times New Roman" w:eastAsia="宋体" w:cs="Times New Roman"/>
                <w:color w:val="auto"/>
                <w:sz w:val="24"/>
                <w:szCs w:val="24"/>
                <w:highlight w:val="none"/>
                <w:lang w:val="en-US" w:eastAsia="zh-CN"/>
              </w:rPr>
              <w:t>26</w:t>
            </w:r>
            <w:r>
              <w:rPr>
                <w:rFonts w:hint="default" w:ascii="Times New Roman" w:hAnsi="Times New Roman" w:eastAsia="宋体" w:cs="Times New Roman"/>
                <w:color w:val="auto"/>
                <w:sz w:val="24"/>
                <w:szCs w:val="24"/>
              </w:rPr>
              <w:t>人计算，食用油消耗量按每人日消耗30g计，一般油烟和油的挥发量占总耗油量的2%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4%，本项目油烟挥发量按照3%计算，则食堂油烟产生量为</w:t>
            </w:r>
            <w:r>
              <w:rPr>
                <w:rFonts w:hint="eastAsia" w:ascii="Times New Roman" w:hAnsi="Times New Roman" w:eastAsia="宋体" w:cs="Times New Roman"/>
                <w:color w:val="auto"/>
                <w:sz w:val="24"/>
                <w:szCs w:val="24"/>
                <w:lang w:val="en-US" w:eastAsia="zh-CN"/>
              </w:rPr>
              <w:t>23.4</w:t>
            </w:r>
            <w:r>
              <w:rPr>
                <w:rFonts w:hint="default" w:ascii="Times New Roman" w:hAnsi="Times New Roman" w:eastAsia="宋体" w:cs="Times New Roman"/>
                <w:color w:val="auto"/>
                <w:sz w:val="24"/>
                <w:szCs w:val="24"/>
              </w:rPr>
              <w:t>g/d（</w:t>
            </w:r>
            <w:r>
              <w:rPr>
                <w:rFonts w:hint="default" w:ascii="Times New Roman" w:hAnsi="Times New Roman" w:eastAsia="宋体" w:cs="Times New Roman"/>
                <w:color w:val="auto"/>
                <w:sz w:val="24"/>
                <w:szCs w:val="24"/>
                <w:lang w:val="en-US" w:eastAsia="zh-CN"/>
              </w:rPr>
              <w:t>0.0</w:t>
            </w:r>
            <w:r>
              <w:rPr>
                <w:rFonts w:hint="eastAsia" w:ascii="Times New Roman" w:hAnsi="Times New Roman" w:eastAsia="宋体" w:cs="Times New Roman"/>
                <w:color w:val="auto"/>
                <w:sz w:val="24"/>
                <w:szCs w:val="24"/>
                <w:lang w:val="en-US" w:eastAsia="zh-CN"/>
              </w:rPr>
              <w:t>08541</w:t>
            </w:r>
            <w:r>
              <w:rPr>
                <w:rFonts w:hint="default" w:ascii="Times New Roman" w:hAnsi="Times New Roman" w:eastAsia="宋体" w:cs="Times New Roman"/>
                <w:color w:val="auto"/>
                <w:sz w:val="24"/>
                <w:szCs w:val="24"/>
              </w:rPr>
              <w:t>t/a）。提供</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餐，每餐时间按2小时计算，灶头风量为2000m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/h，则食堂油烟的产生浓度为</w:t>
            </w:r>
            <w:r>
              <w:rPr>
                <w:rFonts w:hint="eastAsia" w:ascii="Times New Roman" w:hAnsi="Times New Roman" w:eastAsia="宋体" w:cs="Times New Roman"/>
                <w:color w:val="auto"/>
                <w:sz w:val="24"/>
                <w:szCs w:val="24"/>
                <w:lang w:val="en-US" w:eastAsia="zh-CN"/>
              </w:rPr>
              <w:t>1.95</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。经油烟净化器处理后（处理效率不低于60%），本项目按照60%计，则食堂油烟废气排放总量约为</w:t>
            </w:r>
            <w:r>
              <w:rPr>
                <w:rFonts w:hint="eastAsia" w:ascii="Times New Roman" w:hAnsi="Times New Roman" w:eastAsia="宋体" w:cs="Times New Roman"/>
                <w:color w:val="auto"/>
                <w:sz w:val="24"/>
                <w:szCs w:val="24"/>
                <w:lang w:val="en-US" w:eastAsia="zh-CN"/>
              </w:rPr>
              <w:t>9.36</w:t>
            </w:r>
            <w:r>
              <w:rPr>
                <w:rFonts w:hint="default" w:ascii="Times New Roman" w:hAnsi="Times New Roman" w:eastAsia="宋体" w:cs="Times New Roman"/>
                <w:color w:val="auto"/>
                <w:sz w:val="24"/>
                <w:szCs w:val="24"/>
              </w:rPr>
              <w:t>g/d（</w:t>
            </w:r>
            <w:r>
              <w:rPr>
                <w:rFonts w:hint="default" w:ascii="Times New Roman" w:hAnsi="Times New Roman" w:eastAsia="宋体" w:cs="Times New Roman"/>
                <w:color w:val="auto"/>
                <w:sz w:val="24"/>
                <w:szCs w:val="24"/>
                <w:lang w:val="en-US" w:eastAsia="zh-CN"/>
              </w:rPr>
              <w:t>0.00</w:t>
            </w:r>
            <w:r>
              <w:rPr>
                <w:rFonts w:hint="eastAsia" w:ascii="Times New Roman" w:hAnsi="Times New Roman" w:eastAsia="宋体" w:cs="Times New Roman"/>
                <w:color w:val="auto"/>
                <w:sz w:val="24"/>
                <w:szCs w:val="24"/>
                <w:lang w:val="en-US" w:eastAsia="zh-CN"/>
              </w:rPr>
              <w:t>34164</w:t>
            </w:r>
            <w:r>
              <w:rPr>
                <w:rFonts w:hint="default" w:ascii="Times New Roman" w:hAnsi="Times New Roman" w:eastAsia="宋体" w:cs="Times New Roman"/>
                <w:color w:val="auto"/>
                <w:sz w:val="24"/>
                <w:szCs w:val="24"/>
              </w:rPr>
              <w:t>t/a），排放浓度为</w:t>
            </w:r>
            <w:r>
              <w:rPr>
                <w:rFonts w:hint="eastAsia" w:ascii="Times New Roman" w:hAnsi="Times New Roman" w:eastAsia="宋体" w:cs="Times New Roman"/>
                <w:color w:val="auto"/>
                <w:sz w:val="24"/>
                <w:szCs w:val="24"/>
                <w:lang w:val="en-US" w:eastAsia="zh-CN"/>
              </w:rPr>
              <w:t>0.78</w:t>
            </w:r>
            <w:r>
              <w:rPr>
                <w:rFonts w:hint="default" w:ascii="Times New Roman" w:hAnsi="Times New Roman" w:eastAsia="宋体" w:cs="Times New Roman"/>
                <w:color w:val="auto"/>
                <w:sz w:val="24"/>
                <w:szCs w:val="24"/>
              </w:rPr>
              <w:t>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，可满足《饮食业油烟排放标准（试行）》（GB18483-2001）中的标准</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≤2.0mg/m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），本项目所</w:t>
            </w:r>
            <w:r>
              <w:rPr>
                <w:rFonts w:hint="default" w:ascii="Times New Roman" w:hAnsi="Times New Roman" w:eastAsia="宋体" w:cs="Times New Roman"/>
                <w:color w:val="auto"/>
                <w:sz w:val="24"/>
                <w:szCs w:val="24"/>
                <w:lang w:eastAsia="zh-CN"/>
              </w:rPr>
              <w:t>产生的</w:t>
            </w:r>
            <w:r>
              <w:rPr>
                <w:rFonts w:hint="default" w:ascii="Times New Roman" w:hAnsi="Times New Roman" w:eastAsia="宋体" w:cs="Times New Roman"/>
                <w:color w:val="auto"/>
                <w:sz w:val="24"/>
                <w:szCs w:val="24"/>
              </w:rPr>
              <w:t>油烟废气对周边空气环境影响较小。</w:t>
            </w:r>
          </w:p>
          <w:p w14:paraId="18CF9E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③医废暂存间异味</w:t>
            </w:r>
          </w:p>
          <w:p w14:paraId="57C2A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医疗废物采用专用收集装置暂存于医废间内，医废暂存时会产生一定量的异味（本评价以臭气浓度表征）。项目将医废间设置于项目入口处</w:t>
            </w:r>
            <w:r>
              <w:rPr>
                <w:rFonts w:hint="eastAsia"/>
                <w:color w:val="auto"/>
                <w:sz w:val="24"/>
                <w:szCs w:val="24"/>
                <w:u w:val="none" w:color="auto"/>
                <w:lang w:eastAsia="zh-CN"/>
              </w:rPr>
              <w:t>东</w:t>
            </w:r>
            <w:r>
              <w:rPr>
                <w:color w:val="auto"/>
                <w:sz w:val="24"/>
                <w:szCs w:val="24"/>
                <w:u w:val="none" w:color="auto"/>
              </w:rPr>
              <w:t>侧，远离病患活动区域外，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14:paraId="4AF6607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03" w:firstLineChars="0"/>
              <w:textAlignment w:val="auto"/>
              <w:rPr>
                <w:rFonts w:hint="default"/>
                <w:color w:val="auto"/>
                <w:sz w:val="24"/>
                <w:szCs w:val="24"/>
                <w:lang w:val="en-US"/>
              </w:rPr>
            </w:pPr>
            <w:r>
              <w:rPr>
                <w:rFonts w:hint="eastAsia"/>
                <w:color w:val="auto"/>
                <w:sz w:val="24"/>
                <w:szCs w:val="24"/>
                <w:lang w:val="en-US" w:eastAsia="zh-CN"/>
              </w:rPr>
              <w:t>备用柴油发电机废气</w:t>
            </w:r>
          </w:p>
          <w:p w14:paraId="5A0FB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项目内设有一台柴油备用发电机，在项目突然停电的情况下用于应急发电。由于使用时间较少，每次使用的时间不长，排放的尾气量较小。发电机使用汽油作为燃料，产生的主要污染物主要为</w:t>
            </w:r>
            <w:r>
              <w:rPr>
                <w:rFonts w:hint="default"/>
                <w:color w:val="auto"/>
                <w:sz w:val="24"/>
                <w:szCs w:val="24"/>
                <w:lang w:val="en-US" w:eastAsia="zh-CN"/>
              </w:rPr>
              <w:t>SO</w:t>
            </w:r>
            <w:r>
              <w:rPr>
                <w:rFonts w:hint="default"/>
                <w:color w:val="auto"/>
                <w:sz w:val="24"/>
                <w:szCs w:val="24"/>
                <w:vertAlign w:val="subscript"/>
                <w:lang w:val="en-US" w:eastAsia="zh-CN"/>
              </w:rPr>
              <w:t>2</w:t>
            </w:r>
            <w:r>
              <w:rPr>
                <w:rFonts w:hint="eastAsia"/>
                <w:color w:val="auto"/>
                <w:sz w:val="24"/>
                <w:szCs w:val="24"/>
                <w:lang w:val="en-US" w:eastAsia="zh-CN"/>
              </w:rPr>
              <w:t>、</w:t>
            </w:r>
            <w:r>
              <w:rPr>
                <w:rFonts w:hint="default"/>
                <w:color w:val="auto"/>
                <w:sz w:val="24"/>
                <w:szCs w:val="24"/>
                <w:lang w:val="en-US" w:eastAsia="zh-CN"/>
              </w:rPr>
              <w:t>CO</w:t>
            </w:r>
            <w:r>
              <w:rPr>
                <w:rFonts w:hint="eastAsia"/>
                <w:color w:val="auto"/>
                <w:sz w:val="24"/>
                <w:szCs w:val="24"/>
                <w:lang w:val="en-US" w:eastAsia="zh-CN"/>
              </w:rPr>
              <w:t>、</w:t>
            </w:r>
            <w:r>
              <w:rPr>
                <w:rFonts w:hint="default"/>
                <w:color w:val="auto"/>
                <w:sz w:val="24"/>
                <w:szCs w:val="24"/>
                <w:lang w:val="en-US" w:eastAsia="zh-CN"/>
              </w:rPr>
              <w:t>NO</w:t>
            </w:r>
            <w:r>
              <w:rPr>
                <w:rFonts w:hint="default"/>
                <w:color w:val="auto"/>
                <w:sz w:val="24"/>
                <w:szCs w:val="24"/>
                <w:vertAlign w:val="subscript"/>
                <w:lang w:val="en-US" w:eastAsia="zh-CN"/>
              </w:rPr>
              <w:t>2</w:t>
            </w:r>
            <w:r>
              <w:rPr>
                <w:rFonts w:hint="eastAsia"/>
                <w:color w:val="auto"/>
                <w:sz w:val="24"/>
                <w:szCs w:val="24"/>
                <w:lang w:val="en-US" w:eastAsia="zh-CN"/>
              </w:rPr>
              <w:t>等，呈无组织间断性排放。据与项目方核实，该发电机使用频率约为</w:t>
            </w:r>
            <w:r>
              <w:rPr>
                <w:rFonts w:hint="default"/>
                <w:color w:val="auto"/>
                <w:sz w:val="24"/>
                <w:szCs w:val="24"/>
                <w:lang w:val="en-US" w:eastAsia="zh-CN"/>
              </w:rPr>
              <w:t>1</w:t>
            </w:r>
            <w:r>
              <w:rPr>
                <w:rFonts w:hint="eastAsia"/>
                <w:color w:val="auto"/>
                <w:sz w:val="24"/>
                <w:szCs w:val="24"/>
                <w:lang w:val="en-US" w:eastAsia="zh-CN"/>
              </w:rPr>
              <w:t>～</w:t>
            </w:r>
            <w:r>
              <w:rPr>
                <w:rFonts w:hint="default"/>
                <w:color w:val="auto"/>
                <w:sz w:val="24"/>
                <w:szCs w:val="24"/>
                <w:lang w:val="en-US" w:eastAsia="zh-CN"/>
              </w:rPr>
              <w:t>2</w:t>
            </w:r>
            <w:r>
              <w:rPr>
                <w:rFonts w:hint="eastAsia"/>
                <w:color w:val="auto"/>
                <w:sz w:val="24"/>
                <w:szCs w:val="24"/>
                <w:lang w:val="en-US" w:eastAsia="zh-CN"/>
              </w:rPr>
              <w:t>次</w:t>
            </w:r>
            <w:r>
              <w:rPr>
                <w:rFonts w:hint="default"/>
                <w:color w:val="auto"/>
                <w:sz w:val="24"/>
                <w:szCs w:val="24"/>
                <w:lang w:val="en-US" w:eastAsia="zh-CN"/>
              </w:rPr>
              <w:t>/</w:t>
            </w:r>
            <w:r>
              <w:rPr>
                <w:rFonts w:hint="eastAsia"/>
                <w:color w:val="auto"/>
                <w:sz w:val="24"/>
                <w:szCs w:val="24"/>
                <w:lang w:val="en-US" w:eastAsia="zh-CN"/>
              </w:rPr>
              <w:t>年，每次使用时间大约</w:t>
            </w:r>
            <w:r>
              <w:rPr>
                <w:rFonts w:hint="default"/>
                <w:color w:val="auto"/>
                <w:sz w:val="24"/>
                <w:szCs w:val="24"/>
                <w:lang w:val="en-US" w:eastAsia="zh-CN"/>
              </w:rPr>
              <w:t>30</w:t>
            </w:r>
            <w:r>
              <w:rPr>
                <w:rFonts w:hint="eastAsia"/>
                <w:color w:val="auto"/>
                <w:sz w:val="24"/>
                <w:szCs w:val="24"/>
                <w:lang w:val="en-US" w:eastAsia="zh-CN"/>
              </w:rPr>
              <w:t>分钟，使用频率较低，时间较短，空气污染物产生量较少。</w:t>
            </w:r>
          </w:p>
          <w:p w14:paraId="5E4A35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olor w:val="auto"/>
                <w:spacing w:val="0"/>
                <w:position w:val="0"/>
                <w:sz w:val="24"/>
                <w:szCs w:val="24"/>
                <w:u w:val="none" w:color="auto"/>
                <w:lang w:eastAsia="zh-CN"/>
              </w:rPr>
            </w:pPr>
            <w:r>
              <w:rPr>
                <w:rFonts w:hint="eastAsia" w:ascii="Times New Roman" w:hAnsi="Times New Roman" w:eastAsia="宋体"/>
                <w:color w:val="auto"/>
                <w:spacing w:val="0"/>
                <w:position w:val="0"/>
                <w:sz w:val="24"/>
                <w:szCs w:val="24"/>
                <w:u w:val="none" w:color="auto"/>
                <w:lang w:eastAsia="zh-CN"/>
              </w:rPr>
              <w:t>（</w:t>
            </w:r>
            <w:r>
              <w:rPr>
                <w:rFonts w:hint="eastAsia" w:ascii="Times New Roman" w:hAnsi="Times New Roman" w:eastAsia="宋体"/>
                <w:color w:val="auto"/>
                <w:spacing w:val="0"/>
                <w:position w:val="0"/>
                <w:sz w:val="24"/>
                <w:szCs w:val="24"/>
                <w:u w:val="none" w:color="auto"/>
                <w:lang w:val="en-US" w:eastAsia="zh-CN"/>
              </w:rPr>
              <w:t>2</w:t>
            </w:r>
            <w:r>
              <w:rPr>
                <w:rFonts w:hint="eastAsia" w:ascii="Times New Roman" w:hAnsi="Times New Roman" w:eastAsia="宋体"/>
                <w:color w:val="auto"/>
                <w:spacing w:val="0"/>
                <w:position w:val="0"/>
                <w:sz w:val="24"/>
                <w:szCs w:val="24"/>
                <w:u w:val="none" w:color="auto"/>
                <w:lang w:eastAsia="zh-CN"/>
              </w:rPr>
              <w:t>）污染物产排情况</w:t>
            </w:r>
          </w:p>
          <w:p w14:paraId="02738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olor w:val="auto"/>
                <w:spacing w:val="0"/>
                <w:position w:val="0"/>
                <w:sz w:val="24"/>
                <w:szCs w:val="24"/>
                <w:u w:val="none" w:color="auto"/>
                <w:lang w:eastAsia="zh-CN"/>
              </w:rPr>
            </w:pPr>
            <w:r>
              <w:rPr>
                <w:rFonts w:ascii="Times New Roman" w:hAnsi="Times New Roman" w:eastAsia="宋体"/>
                <w:color w:val="auto"/>
                <w:spacing w:val="0"/>
                <w:position w:val="0"/>
                <w:sz w:val="24"/>
                <w:szCs w:val="24"/>
                <w:u w:val="none" w:color="auto"/>
              </w:rPr>
              <w:t>本项目的产排污节点、污染物及污染治理设施情况详见下表</w:t>
            </w:r>
            <w:r>
              <w:rPr>
                <w:rFonts w:hint="eastAsia" w:ascii="Times New Roman" w:hAnsi="Times New Roman" w:eastAsia="宋体"/>
                <w:color w:val="auto"/>
                <w:spacing w:val="0"/>
                <w:position w:val="0"/>
                <w:sz w:val="24"/>
                <w:szCs w:val="24"/>
                <w:u w:val="none" w:color="auto"/>
                <w:lang w:eastAsia="zh-CN"/>
              </w:rPr>
              <w:t>。</w:t>
            </w:r>
          </w:p>
          <w:p w14:paraId="281B7B96">
            <w:pPr>
              <w:bidi w:val="0"/>
              <w:jc w:val="center"/>
              <w:rPr>
                <w:b/>
                <w:bCs/>
                <w:color w:val="auto"/>
                <w:u w:val="none" w:color="auto"/>
              </w:rPr>
            </w:pPr>
            <w:r>
              <w:rPr>
                <w:b/>
                <w:bCs/>
                <w:color w:val="auto"/>
                <w:u w:val="none" w:color="auto"/>
              </w:rPr>
              <w:t>表 4-</w:t>
            </w:r>
            <w:r>
              <w:rPr>
                <w:rFonts w:hint="eastAsia"/>
                <w:b/>
                <w:bCs/>
                <w:color w:val="auto"/>
                <w:u w:val="none" w:color="auto"/>
                <w:lang w:val="en-US" w:eastAsia="zh-CN"/>
              </w:rPr>
              <w:t>1</w:t>
            </w:r>
            <w:r>
              <w:rPr>
                <w:b/>
                <w:bCs/>
                <w:color w:val="auto"/>
                <w:u w:val="none" w:color="auto"/>
              </w:rPr>
              <w:t>废气产排情况一览表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718"/>
              <w:gridCol w:w="1083"/>
              <w:gridCol w:w="1089"/>
              <w:gridCol w:w="1289"/>
              <w:gridCol w:w="699"/>
              <w:gridCol w:w="544"/>
              <w:gridCol w:w="1196"/>
              <w:gridCol w:w="1089"/>
              <w:gridCol w:w="1290"/>
            </w:tblGrid>
            <w:tr w14:paraId="122F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14:paraId="6A0868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产污环节</w:t>
                  </w:r>
                </w:p>
              </w:tc>
              <w:tc>
                <w:tcPr>
                  <w:tcW w:w="666" w:type="dxa"/>
                  <w:vMerge w:val="restart"/>
                  <w:vAlign w:val="center"/>
                </w:tcPr>
                <w:p w14:paraId="6C0495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污染因子</w:t>
                  </w:r>
                </w:p>
              </w:tc>
              <w:tc>
                <w:tcPr>
                  <w:tcW w:w="2664" w:type="dxa"/>
                  <w:gridSpan w:val="3"/>
                  <w:vAlign w:val="center"/>
                </w:tcPr>
                <w:p w14:paraId="66875B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污染物产生</w:t>
                  </w:r>
                </w:p>
              </w:tc>
              <w:tc>
                <w:tcPr>
                  <w:tcW w:w="648" w:type="dxa"/>
                  <w:vAlign w:val="center"/>
                </w:tcPr>
                <w:p w14:paraId="44AA0BE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b w:val="0"/>
                      <w:bCs w:val="0"/>
                      <w:color w:val="auto"/>
                      <w:spacing w:val="0"/>
                      <w:position w:val="0"/>
                      <w:szCs w:val="21"/>
                      <w:u w:val="none" w:color="auto"/>
                      <w:vertAlign w:val="baseline"/>
                      <w:lang w:eastAsia="zh-CN"/>
                    </w:rPr>
                  </w:pPr>
                  <w:r>
                    <w:rPr>
                      <w:color w:val="auto"/>
                      <w:u w:val="none" w:color="auto"/>
                    </w:rPr>
                    <w:t>治理设施</w:t>
                  </w:r>
                </w:p>
              </w:tc>
              <w:tc>
                <w:tcPr>
                  <w:tcW w:w="2905" w:type="dxa"/>
                  <w:gridSpan w:val="4"/>
                  <w:vAlign w:val="center"/>
                </w:tcPr>
                <w:p w14:paraId="605654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污染物排放</w:t>
                  </w:r>
                </w:p>
              </w:tc>
            </w:tr>
            <w:tr w14:paraId="0716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7154CA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p>
              </w:tc>
              <w:tc>
                <w:tcPr>
                  <w:tcW w:w="666" w:type="dxa"/>
                  <w:vMerge w:val="continue"/>
                  <w:vAlign w:val="center"/>
                </w:tcPr>
                <w:p w14:paraId="4151B7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p>
              </w:tc>
              <w:tc>
                <w:tcPr>
                  <w:tcW w:w="761" w:type="dxa"/>
                  <w:vAlign w:val="center"/>
                </w:tcPr>
                <w:p w14:paraId="62F632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产生量（</w:t>
                  </w:r>
                  <w:r>
                    <w:rPr>
                      <w:rFonts w:hint="eastAsia" w:ascii="Times New Roman" w:hAnsi="Times New Roman" w:eastAsia="宋体"/>
                      <w:b w:val="0"/>
                      <w:bCs w:val="0"/>
                      <w:color w:val="auto"/>
                      <w:spacing w:val="0"/>
                      <w:position w:val="0"/>
                      <w:sz w:val="21"/>
                      <w:szCs w:val="21"/>
                      <w:u w:val="none" w:color="auto"/>
                      <w:vertAlign w:val="baseline"/>
                      <w:lang w:val="en-US" w:eastAsia="zh-CN"/>
                    </w:rPr>
                    <w:t>t/a</w:t>
                  </w:r>
                  <w:r>
                    <w:rPr>
                      <w:rFonts w:hint="eastAsia" w:ascii="Times New Roman" w:hAnsi="Times New Roman" w:eastAsia="宋体"/>
                      <w:b w:val="0"/>
                      <w:bCs w:val="0"/>
                      <w:color w:val="auto"/>
                      <w:spacing w:val="0"/>
                      <w:position w:val="0"/>
                      <w:sz w:val="21"/>
                      <w:szCs w:val="21"/>
                      <w:u w:val="none" w:color="auto"/>
                      <w:vertAlign w:val="baseline"/>
                      <w:lang w:eastAsia="zh-CN"/>
                    </w:rPr>
                    <w:t>）</w:t>
                  </w:r>
                </w:p>
              </w:tc>
              <w:tc>
                <w:tcPr>
                  <w:tcW w:w="926" w:type="dxa"/>
                  <w:vAlign w:val="center"/>
                </w:tcPr>
                <w:p w14:paraId="32CFB2BC">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none" w:color="auto"/>
                      <w:lang w:eastAsia="zh-CN"/>
                    </w:rPr>
                  </w:pPr>
                  <w:r>
                    <w:rPr>
                      <w:color w:val="auto"/>
                      <w:u w:val="none" w:color="auto"/>
                    </w:rPr>
                    <w:t>产生速率（kg/h）</w:t>
                  </w:r>
                </w:p>
              </w:tc>
              <w:tc>
                <w:tcPr>
                  <w:tcW w:w="977" w:type="dxa"/>
                  <w:vAlign w:val="center"/>
                </w:tcPr>
                <w:p w14:paraId="6466E5F8">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none" w:color="auto"/>
                      <w:lang w:eastAsia="zh-CN"/>
                    </w:rPr>
                  </w:pPr>
                  <w:r>
                    <w:rPr>
                      <w:color w:val="auto"/>
                      <w:u w:val="none" w:color="auto"/>
                    </w:rPr>
                    <w:t>产生浓度</w:t>
                  </w:r>
                  <w:r>
                    <w:rPr>
                      <w:rFonts w:hint="eastAsia"/>
                      <w:color w:val="auto"/>
                      <w:u w:val="none" w:color="auto"/>
                      <w:lang w:eastAsia="zh-CN"/>
                    </w:rPr>
                    <w:t>（</w:t>
                  </w:r>
                  <w:r>
                    <w:rPr>
                      <w:color w:val="auto"/>
                      <w:u w:val="none" w:color="auto"/>
                    </w:rPr>
                    <w:t>mg/m</w:t>
                  </w:r>
                  <w:r>
                    <w:rPr>
                      <w:color w:val="auto"/>
                      <w:u w:val="none" w:color="auto"/>
                      <w:vertAlign w:val="superscript"/>
                    </w:rPr>
                    <w:t>3</w:t>
                  </w:r>
                  <w:r>
                    <w:rPr>
                      <w:color w:val="auto"/>
                      <w:u w:val="none" w:color="auto"/>
                    </w:rPr>
                    <w:t>）</w:t>
                  </w:r>
                </w:p>
              </w:tc>
              <w:tc>
                <w:tcPr>
                  <w:tcW w:w="648" w:type="dxa"/>
                  <w:vAlign w:val="center"/>
                </w:tcPr>
                <w:p w14:paraId="1C537324">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none" w:color="auto"/>
                      <w:lang w:eastAsia="zh-CN"/>
                    </w:rPr>
                  </w:pPr>
                  <w:r>
                    <w:rPr>
                      <w:color w:val="auto"/>
                      <w:u w:val="none" w:color="auto"/>
                    </w:rPr>
                    <w:t>工艺</w:t>
                  </w:r>
                </w:p>
              </w:tc>
              <w:tc>
                <w:tcPr>
                  <w:tcW w:w="504" w:type="dxa"/>
                  <w:vAlign w:val="center"/>
                </w:tcPr>
                <w:p w14:paraId="498DE8A6">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none" w:color="auto"/>
                      <w:lang w:eastAsia="zh-CN"/>
                    </w:rPr>
                  </w:pPr>
                  <w:r>
                    <w:rPr>
                      <w:rFonts w:hint="eastAsia"/>
                      <w:color w:val="auto"/>
                      <w:u w:val="none" w:color="auto"/>
                      <w:lang w:eastAsia="zh-CN"/>
                    </w:rPr>
                    <w:t>排放形式</w:t>
                  </w:r>
                </w:p>
              </w:tc>
              <w:tc>
                <w:tcPr>
                  <w:tcW w:w="792" w:type="dxa"/>
                  <w:vAlign w:val="center"/>
                </w:tcPr>
                <w:p w14:paraId="2615B1D6">
                  <w:pPr>
                    <w:keepNext w:val="0"/>
                    <w:keepLines w:val="0"/>
                    <w:pageBreakBefore w:val="0"/>
                    <w:widowControl w:val="0"/>
                    <w:kinsoku/>
                    <w:wordWrap/>
                    <w:overflowPunct/>
                    <w:topLinePunct w:val="0"/>
                    <w:autoSpaceDE/>
                    <w:autoSpaceDN/>
                    <w:bidi w:val="0"/>
                    <w:adjustRightInd/>
                    <w:snapToGrid/>
                    <w:jc w:val="center"/>
                    <w:textAlignment w:val="auto"/>
                    <w:rPr>
                      <w:color w:val="auto"/>
                      <w:u w:val="none" w:color="auto"/>
                    </w:rPr>
                  </w:pPr>
                  <w:r>
                    <w:rPr>
                      <w:color w:val="auto"/>
                      <w:u w:val="none" w:color="auto"/>
                    </w:rPr>
                    <w:t>排放量</w:t>
                  </w:r>
                </w:p>
                <w:p w14:paraId="5C77A740">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none" w:color="auto"/>
                      <w:lang w:eastAsia="zh-CN"/>
                    </w:rPr>
                  </w:pPr>
                  <w:r>
                    <w:rPr>
                      <w:color w:val="auto"/>
                      <w:u w:val="none" w:color="auto"/>
                    </w:rPr>
                    <w:t>（t/a）</w:t>
                  </w:r>
                </w:p>
              </w:tc>
              <w:tc>
                <w:tcPr>
                  <w:tcW w:w="913" w:type="dxa"/>
                  <w:vAlign w:val="center"/>
                </w:tcPr>
                <w:p w14:paraId="785B8444">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none" w:color="auto"/>
                      <w:lang w:eastAsia="zh-CN"/>
                    </w:rPr>
                  </w:pPr>
                  <w:r>
                    <w:rPr>
                      <w:color w:val="auto"/>
                      <w:u w:val="none" w:color="auto"/>
                    </w:rPr>
                    <w:t>排放速率（kg/h）</w:t>
                  </w:r>
                </w:p>
              </w:tc>
              <w:tc>
                <w:tcPr>
                  <w:tcW w:w="696" w:type="dxa"/>
                  <w:vAlign w:val="center"/>
                </w:tcPr>
                <w:p w14:paraId="347F58C2">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none" w:color="auto"/>
                      <w:lang w:eastAsia="zh-CN"/>
                    </w:rPr>
                  </w:pPr>
                  <w:r>
                    <w:rPr>
                      <w:color w:val="auto"/>
                      <w:u w:val="none" w:color="auto"/>
                    </w:rPr>
                    <w:t>排放浓度</w:t>
                  </w:r>
                  <w:r>
                    <w:rPr>
                      <w:rFonts w:hint="eastAsia"/>
                      <w:color w:val="auto"/>
                      <w:u w:val="none" w:color="auto"/>
                      <w:lang w:eastAsia="zh-CN"/>
                    </w:rPr>
                    <w:t>（</w:t>
                  </w:r>
                  <w:r>
                    <w:rPr>
                      <w:color w:val="auto"/>
                      <w:u w:val="none" w:color="auto"/>
                    </w:rPr>
                    <w:t>mg/m</w:t>
                  </w:r>
                  <w:r>
                    <w:rPr>
                      <w:color w:val="auto"/>
                      <w:u w:val="none" w:color="auto"/>
                      <w:vertAlign w:val="superscript"/>
                    </w:rPr>
                    <w:t>3</w:t>
                  </w:r>
                  <w:r>
                    <w:rPr>
                      <w:color w:val="auto"/>
                      <w:u w:val="none" w:color="auto"/>
                    </w:rPr>
                    <w:t>）</w:t>
                  </w:r>
                </w:p>
              </w:tc>
            </w:tr>
            <w:tr w14:paraId="2EA5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14:paraId="7F3AF3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污水处理站</w:t>
                  </w:r>
                </w:p>
              </w:tc>
              <w:tc>
                <w:tcPr>
                  <w:tcW w:w="666" w:type="dxa"/>
                  <w:vAlign w:val="center"/>
                </w:tcPr>
                <w:p w14:paraId="2EDCFB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ascii="Times New Roman" w:hAnsi="Times New Roman" w:eastAsia="宋体"/>
                      <w:b w:val="0"/>
                      <w:bCs w:val="0"/>
                      <w:color w:val="auto"/>
                      <w:spacing w:val="0"/>
                      <w:position w:val="0"/>
                      <w:sz w:val="21"/>
                      <w:szCs w:val="21"/>
                      <w:u w:val="none" w:color="auto"/>
                      <w:vertAlign w:val="baseline"/>
                      <w:lang w:val="en-US" w:eastAsia="zh-CN"/>
                    </w:rPr>
                    <w:t>NH</w:t>
                  </w:r>
                  <w:r>
                    <w:rPr>
                      <w:rFonts w:hint="eastAsia" w:ascii="Times New Roman" w:hAnsi="Times New Roman" w:eastAsia="宋体"/>
                      <w:b w:val="0"/>
                      <w:bCs w:val="0"/>
                      <w:color w:val="auto"/>
                      <w:spacing w:val="0"/>
                      <w:position w:val="0"/>
                      <w:sz w:val="21"/>
                      <w:szCs w:val="21"/>
                      <w:u w:val="none" w:color="auto"/>
                      <w:vertAlign w:val="subscript"/>
                      <w:lang w:val="en-US" w:eastAsia="zh-CN"/>
                    </w:rPr>
                    <w:t>3</w:t>
                  </w:r>
                </w:p>
              </w:tc>
              <w:tc>
                <w:tcPr>
                  <w:tcW w:w="761" w:type="dxa"/>
                  <w:vAlign w:val="center"/>
                </w:tcPr>
                <w:p w14:paraId="7B6276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926" w:type="dxa"/>
                  <w:vAlign w:val="center"/>
                </w:tcPr>
                <w:p w14:paraId="19C55D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977" w:type="dxa"/>
                  <w:vAlign w:val="center"/>
                </w:tcPr>
                <w:p w14:paraId="263D8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648" w:type="dxa"/>
                  <w:vMerge w:val="restart"/>
                  <w:vAlign w:val="center"/>
                </w:tcPr>
                <w:p w14:paraId="24DB4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b w:val="0"/>
                      <w:bCs w:val="0"/>
                      <w:color w:val="auto"/>
                      <w:spacing w:val="0"/>
                      <w:position w:val="0"/>
                      <w:sz w:val="21"/>
                      <w:szCs w:val="21"/>
                      <w:u w:val="none" w:color="auto"/>
                      <w:vertAlign w:val="baseline"/>
                      <w:lang w:eastAsia="zh-CN"/>
                    </w:rPr>
                    <w:t>通风</w:t>
                  </w:r>
                </w:p>
              </w:tc>
              <w:tc>
                <w:tcPr>
                  <w:tcW w:w="504" w:type="dxa"/>
                  <w:vMerge w:val="restart"/>
                  <w:vAlign w:val="center"/>
                </w:tcPr>
                <w:p w14:paraId="0269E3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b w:val="0"/>
                      <w:bCs w:val="0"/>
                      <w:color w:val="auto"/>
                      <w:spacing w:val="0"/>
                      <w:position w:val="0"/>
                      <w:sz w:val="21"/>
                      <w:szCs w:val="21"/>
                      <w:u w:val="none" w:color="auto"/>
                      <w:vertAlign w:val="baseline"/>
                      <w:lang w:eastAsia="zh-CN"/>
                    </w:rPr>
                    <w:t>无组织</w:t>
                  </w:r>
                </w:p>
              </w:tc>
              <w:tc>
                <w:tcPr>
                  <w:tcW w:w="792" w:type="dxa"/>
                  <w:vAlign w:val="center"/>
                </w:tcPr>
                <w:p w14:paraId="27C829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913" w:type="dxa"/>
                  <w:vAlign w:val="center"/>
                </w:tcPr>
                <w:p w14:paraId="098C21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696" w:type="dxa"/>
                  <w:vAlign w:val="center"/>
                </w:tcPr>
                <w:p w14:paraId="0A5994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r>
            <w:tr w14:paraId="31B0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14:paraId="6DFA4A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p>
              </w:tc>
              <w:tc>
                <w:tcPr>
                  <w:tcW w:w="666" w:type="dxa"/>
                  <w:vAlign w:val="center"/>
                </w:tcPr>
                <w:p w14:paraId="608276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ascii="Times New Roman" w:hAnsi="Times New Roman" w:eastAsia="宋体"/>
                      <w:b w:val="0"/>
                      <w:bCs w:val="0"/>
                      <w:color w:val="auto"/>
                      <w:spacing w:val="0"/>
                      <w:position w:val="0"/>
                      <w:sz w:val="21"/>
                      <w:szCs w:val="21"/>
                      <w:u w:val="none" w:color="auto"/>
                      <w:vertAlign w:val="baseline"/>
                      <w:lang w:val="en-US" w:eastAsia="zh-CN"/>
                    </w:rPr>
                    <w:t>H</w:t>
                  </w:r>
                  <w:r>
                    <w:rPr>
                      <w:rFonts w:hint="eastAsia" w:ascii="Times New Roman" w:hAnsi="Times New Roman" w:eastAsia="宋体"/>
                      <w:b w:val="0"/>
                      <w:bCs w:val="0"/>
                      <w:color w:val="auto"/>
                      <w:spacing w:val="0"/>
                      <w:position w:val="0"/>
                      <w:sz w:val="21"/>
                      <w:szCs w:val="21"/>
                      <w:u w:val="none" w:color="auto"/>
                      <w:vertAlign w:val="subscript"/>
                      <w:lang w:val="en-US" w:eastAsia="zh-CN"/>
                    </w:rPr>
                    <w:t>2</w:t>
                  </w:r>
                  <w:r>
                    <w:rPr>
                      <w:rFonts w:hint="eastAsia" w:ascii="Times New Roman" w:hAnsi="Times New Roman" w:eastAsia="宋体"/>
                      <w:b w:val="0"/>
                      <w:bCs w:val="0"/>
                      <w:color w:val="auto"/>
                      <w:spacing w:val="0"/>
                      <w:position w:val="0"/>
                      <w:sz w:val="21"/>
                      <w:szCs w:val="21"/>
                      <w:u w:val="none" w:color="auto"/>
                      <w:vertAlign w:val="baseline"/>
                      <w:lang w:val="en-US" w:eastAsia="zh-CN"/>
                    </w:rPr>
                    <w:t>S</w:t>
                  </w:r>
                </w:p>
              </w:tc>
              <w:tc>
                <w:tcPr>
                  <w:tcW w:w="761" w:type="dxa"/>
                  <w:vAlign w:val="center"/>
                </w:tcPr>
                <w:p w14:paraId="798DC5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926" w:type="dxa"/>
                  <w:vAlign w:val="center"/>
                </w:tcPr>
                <w:p w14:paraId="5EF8D9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977" w:type="dxa"/>
                  <w:vAlign w:val="center"/>
                </w:tcPr>
                <w:p w14:paraId="3D7863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648" w:type="dxa"/>
                  <w:vMerge w:val="continue"/>
                  <w:vAlign w:val="center"/>
                </w:tcPr>
                <w:p w14:paraId="7AA3A6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p>
              </w:tc>
              <w:tc>
                <w:tcPr>
                  <w:tcW w:w="504" w:type="dxa"/>
                  <w:vMerge w:val="continue"/>
                  <w:vAlign w:val="center"/>
                </w:tcPr>
                <w:p w14:paraId="4AE611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p>
              </w:tc>
              <w:tc>
                <w:tcPr>
                  <w:tcW w:w="792" w:type="dxa"/>
                  <w:vAlign w:val="center"/>
                </w:tcPr>
                <w:p w14:paraId="2C5DB4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913" w:type="dxa"/>
                  <w:vAlign w:val="center"/>
                </w:tcPr>
                <w:p w14:paraId="0D3799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696" w:type="dxa"/>
                  <w:vAlign w:val="center"/>
                </w:tcPr>
                <w:p w14:paraId="4E09A6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r>
            <w:tr w14:paraId="720D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14:paraId="529FFC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食堂</w:t>
                  </w:r>
                </w:p>
              </w:tc>
              <w:tc>
                <w:tcPr>
                  <w:tcW w:w="666" w:type="dxa"/>
                  <w:vAlign w:val="center"/>
                </w:tcPr>
                <w:p w14:paraId="68AC5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ascii="Times New Roman" w:hAnsi="Times New Roman" w:eastAsia="宋体"/>
                      <w:b w:val="0"/>
                      <w:bCs w:val="0"/>
                      <w:color w:val="auto"/>
                      <w:spacing w:val="0"/>
                      <w:position w:val="0"/>
                      <w:sz w:val="21"/>
                      <w:szCs w:val="21"/>
                      <w:u w:val="none" w:color="auto"/>
                      <w:vertAlign w:val="baseline"/>
                      <w:lang w:eastAsia="zh-CN"/>
                    </w:rPr>
                    <w:t>油烟</w:t>
                  </w:r>
                </w:p>
              </w:tc>
              <w:tc>
                <w:tcPr>
                  <w:tcW w:w="761" w:type="dxa"/>
                  <w:vAlign w:val="center"/>
                </w:tcPr>
                <w:p w14:paraId="1ED4AF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0.008541</w:t>
                  </w:r>
                </w:p>
              </w:tc>
              <w:tc>
                <w:tcPr>
                  <w:tcW w:w="926" w:type="dxa"/>
                  <w:vAlign w:val="center"/>
                </w:tcPr>
                <w:p w14:paraId="53DE84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0.0039</w:t>
                  </w:r>
                </w:p>
              </w:tc>
              <w:tc>
                <w:tcPr>
                  <w:tcW w:w="977" w:type="dxa"/>
                  <w:vAlign w:val="center"/>
                </w:tcPr>
                <w:p w14:paraId="51E15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1.95</w:t>
                  </w:r>
                </w:p>
              </w:tc>
              <w:tc>
                <w:tcPr>
                  <w:tcW w:w="648" w:type="dxa"/>
                  <w:vAlign w:val="center"/>
                </w:tcPr>
                <w:p w14:paraId="2448B0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b w:val="0"/>
                      <w:bCs w:val="0"/>
                      <w:color w:val="auto"/>
                      <w:spacing w:val="0"/>
                      <w:position w:val="0"/>
                      <w:sz w:val="21"/>
                      <w:szCs w:val="21"/>
                      <w:u w:val="none" w:color="auto"/>
                      <w:vertAlign w:val="baseline"/>
                      <w:lang w:eastAsia="zh-CN"/>
                    </w:rPr>
                    <w:t>油烟净化器</w:t>
                  </w:r>
                </w:p>
              </w:tc>
              <w:tc>
                <w:tcPr>
                  <w:tcW w:w="504" w:type="dxa"/>
                  <w:vAlign w:val="center"/>
                </w:tcPr>
                <w:p w14:paraId="68CD5C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b w:val="0"/>
                      <w:bCs w:val="0"/>
                      <w:color w:val="auto"/>
                      <w:spacing w:val="0"/>
                      <w:position w:val="0"/>
                      <w:sz w:val="21"/>
                      <w:szCs w:val="21"/>
                      <w:u w:val="none" w:color="auto"/>
                      <w:vertAlign w:val="baseline"/>
                      <w:lang w:eastAsia="zh-CN"/>
                    </w:rPr>
                    <w:t>有组织</w:t>
                  </w:r>
                </w:p>
              </w:tc>
              <w:tc>
                <w:tcPr>
                  <w:tcW w:w="792" w:type="dxa"/>
                  <w:vAlign w:val="center"/>
                </w:tcPr>
                <w:p w14:paraId="03DB7B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eastAsia="宋体"/>
                      <w:b w:val="0"/>
                      <w:bCs w:val="0"/>
                      <w:color w:val="auto"/>
                      <w:spacing w:val="0"/>
                      <w:position w:val="0"/>
                      <w:sz w:val="21"/>
                      <w:szCs w:val="21"/>
                      <w:u w:val="none" w:color="auto"/>
                      <w:vertAlign w:val="baseline"/>
                      <w:lang w:val="en-US" w:eastAsia="zh-CN"/>
                    </w:rPr>
                    <w:t>0.0034164</w:t>
                  </w:r>
                </w:p>
              </w:tc>
              <w:tc>
                <w:tcPr>
                  <w:tcW w:w="913" w:type="dxa"/>
                  <w:vAlign w:val="center"/>
                </w:tcPr>
                <w:p w14:paraId="492CBE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0.00156</w:t>
                  </w:r>
                </w:p>
              </w:tc>
              <w:tc>
                <w:tcPr>
                  <w:tcW w:w="696" w:type="dxa"/>
                  <w:vAlign w:val="center"/>
                </w:tcPr>
                <w:p w14:paraId="7E29F8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0.78</w:t>
                  </w:r>
                </w:p>
              </w:tc>
            </w:tr>
            <w:tr w14:paraId="40E0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14:paraId="6A89B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b w:val="0"/>
                      <w:bCs w:val="0"/>
                      <w:color w:val="auto"/>
                      <w:spacing w:val="0"/>
                      <w:position w:val="0"/>
                      <w:sz w:val="21"/>
                      <w:szCs w:val="21"/>
                      <w:u w:val="none" w:color="auto"/>
                      <w:vertAlign w:val="baseline"/>
                      <w:lang w:eastAsia="zh-CN"/>
                    </w:rPr>
                    <w:t>医疗暂存间</w:t>
                  </w:r>
                </w:p>
              </w:tc>
              <w:tc>
                <w:tcPr>
                  <w:tcW w:w="666" w:type="dxa"/>
                  <w:vAlign w:val="center"/>
                </w:tcPr>
                <w:p w14:paraId="4A8BB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color w:val="auto"/>
                      <w:spacing w:val="0"/>
                      <w:position w:val="0"/>
                      <w:sz w:val="21"/>
                      <w:szCs w:val="21"/>
                      <w:u w:val="none" w:color="auto"/>
                      <w:vertAlign w:val="baseline"/>
                      <w:lang w:eastAsia="zh-CN"/>
                    </w:rPr>
                  </w:pPr>
                  <w:r>
                    <w:rPr>
                      <w:rFonts w:hint="eastAsia"/>
                      <w:b w:val="0"/>
                      <w:bCs w:val="0"/>
                      <w:color w:val="auto"/>
                      <w:spacing w:val="0"/>
                      <w:position w:val="0"/>
                      <w:sz w:val="21"/>
                      <w:szCs w:val="21"/>
                      <w:u w:val="none" w:color="auto"/>
                      <w:vertAlign w:val="baseline"/>
                      <w:lang w:eastAsia="zh-CN"/>
                    </w:rPr>
                    <w:t>臭氧</w:t>
                  </w:r>
                </w:p>
              </w:tc>
              <w:tc>
                <w:tcPr>
                  <w:tcW w:w="761" w:type="dxa"/>
                  <w:vAlign w:val="center"/>
                </w:tcPr>
                <w:p w14:paraId="637B6A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w:t>
                  </w:r>
                </w:p>
              </w:tc>
              <w:tc>
                <w:tcPr>
                  <w:tcW w:w="926" w:type="dxa"/>
                  <w:vAlign w:val="center"/>
                </w:tcPr>
                <w:p w14:paraId="0BAF91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977" w:type="dxa"/>
                  <w:vAlign w:val="center"/>
                </w:tcPr>
                <w:p w14:paraId="6886DB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648" w:type="dxa"/>
                  <w:vAlign w:val="center"/>
                </w:tcPr>
                <w:p w14:paraId="433316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color w:val="auto"/>
                      <w:spacing w:val="0"/>
                      <w:position w:val="0"/>
                      <w:sz w:val="21"/>
                      <w:szCs w:val="21"/>
                      <w:u w:val="none" w:color="auto"/>
                      <w:vertAlign w:val="baseline"/>
                      <w:lang w:eastAsia="zh-CN"/>
                    </w:rPr>
                  </w:pPr>
                  <w:r>
                    <w:rPr>
                      <w:rFonts w:hint="eastAsia"/>
                      <w:b w:val="0"/>
                      <w:bCs w:val="0"/>
                      <w:color w:val="auto"/>
                      <w:spacing w:val="0"/>
                      <w:w w:val="100"/>
                      <w:position w:val="0"/>
                      <w:sz w:val="21"/>
                      <w:szCs w:val="21"/>
                      <w:u w:val="none" w:color="auto"/>
                      <w:vertAlign w:val="baseline"/>
                      <w:lang w:eastAsia="zh-CN"/>
                    </w:rPr>
                    <w:t>喷洒消毒剂</w:t>
                  </w:r>
                </w:p>
              </w:tc>
              <w:tc>
                <w:tcPr>
                  <w:tcW w:w="504" w:type="dxa"/>
                  <w:vAlign w:val="center"/>
                </w:tcPr>
                <w:p w14:paraId="49FCEA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color w:val="auto"/>
                      <w:spacing w:val="0"/>
                      <w:position w:val="0"/>
                      <w:sz w:val="21"/>
                      <w:szCs w:val="21"/>
                      <w:u w:val="none" w:color="auto"/>
                      <w:vertAlign w:val="baseline"/>
                      <w:lang w:eastAsia="zh-CN"/>
                    </w:rPr>
                  </w:pPr>
                  <w:r>
                    <w:rPr>
                      <w:rFonts w:hint="eastAsia"/>
                      <w:b w:val="0"/>
                      <w:bCs w:val="0"/>
                      <w:color w:val="auto"/>
                      <w:spacing w:val="0"/>
                      <w:position w:val="0"/>
                      <w:sz w:val="21"/>
                      <w:szCs w:val="21"/>
                      <w:u w:val="none" w:color="auto"/>
                      <w:vertAlign w:val="baseline"/>
                      <w:lang w:eastAsia="zh-CN"/>
                    </w:rPr>
                    <w:t>无组织</w:t>
                  </w:r>
                </w:p>
              </w:tc>
              <w:tc>
                <w:tcPr>
                  <w:tcW w:w="792" w:type="dxa"/>
                  <w:vAlign w:val="center"/>
                </w:tcPr>
                <w:p w14:paraId="5F942A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w:t>
                  </w:r>
                </w:p>
              </w:tc>
              <w:tc>
                <w:tcPr>
                  <w:tcW w:w="913" w:type="dxa"/>
                  <w:vAlign w:val="center"/>
                </w:tcPr>
                <w:p w14:paraId="41CD34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c>
                <w:tcPr>
                  <w:tcW w:w="696" w:type="dxa"/>
                  <w:vAlign w:val="center"/>
                </w:tcPr>
                <w:p w14:paraId="4F974E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color w:val="auto"/>
                      <w:spacing w:val="0"/>
                      <w:position w:val="0"/>
                      <w:sz w:val="21"/>
                      <w:szCs w:val="21"/>
                      <w:u w:val="none" w:color="auto"/>
                      <w:vertAlign w:val="baseline"/>
                      <w:lang w:val="en-US" w:eastAsia="zh-CN"/>
                    </w:rPr>
                  </w:pPr>
                  <w:r>
                    <w:rPr>
                      <w:rFonts w:hint="eastAsia"/>
                      <w:b w:val="0"/>
                      <w:bCs w:val="0"/>
                      <w:color w:val="auto"/>
                      <w:spacing w:val="0"/>
                      <w:position w:val="0"/>
                      <w:sz w:val="21"/>
                      <w:szCs w:val="21"/>
                      <w:u w:val="none" w:color="auto"/>
                      <w:vertAlign w:val="baseline"/>
                      <w:lang w:val="en-US" w:eastAsia="zh-CN"/>
                    </w:rPr>
                    <w:t>/</w:t>
                  </w:r>
                </w:p>
              </w:tc>
            </w:tr>
          </w:tbl>
          <w:p w14:paraId="2DCBF3D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olor w:val="auto"/>
                <w:spacing w:val="0"/>
                <w:position w:val="0"/>
                <w:sz w:val="24"/>
                <w:szCs w:val="24"/>
                <w:u w:val="none" w:color="auto"/>
                <w:lang w:eastAsia="zh-CN"/>
              </w:rPr>
            </w:pPr>
            <w:r>
              <w:rPr>
                <w:rFonts w:hint="eastAsia" w:ascii="Times New Roman" w:hAnsi="Times New Roman" w:eastAsia="宋体"/>
                <w:color w:val="auto"/>
                <w:spacing w:val="0"/>
                <w:position w:val="0"/>
                <w:sz w:val="24"/>
                <w:szCs w:val="24"/>
                <w:u w:val="none" w:color="auto"/>
                <w:lang w:eastAsia="zh-CN"/>
              </w:rPr>
              <w:t>废气治理可行性分析</w:t>
            </w:r>
          </w:p>
          <w:p w14:paraId="4B4EE5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4"/>
                <w:szCs w:val="24"/>
                <w:u w:val="none" w:color="auto"/>
              </w:rPr>
            </w:pPr>
            <w:r>
              <w:rPr>
                <w:rFonts w:ascii="Times New Roman" w:hAnsi="Times New Roman" w:eastAsia="宋体"/>
                <w:color w:val="auto"/>
                <w:spacing w:val="0"/>
                <w:position w:val="0"/>
                <w:szCs w:val="24"/>
                <w:u w:val="none" w:color="auto"/>
              </w:rPr>
              <w:t>①</w:t>
            </w:r>
            <w:r>
              <w:rPr>
                <w:color w:val="auto"/>
                <w:sz w:val="24"/>
                <w:szCs w:val="24"/>
                <w:u w:val="none" w:color="auto"/>
              </w:rPr>
              <w:t>有组织废气</w:t>
            </w:r>
          </w:p>
          <w:p w14:paraId="68FA9E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项目有组织废气为食堂油烟，经高效油烟净化器处理后，预测排放浓度为</w:t>
            </w:r>
            <w:r>
              <w:rPr>
                <w:rFonts w:hint="eastAsia"/>
                <w:color w:val="auto"/>
                <w:sz w:val="24"/>
                <w:szCs w:val="24"/>
                <w:u w:val="none" w:color="auto"/>
                <w:lang w:val="en-US" w:eastAsia="zh-CN"/>
              </w:rPr>
              <w:t>0.78</w:t>
            </w:r>
            <w:r>
              <w:rPr>
                <w:color w:val="auto"/>
                <w:sz w:val="24"/>
                <w:szCs w:val="24"/>
                <w:u w:val="none" w:color="auto"/>
              </w:rPr>
              <w:t>mg/m</w:t>
            </w:r>
            <w:r>
              <w:rPr>
                <w:color w:val="auto"/>
                <w:sz w:val="24"/>
                <w:szCs w:val="24"/>
                <w:u w:val="none" w:color="auto"/>
                <w:vertAlign w:val="superscript"/>
              </w:rPr>
              <w:t>3</w:t>
            </w:r>
            <w:r>
              <w:rPr>
                <w:color w:val="auto"/>
                <w:sz w:val="24"/>
                <w:szCs w:val="24"/>
                <w:u w:val="none" w:color="auto"/>
              </w:rPr>
              <w:t>，可满足《饮食业油烟排放标准（试行）》（GB18483-2001）中的标准</w:t>
            </w:r>
            <w:r>
              <w:rPr>
                <w:rFonts w:hint="eastAsia"/>
                <w:color w:val="auto"/>
                <w:sz w:val="24"/>
                <w:szCs w:val="24"/>
                <w:u w:val="none" w:color="auto"/>
                <w:lang w:eastAsia="zh-CN"/>
              </w:rPr>
              <w:t>（</w:t>
            </w:r>
            <w:r>
              <w:rPr>
                <w:color w:val="auto"/>
                <w:sz w:val="24"/>
                <w:szCs w:val="24"/>
                <w:u w:val="none" w:color="auto"/>
              </w:rPr>
              <w:t>≤2.0mg/m</w:t>
            </w:r>
            <w:r>
              <w:rPr>
                <w:color w:val="auto"/>
                <w:sz w:val="24"/>
                <w:szCs w:val="24"/>
                <w:u w:val="none" w:color="auto"/>
                <w:vertAlign w:val="superscript"/>
              </w:rPr>
              <w:t>3</w:t>
            </w:r>
            <w:r>
              <w:rPr>
                <w:color w:val="auto"/>
                <w:sz w:val="24"/>
                <w:szCs w:val="24"/>
                <w:u w:val="none" w:color="auto"/>
              </w:rPr>
              <w:t>），本项目油烟废气治理措施可行，所</w:t>
            </w:r>
            <w:r>
              <w:rPr>
                <w:rFonts w:hint="eastAsia"/>
                <w:color w:val="auto"/>
                <w:sz w:val="24"/>
                <w:szCs w:val="24"/>
                <w:u w:val="none" w:color="auto"/>
                <w:lang w:eastAsia="zh-CN"/>
              </w:rPr>
              <w:t>产生的</w:t>
            </w:r>
            <w:r>
              <w:rPr>
                <w:color w:val="auto"/>
                <w:sz w:val="24"/>
                <w:szCs w:val="24"/>
                <w:u w:val="none" w:color="auto"/>
              </w:rPr>
              <w:t>油烟废气对周边空气环境影响较小。</w:t>
            </w:r>
          </w:p>
          <w:p w14:paraId="43254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②无组织废气</w:t>
            </w:r>
          </w:p>
          <w:p w14:paraId="2DCB47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color="auto"/>
                <w:lang w:eastAsia="zh-CN"/>
              </w:rPr>
            </w:pPr>
            <w:r>
              <w:rPr>
                <w:color w:val="auto"/>
                <w:sz w:val="24"/>
                <w:szCs w:val="24"/>
                <w:u w:val="none" w:color="auto"/>
              </w:rPr>
              <w:t>项目无组织废气主要为污水处理站恶臭、医疗废物暂</w:t>
            </w:r>
            <w:r>
              <w:rPr>
                <w:rFonts w:hint="eastAsia"/>
                <w:color w:val="auto"/>
                <w:sz w:val="24"/>
                <w:szCs w:val="24"/>
                <w:u w:val="none" w:color="auto"/>
                <w:lang w:eastAsia="zh-CN"/>
              </w:rPr>
              <w:t>存间废气</w:t>
            </w:r>
            <w:r>
              <w:rPr>
                <w:color w:val="auto"/>
                <w:sz w:val="24"/>
                <w:szCs w:val="24"/>
                <w:u w:val="none" w:color="auto"/>
              </w:rPr>
              <w:t>、</w:t>
            </w:r>
            <w:r>
              <w:rPr>
                <w:rFonts w:hint="eastAsia" w:ascii="宋体" w:hAnsi="宋体" w:cs="宋体"/>
                <w:color w:val="auto"/>
                <w:kern w:val="0"/>
                <w:sz w:val="24"/>
                <w:szCs w:val="24"/>
                <w:lang w:val="en-US" w:eastAsia="zh-CN" w:bidi="ar"/>
              </w:rPr>
              <w:t>备用柴油发电机废气</w:t>
            </w:r>
            <w:r>
              <w:rPr>
                <w:rFonts w:hint="eastAsia"/>
                <w:color w:val="auto"/>
                <w:sz w:val="24"/>
                <w:szCs w:val="24"/>
                <w:u w:val="none" w:color="auto"/>
                <w:lang w:eastAsia="zh-CN"/>
              </w:rPr>
              <w:t>。</w:t>
            </w:r>
          </w:p>
          <w:p w14:paraId="0C7A89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污水处理站废气：污水处理站废水处理量较小，产生的臭气量很低，臭气的浓度已达到较低水平，且池体为密闭结构，通过喷洒除臭剂进一步降低臭气影响。根据《排污许可证申请与核发技术规范—医疗机构》（HJ1105-2020）附录A.1，属于可行性技术。预计采取以上措施后，污水站周边废气无组织排放将符合《医疗机构水污染物排放标准》（GB18466-2005）表3中标准限值要求。</w:t>
            </w:r>
          </w:p>
          <w:p w14:paraId="20E35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医疗废物暂存间废气：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14:paraId="11E65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Times New Roman" w:hAnsi="Times New Roman" w:eastAsia="宋体" w:cs="Times New Roman"/>
                <w:color w:val="auto"/>
                <w:sz w:val="24"/>
                <w:szCs w:val="24"/>
                <w:u w:val="none"/>
                <w:lang w:val="en-US" w:eastAsia="zh-CN"/>
              </w:rPr>
              <w:t>备</w:t>
            </w:r>
            <w:r>
              <w:rPr>
                <w:rFonts w:hint="eastAsia"/>
                <w:color w:val="auto"/>
                <w:sz w:val="24"/>
                <w:szCs w:val="24"/>
                <w:lang w:val="en-US" w:eastAsia="zh-CN"/>
              </w:rPr>
              <w:t>用柴油发电机废气：无组织排放，通过大气稀释扩散作用减少对环境影响，其使用频次很低，对周边环境影响较小。</w:t>
            </w:r>
          </w:p>
          <w:p w14:paraId="3E385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u w:val="none" w:color="auto"/>
              </w:rPr>
            </w:pP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4</w:t>
            </w:r>
            <w:r>
              <w:rPr>
                <w:rFonts w:hint="eastAsia"/>
                <w:color w:val="auto"/>
                <w:sz w:val="24"/>
                <w:szCs w:val="24"/>
                <w:highlight w:val="none"/>
                <w:u w:val="none" w:color="auto"/>
                <w:lang w:eastAsia="zh-CN"/>
              </w:rPr>
              <w:t>）废气监测计划</w:t>
            </w:r>
          </w:p>
          <w:p w14:paraId="7D75C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u w:val="none" w:color="auto"/>
                <w:lang w:eastAsia="zh-CN"/>
              </w:rPr>
            </w:pPr>
            <w:r>
              <w:rPr>
                <w:color w:val="auto"/>
                <w:sz w:val="24"/>
                <w:szCs w:val="24"/>
                <w:u w:val="none" w:color="auto"/>
              </w:rPr>
              <w:t>项目大气监测计划根据《排污许可证申请与核发技术规范医疗机构》（HJ1105—2020）相关要求拟定，监测计划如下表</w:t>
            </w:r>
            <w:r>
              <w:rPr>
                <w:rFonts w:hint="eastAsia"/>
                <w:color w:val="auto"/>
                <w:sz w:val="24"/>
                <w:szCs w:val="24"/>
                <w:u w:val="none" w:color="auto"/>
                <w:lang w:eastAsia="zh-CN"/>
              </w:rPr>
              <w:t>：</w:t>
            </w:r>
          </w:p>
          <w:p w14:paraId="0035043C">
            <w:pPr>
              <w:bidi w:val="0"/>
              <w:jc w:val="center"/>
              <w:rPr>
                <w:b/>
                <w:bCs/>
                <w:color w:val="auto"/>
                <w:u w:val="none" w:color="auto"/>
              </w:rPr>
            </w:pPr>
          </w:p>
          <w:p w14:paraId="70CD3C5B">
            <w:pPr>
              <w:bidi w:val="0"/>
              <w:jc w:val="center"/>
              <w:rPr>
                <w:b/>
                <w:bCs/>
                <w:color w:val="auto"/>
                <w:u w:val="none" w:color="auto"/>
              </w:rPr>
            </w:pPr>
            <w:r>
              <w:rPr>
                <w:b/>
                <w:bCs/>
                <w:color w:val="auto"/>
                <w:u w:val="none" w:color="auto"/>
              </w:rPr>
              <w:t>表4-</w:t>
            </w:r>
            <w:r>
              <w:rPr>
                <w:rFonts w:hint="eastAsia"/>
                <w:b/>
                <w:bCs/>
                <w:color w:val="auto"/>
                <w:u w:val="none" w:color="auto"/>
                <w:lang w:val="en-US" w:eastAsia="zh-CN"/>
              </w:rPr>
              <w:t xml:space="preserve">2 </w:t>
            </w:r>
            <w:r>
              <w:rPr>
                <w:b/>
                <w:bCs/>
                <w:color w:val="auto"/>
                <w:u w:val="none" w:color="auto"/>
              </w:rPr>
              <w:t>建设项目废气监测要求</w:t>
            </w:r>
          </w:p>
          <w:tbl>
            <w:tblPr>
              <w:tblStyle w:val="17"/>
              <w:tblW w:w="7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068"/>
              <w:gridCol w:w="1824"/>
              <w:gridCol w:w="696"/>
              <w:gridCol w:w="2818"/>
            </w:tblGrid>
            <w:tr w14:paraId="21A4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2951DF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排放形式</w:t>
                  </w:r>
                </w:p>
              </w:tc>
              <w:tc>
                <w:tcPr>
                  <w:tcW w:w="1068" w:type="dxa"/>
                  <w:vAlign w:val="center"/>
                </w:tcPr>
                <w:p w14:paraId="3D607F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监测点位</w:t>
                  </w:r>
                </w:p>
              </w:tc>
              <w:tc>
                <w:tcPr>
                  <w:tcW w:w="1824" w:type="dxa"/>
                  <w:vAlign w:val="center"/>
                </w:tcPr>
                <w:p w14:paraId="4C3B4D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监测项目</w:t>
                  </w:r>
                </w:p>
              </w:tc>
              <w:tc>
                <w:tcPr>
                  <w:tcW w:w="696" w:type="dxa"/>
                  <w:vAlign w:val="center"/>
                </w:tcPr>
                <w:p w14:paraId="392462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监测频率</w:t>
                  </w:r>
                </w:p>
              </w:tc>
              <w:tc>
                <w:tcPr>
                  <w:tcW w:w="2818" w:type="dxa"/>
                  <w:vAlign w:val="center"/>
                </w:tcPr>
                <w:p w14:paraId="7F5E6D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执行排放标准</w:t>
                  </w:r>
                </w:p>
              </w:tc>
            </w:tr>
            <w:tr w14:paraId="4D84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4D9A77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无组织</w:t>
                  </w:r>
                </w:p>
              </w:tc>
              <w:tc>
                <w:tcPr>
                  <w:tcW w:w="1068" w:type="dxa"/>
                  <w:vAlign w:val="center"/>
                </w:tcPr>
                <w:p w14:paraId="17614F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污水处理站周界</w:t>
                  </w:r>
                </w:p>
              </w:tc>
              <w:tc>
                <w:tcPr>
                  <w:tcW w:w="1824" w:type="dxa"/>
                  <w:vAlign w:val="center"/>
                </w:tcPr>
                <w:p w14:paraId="72C3B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hint="eastAsia" w:ascii="Times New Roman" w:hAnsi="Times New Roman" w:eastAsia="宋体"/>
                      <w:color w:val="auto"/>
                      <w:spacing w:val="0"/>
                      <w:position w:val="0"/>
                      <w:sz w:val="21"/>
                      <w:szCs w:val="21"/>
                      <w:u w:val="none" w:color="auto"/>
                      <w:vertAlign w:val="baseline"/>
                      <w:lang w:eastAsia="zh-CN"/>
                    </w:rPr>
                    <w:t>氨、硫化氢、臭气</w:t>
                  </w:r>
                </w:p>
              </w:tc>
              <w:tc>
                <w:tcPr>
                  <w:tcW w:w="696" w:type="dxa"/>
                  <w:vAlign w:val="center"/>
                </w:tcPr>
                <w:p w14:paraId="18A2E8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olor w:val="auto"/>
                      <w:spacing w:val="0"/>
                      <w:position w:val="0"/>
                      <w:sz w:val="21"/>
                      <w:szCs w:val="21"/>
                      <w:u w:val="none" w:color="auto"/>
                      <w:vertAlign w:val="baseline"/>
                      <w:lang w:val="en-US" w:eastAsia="zh-CN"/>
                    </w:rPr>
                  </w:pPr>
                  <w:r>
                    <w:rPr>
                      <w:rFonts w:hint="eastAsia"/>
                      <w:color w:val="auto"/>
                      <w:spacing w:val="0"/>
                      <w:position w:val="0"/>
                      <w:sz w:val="21"/>
                      <w:szCs w:val="21"/>
                      <w:u w:val="none" w:color="auto"/>
                      <w:vertAlign w:val="baseline"/>
                      <w:lang w:val="en-US" w:eastAsia="zh-CN"/>
                    </w:rPr>
                    <w:t>年</w:t>
                  </w:r>
                  <w:r>
                    <w:rPr>
                      <w:rFonts w:hint="eastAsia" w:ascii="Times New Roman" w:hAnsi="Times New Roman" w:eastAsia="宋体"/>
                      <w:color w:val="auto"/>
                      <w:spacing w:val="0"/>
                      <w:position w:val="0"/>
                      <w:sz w:val="21"/>
                      <w:szCs w:val="21"/>
                      <w:u w:val="none" w:color="auto"/>
                      <w:vertAlign w:val="baseline"/>
                      <w:lang w:val="en-US" w:eastAsia="zh-CN"/>
                    </w:rPr>
                    <w:t>/次</w:t>
                  </w:r>
                </w:p>
              </w:tc>
              <w:tc>
                <w:tcPr>
                  <w:tcW w:w="2818" w:type="dxa"/>
                  <w:vAlign w:val="center"/>
                </w:tcPr>
                <w:p w14:paraId="10BA70BC">
                  <w:pPr>
                    <w:pStyle w:val="23"/>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color w:val="auto"/>
                      <w:spacing w:val="0"/>
                      <w:position w:val="0"/>
                      <w:sz w:val="21"/>
                      <w:szCs w:val="21"/>
                      <w:u w:val="none" w:color="auto"/>
                      <w:vertAlign w:val="baseline"/>
                      <w:lang w:eastAsia="zh-CN"/>
                    </w:rPr>
                  </w:pPr>
                  <w:r>
                    <w:rPr>
                      <w:rFonts w:ascii="Times New Roman" w:hAnsi="Times New Roman" w:eastAsia="宋体"/>
                      <w:color w:val="auto"/>
                      <w:spacing w:val="0"/>
                      <w:position w:val="0"/>
                      <w:sz w:val="21"/>
                      <w:szCs w:val="21"/>
                      <w:u w:val="none" w:color="auto"/>
                    </w:rPr>
                    <w:t>《医疗机构水污染物排放标准》（</w:t>
                  </w:r>
                  <w:r>
                    <w:rPr>
                      <w:rFonts w:ascii="Times New Roman" w:hAnsi="Times New Roman" w:eastAsia="宋体" w:cs="Times New Roman"/>
                      <w:color w:val="auto"/>
                      <w:spacing w:val="0"/>
                      <w:position w:val="0"/>
                      <w:sz w:val="21"/>
                      <w:szCs w:val="21"/>
                      <w:u w:val="none" w:color="auto"/>
                    </w:rPr>
                    <w:t>GB18466-2005</w:t>
                  </w:r>
                  <w:r>
                    <w:rPr>
                      <w:rFonts w:ascii="Times New Roman" w:hAnsi="Times New Roman" w:eastAsia="宋体"/>
                      <w:color w:val="auto"/>
                      <w:spacing w:val="0"/>
                      <w:position w:val="0"/>
                      <w:sz w:val="21"/>
                      <w:szCs w:val="21"/>
                      <w:u w:val="none" w:color="auto"/>
                    </w:rPr>
                    <w:t>）中污水处理站周边大气污染物控制标准</w:t>
                  </w:r>
                </w:p>
              </w:tc>
            </w:tr>
          </w:tbl>
          <w:p w14:paraId="0C8B44D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color w:val="auto"/>
                <w:sz w:val="24"/>
                <w:szCs w:val="24"/>
                <w:u w:val="none" w:color="auto"/>
              </w:rPr>
            </w:pPr>
          </w:p>
          <w:p w14:paraId="4B044BF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b/>
                <w:bCs/>
                <w:color w:val="auto"/>
                <w:sz w:val="24"/>
                <w:szCs w:val="24"/>
                <w:u w:val="none" w:color="auto"/>
              </w:rPr>
            </w:pPr>
            <w:r>
              <w:rPr>
                <w:rFonts w:ascii="Times New Roman" w:hAnsi="Times New Roman" w:eastAsia="宋体"/>
                <w:b/>
                <w:bCs/>
                <w:color w:val="auto"/>
                <w:sz w:val="24"/>
                <w:szCs w:val="24"/>
                <w:u w:val="none" w:color="auto"/>
              </w:rPr>
              <w:t>2、废水</w:t>
            </w:r>
          </w:p>
          <w:p w14:paraId="2EF18C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z w:val="24"/>
                <w:szCs w:val="24"/>
                <w:u w:val="none" w:color="auto"/>
                <w:lang w:eastAsia="zh-CN"/>
              </w:rPr>
            </w:pPr>
            <w:r>
              <w:rPr>
                <w:rFonts w:hint="eastAsia" w:ascii="Times New Roman" w:hAnsi="Times New Roman" w:eastAsia="宋体"/>
                <w:color w:val="auto"/>
                <w:sz w:val="24"/>
                <w:szCs w:val="24"/>
                <w:u w:val="none" w:color="auto"/>
                <w:lang w:eastAsia="zh-CN"/>
              </w:rPr>
              <w:t>（</w:t>
            </w:r>
            <w:r>
              <w:rPr>
                <w:rFonts w:hint="eastAsia" w:ascii="Times New Roman" w:hAnsi="Times New Roman" w:eastAsia="宋体"/>
                <w:color w:val="auto"/>
                <w:sz w:val="24"/>
                <w:szCs w:val="24"/>
                <w:u w:val="none" w:color="auto"/>
                <w:lang w:val="en-US" w:eastAsia="zh-CN"/>
              </w:rPr>
              <w:t>1</w:t>
            </w:r>
            <w:r>
              <w:rPr>
                <w:rFonts w:hint="eastAsia" w:ascii="Times New Roman" w:hAnsi="Times New Roman" w:eastAsia="宋体"/>
                <w:color w:val="auto"/>
                <w:sz w:val="24"/>
                <w:szCs w:val="24"/>
                <w:u w:val="none" w:color="auto"/>
                <w:lang w:eastAsia="zh-CN"/>
              </w:rPr>
              <w:t>）废水产生情况</w:t>
            </w:r>
          </w:p>
          <w:p w14:paraId="12CC5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z w:val="24"/>
                <w:szCs w:val="24"/>
                <w:u w:val="none" w:color="auto"/>
                <w:lang w:val="en-US" w:eastAsia="zh-CN"/>
              </w:rPr>
            </w:pPr>
            <w:r>
              <w:rPr>
                <w:rFonts w:ascii="Times New Roman" w:hAnsi="Times New Roman" w:eastAsia="宋体"/>
                <w:color w:val="auto"/>
                <w:sz w:val="24"/>
                <w:szCs w:val="24"/>
                <w:u w:val="none" w:color="auto"/>
              </w:rPr>
              <w:t>根据现场踏勘和建设单位提供资料可知，</w:t>
            </w:r>
            <w:r>
              <w:rPr>
                <w:rFonts w:hint="eastAsia" w:ascii="Times New Roman" w:hAnsi="Times New Roman" w:eastAsia="宋体" w:cs="Times New Roman"/>
                <w:color w:val="auto"/>
                <w:sz w:val="24"/>
                <w:szCs w:val="24"/>
                <w:u w:val="none" w:color="auto"/>
                <w:lang w:val="en-US" w:eastAsia="zh-CN"/>
              </w:rPr>
              <w:t>本项目食堂废水与生活污水和医疗废水一起进入院内污水处理站，医疗废水经预处理+调节池+一体化设备处理后达标排入自建污水处理站处理后达标排入东侧的洣水，最终汇入洣水。</w:t>
            </w:r>
            <w:r>
              <w:rPr>
                <w:rFonts w:hint="eastAsia" w:ascii="Times New Roman" w:hAnsi="Times New Roman" w:cs="Times New Roman"/>
                <w:color w:val="auto"/>
                <w:sz w:val="24"/>
                <w:szCs w:val="24"/>
                <w:u w:val="none" w:color="auto"/>
                <w:vertAlign w:val="baseline"/>
                <w:lang w:val="en-US" w:eastAsia="zh-CN"/>
              </w:rPr>
              <w:t>医疗</w:t>
            </w:r>
            <w:r>
              <w:rPr>
                <w:rFonts w:ascii="Times New Roman" w:hAnsi="Times New Roman" w:eastAsia="宋体"/>
                <w:color w:val="auto"/>
                <w:sz w:val="24"/>
                <w:szCs w:val="24"/>
                <w:u w:val="none" w:color="auto"/>
              </w:rPr>
              <w:t>废水污染物产排情况参考《医院污水处理工程技术规范》（HJ2029-2013）中表1医院污水水质指标参考数据进行计算，具体经验数据见</w:t>
            </w:r>
            <w:r>
              <w:rPr>
                <w:rFonts w:hint="eastAsia"/>
                <w:color w:val="auto"/>
                <w:sz w:val="24"/>
                <w:szCs w:val="24"/>
                <w:u w:val="none" w:color="auto"/>
                <w:lang w:eastAsia="zh-CN"/>
              </w:rPr>
              <w:t>下</w:t>
            </w:r>
            <w:r>
              <w:rPr>
                <w:rFonts w:ascii="Times New Roman" w:hAnsi="Times New Roman" w:eastAsia="宋体"/>
                <w:color w:val="auto"/>
                <w:sz w:val="24"/>
                <w:szCs w:val="24"/>
                <w:u w:val="none" w:color="auto"/>
              </w:rPr>
              <w:t>表。</w:t>
            </w:r>
          </w:p>
          <w:p w14:paraId="6B1F30F1">
            <w:pPr>
              <w:keepNext w:val="0"/>
              <w:keepLines w:val="0"/>
              <w:widowControl/>
              <w:suppressLineNumbers w:val="0"/>
              <w:jc w:val="center"/>
              <w:rPr>
                <w:rFonts w:ascii="Times New Roman" w:hAnsi="Times New Roman" w:eastAsia="宋体"/>
                <w:b/>
                <w:bCs/>
                <w:color w:val="auto"/>
                <w:sz w:val="21"/>
                <w:szCs w:val="21"/>
                <w:u w:val="none" w:color="auto"/>
              </w:rPr>
            </w:pPr>
          </w:p>
          <w:p w14:paraId="5647D83D">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none" w:color="auto"/>
                <w:lang w:val="en-US" w:eastAsia="zh-CN" w:bidi="ar-SA"/>
              </w:rPr>
            </w:pPr>
            <w:r>
              <w:rPr>
                <w:rFonts w:ascii="Times New Roman" w:hAnsi="Times New Roman" w:eastAsia="宋体"/>
                <w:b/>
                <w:bCs/>
                <w:color w:val="auto"/>
                <w:sz w:val="21"/>
                <w:szCs w:val="21"/>
                <w:u w:val="none" w:color="auto"/>
              </w:rPr>
              <w:t>表4-</w:t>
            </w:r>
            <w:r>
              <w:rPr>
                <w:rFonts w:hint="eastAsia"/>
                <w:b/>
                <w:bCs/>
                <w:color w:val="auto"/>
                <w:sz w:val="21"/>
                <w:szCs w:val="21"/>
                <w:u w:val="none" w:color="auto"/>
                <w:lang w:val="en-US" w:eastAsia="zh-CN"/>
              </w:rPr>
              <w:t>4</w:t>
            </w:r>
            <w:r>
              <w:rPr>
                <w:rFonts w:hint="eastAsia" w:ascii="Times New Roman" w:hAnsi="Times New Roman" w:eastAsia="宋体" w:cs="Times New Roman"/>
                <w:b/>
                <w:bCs/>
                <w:color w:val="auto"/>
                <w:kern w:val="2"/>
                <w:sz w:val="24"/>
                <w:szCs w:val="24"/>
                <w:highlight w:val="none"/>
                <w:u w:val="none" w:color="auto"/>
                <w:lang w:val="en-US" w:eastAsia="zh-CN" w:bidi="ar-SA"/>
              </w:rPr>
              <w:t xml:space="preserve"> 项目废水中污染物产生量及排放量</w:t>
            </w:r>
          </w:p>
          <w:tbl>
            <w:tblPr>
              <w:tblStyle w:val="16"/>
              <w:tblW w:w="8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3"/>
              <w:gridCol w:w="934"/>
              <w:gridCol w:w="1107"/>
              <w:gridCol w:w="1107"/>
              <w:gridCol w:w="1107"/>
              <w:gridCol w:w="1107"/>
              <w:gridCol w:w="1279"/>
              <w:gridCol w:w="921"/>
            </w:tblGrid>
            <w:tr w14:paraId="0E35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23"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F151F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color="auto"/>
                    </w:rPr>
                  </w:pPr>
                  <w:r>
                    <w:rPr>
                      <w:rFonts w:hint="eastAsia" w:ascii="宋体" w:hAnsi="宋体" w:eastAsia="宋体" w:cs="宋体"/>
                      <w:b/>
                      <w:bCs/>
                      <w:i w:val="0"/>
                      <w:iCs w:val="0"/>
                      <w:color w:val="auto"/>
                      <w:kern w:val="0"/>
                      <w:sz w:val="21"/>
                      <w:szCs w:val="21"/>
                      <w:u w:val="none" w:color="auto"/>
                      <w:lang w:val="en-US" w:eastAsia="zh-CN" w:bidi="ar"/>
                    </w:rPr>
                    <w:t>污染因子</w:t>
                  </w:r>
                </w:p>
              </w:tc>
              <w:tc>
                <w:tcPr>
                  <w:tcW w:w="630" w:type="pct"/>
                  <w:vMerge w:val="restart"/>
                  <w:tcBorders>
                    <w:top w:val="single" w:color="000000" w:sz="8" w:space="0"/>
                    <w:left w:val="nil"/>
                    <w:bottom w:val="single" w:color="000000" w:sz="8" w:space="0"/>
                    <w:right w:val="single" w:color="000000" w:sz="8" w:space="0"/>
                  </w:tcBorders>
                  <w:shd w:val="clear" w:color="auto" w:fill="auto"/>
                  <w:vAlign w:val="center"/>
                </w:tcPr>
                <w:p w14:paraId="60363F0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color="auto"/>
                    </w:rPr>
                  </w:pPr>
                  <w:r>
                    <w:rPr>
                      <w:rFonts w:hint="default" w:ascii="Times New Roman" w:hAnsi="Times New Roman" w:eastAsia="宋体" w:cs="Times New Roman"/>
                      <w:b/>
                      <w:bCs/>
                      <w:i w:val="0"/>
                      <w:iCs w:val="0"/>
                      <w:color w:val="auto"/>
                      <w:kern w:val="0"/>
                      <w:sz w:val="21"/>
                      <w:szCs w:val="21"/>
                      <w:u w:val="none" w:color="auto"/>
                      <w:lang w:val="en-US" w:eastAsia="zh-CN" w:bidi="ar"/>
                    </w:rPr>
                    <w:t>COD</w:t>
                  </w:r>
                </w:p>
              </w:tc>
              <w:tc>
                <w:tcPr>
                  <w:tcW w:w="630" w:type="pct"/>
                  <w:vMerge w:val="restart"/>
                  <w:tcBorders>
                    <w:top w:val="single" w:color="000000" w:sz="8" w:space="0"/>
                    <w:left w:val="nil"/>
                    <w:bottom w:val="single" w:color="000000" w:sz="8" w:space="0"/>
                    <w:right w:val="single" w:color="000000" w:sz="8" w:space="0"/>
                  </w:tcBorders>
                  <w:shd w:val="clear" w:color="auto" w:fill="auto"/>
                  <w:vAlign w:val="center"/>
                </w:tcPr>
                <w:p w14:paraId="1DF270C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color="auto"/>
                    </w:rPr>
                  </w:pPr>
                  <w:r>
                    <w:rPr>
                      <w:rFonts w:hint="default" w:ascii="Times New Roman" w:hAnsi="Times New Roman" w:eastAsia="宋体" w:cs="Times New Roman"/>
                      <w:b/>
                      <w:bCs/>
                      <w:i w:val="0"/>
                      <w:iCs w:val="0"/>
                      <w:color w:val="auto"/>
                      <w:kern w:val="0"/>
                      <w:sz w:val="21"/>
                      <w:szCs w:val="21"/>
                      <w:u w:val="none" w:color="auto"/>
                      <w:lang w:val="en-US" w:eastAsia="zh-CN" w:bidi="ar"/>
                    </w:rPr>
                    <w:t>BOD</w:t>
                  </w:r>
                </w:p>
              </w:tc>
              <w:tc>
                <w:tcPr>
                  <w:tcW w:w="630" w:type="pct"/>
                  <w:vMerge w:val="restart"/>
                  <w:tcBorders>
                    <w:top w:val="single" w:color="000000" w:sz="8" w:space="0"/>
                    <w:left w:val="nil"/>
                    <w:bottom w:val="single" w:color="000000" w:sz="8" w:space="0"/>
                    <w:right w:val="single" w:color="000000" w:sz="8" w:space="0"/>
                  </w:tcBorders>
                  <w:shd w:val="clear" w:color="auto" w:fill="auto"/>
                  <w:vAlign w:val="center"/>
                </w:tcPr>
                <w:p w14:paraId="2662B2A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color="auto"/>
                    </w:rPr>
                  </w:pPr>
                  <w:r>
                    <w:rPr>
                      <w:rFonts w:hint="default" w:ascii="Times New Roman" w:hAnsi="Times New Roman" w:eastAsia="宋体" w:cs="Times New Roman"/>
                      <w:b/>
                      <w:bCs/>
                      <w:i w:val="0"/>
                      <w:iCs w:val="0"/>
                      <w:color w:val="auto"/>
                      <w:kern w:val="0"/>
                      <w:sz w:val="21"/>
                      <w:szCs w:val="21"/>
                      <w:u w:val="none" w:color="auto"/>
                      <w:lang w:val="en-US" w:eastAsia="zh-CN" w:bidi="ar"/>
                    </w:rPr>
                    <w:t>SS</w:t>
                  </w:r>
                </w:p>
              </w:tc>
              <w:tc>
                <w:tcPr>
                  <w:tcW w:w="630" w:type="pct"/>
                  <w:vMerge w:val="restart"/>
                  <w:tcBorders>
                    <w:top w:val="single" w:color="000000" w:sz="8" w:space="0"/>
                    <w:left w:val="nil"/>
                    <w:bottom w:val="single" w:color="000000" w:sz="8" w:space="0"/>
                    <w:right w:val="single" w:color="000000" w:sz="8" w:space="0"/>
                  </w:tcBorders>
                  <w:shd w:val="clear" w:color="auto" w:fill="auto"/>
                  <w:vAlign w:val="center"/>
                </w:tcPr>
                <w:p w14:paraId="738232C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color="auto"/>
                    </w:rPr>
                  </w:pPr>
                  <w:r>
                    <w:rPr>
                      <w:rFonts w:hint="default" w:ascii="Times New Roman" w:hAnsi="Times New Roman" w:eastAsia="宋体" w:cs="Times New Roman"/>
                      <w:b/>
                      <w:bCs/>
                      <w:i w:val="0"/>
                      <w:iCs w:val="0"/>
                      <w:color w:val="auto"/>
                      <w:kern w:val="0"/>
                      <w:sz w:val="21"/>
                      <w:szCs w:val="21"/>
                      <w:u w:val="none" w:color="auto"/>
                      <w:lang w:val="en-US" w:eastAsia="zh-CN" w:bidi="ar"/>
                    </w:rPr>
                    <w:t>NH</w:t>
                  </w:r>
                  <w:r>
                    <w:rPr>
                      <w:rFonts w:hint="default" w:ascii="Times New Roman" w:hAnsi="Times New Roman" w:eastAsia="宋体" w:cs="Times New Roman"/>
                      <w:b/>
                      <w:bCs/>
                      <w:i w:val="0"/>
                      <w:iCs w:val="0"/>
                      <w:color w:val="auto"/>
                      <w:kern w:val="0"/>
                      <w:sz w:val="21"/>
                      <w:szCs w:val="21"/>
                      <w:u w:val="none" w:color="auto"/>
                      <w:vertAlign w:val="subscript"/>
                      <w:lang w:val="en-US" w:eastAsia="zh-CN" w:bidi="ar"/>
                    </w:rPr>
                    <w:t>3</w:t>
                  </w:r>
                  <w:r>
                    <w:rPr>
                      <w:rFonts w:hint="default" w:ascii="Times New Roman" w:hAnsi="Times New Roman" w:eastAsia="宋体" w:cs="Times New Roman"/>
                      <w:b/>
                      <w:bCs/>
                      <w:i w:val="0"/>
                      <w:iCs w:val="0"/>
                      <w:color w:val="auto"/>
                      <w:kern w:val="0"/>
                      <w:sz w:val="21"/>
                      <w:szCs w:val="21"/>
                      <w:u w:val="none" w:color="auto"/>
                      <w:lang w:val="en-US" w:eastAsia="zh-CN" w:bidi="ar"/>
                    </w:rPr>
                    <w:t>-N</w:t>
                  </w:r>
                </w:p>
              </w:tc>
              <w:tc>
                <w:tcPr>
                  <w:tcW w:w="728" w:type="pct"/>
                  <w:tcBorders>
                    <w:top w:val="single" w:color="000000" w:sz="8" w:space="0"/>
                    <w:left w:val="nil"/>
                    <w:bottom w:val="nil"/>
                    <w:right w:val="single" w:color="000000" w:sz="8" w:space="0"/>
                  </w:tcBorders>
                  <w:shd w:val="clear" w:color="auto" w:fill="auto"/>
                  <w:vAlign w:val="center"/>
                </w:tcPr>
                <w:p w14:paraId="7116481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color="auto"/>
                    </w:rPr>
                  </w:pPr>
                  <w:r>
                    <w:rPr>
                      <w:rFonts w:hint="eastAsia" w:ascii="宋体" w:hAnsi="宋体" w:eastAsia="宋体" w:cs="宋体"/>
                      <w:b/>
                      <w:bCs/>
                      <w:i w:val="0"/>
                      <w:iCs w:val="0"/>
                      <w:color w:val="auto"/>
                      <w:kern w:val="0"/>
                      <w:sz w:val="21"/>
                      <w:szCs w:val="21"/>
                      <w:u w:val="none" w:color="auto"/>
                      <w:lang w:val="en-US" w:eastAsia="zh-CN" w:bidi="ar"/>
                    </w:rPr>
                    <w:t>粪大肠菌</w:t>
                  </w:r>
                </w:p>
              </w:tc>
              <w:tc>
                <w:tcPr>
                  <w:tcW w:w="524" w:type="pct"/>
                  <w:tcBorders>
                    <w:top w:val="single" w:color="000000" w:sz="8" w:space="0"/>
                    <w:left w:val="nil"/>
                    <w:bottom w:val="nil"/>
                    <w:right w:val="single" w:color="000000" w:sz="8" w:space="0"/>
                  </w:tcBorders>
                  <w:shd w:val="clear" w:color="auto" w:fill="auto"/>
                  <w:vAlign w:val="center"/>
                </w:tcPr>
                <w:p w14:paraId="2B7CA9C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color="auto"/>
                    </w:rPr>
                  </w:pPr>
                  <w:r>
                    <w:rPr>
                      <w:rFonts w:hint="eastAsia" w:ascii="宋体" w:hAnsi="宋体" w:eastAsia="宋体" w:cs="宋体"/>
                      <w:b/>
                      <w:bCs/>
                      <w:i w:val="0"/>
                      <w:iCs w:val="0"/>
                      <w:color w:val="auto"/>
                      <w:kern w:val="0"/>
                      <w:sz w:val="21"/>
                      <w:szCs w:val="21"/>
                      <w:u w:val="none" w:color="auto"/>
                      <w:lang w:val="en-US" w:eastAsia="zh-CN" w:bidi="ar"/>
                    </w:rPr>
                    <w:t>动植</w:t>
                  </w:r>
                </w:p>
              </w:tc>
            </w:tr>
            <w:tr w14:paraId="246A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23"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292D98">
                  <w:pPr>
                    <w:jc w:val="center"/>
                    <w:rPr>
                      <w:rFonts w:hint="eastAsia" w:ascii="宋体" w:hAnsi="宋体" w:eastAsia="宋体" w:cs="宋体"/>
                      <w:b/>
                      <w:bCs/>
                      <w:i w:val="0"/>
                      <w:iCs w:val="0"/>
                      <w:color w:val="auto"/>
                      <w:sz w:val="21"/>
                      <w:szCs w:val="21"/>
                      <w:u w:val="none" w:color="auto"/>
                    </w:rPr>
                  </w:pPr>
                </w:p>
              </w:tc>
              <w:tc>
                <w:tcPr>
                  <w:tcW w:w="630" w:type="pct"/>
                  <w:vMerge w:val="continue"/>
                  <w:tcBorders>
                    <w:top w:val="single" w:color="000000" w:sz="8" w:space="0"/>
                    <w:left w:val="nil"/>
                    <w:bottom w:val="single" w:color="000000" w:sz="8" w:space="0"/>
                    <w:right w:val="single" w:color="000000" w:sz="8" w:space="0"/>
                  </w:tcBorders>
                  <w:shd w:val="clear" w:color="auto" w:fill="auto"/>
                  <w:vAlign w:val="center"/>
                </w:tcPr>
                <w:p w14:paraId="5B088621">
                  <w:pPr>
                    <w:jc w:val="center"/>
                    <w:rPr>
                      <w:rFonts w:hint="default" w:ascii="Times New Roman" w:hAnsi="Times New Roman" w:eastAsia="宋体" w:cs="Times New Roman"/>
                      <w:b/>
                      <w:bCs/>
                      <w:i w:val="0"/>
                      <w:iCs w:val="0"/>
                      <w:color w:val="auto"/>
                      <w:sz w:val="21"/>
                      <w:szCs w:val="21"/>
                      <w:u w:val="none" w:color="auto"/>
                    </w:rPr>
                  </w:pPr>
                </w:p>
              </w:tc>
              <w:tc>
                <w:tcPr>
                  <w:tcW w:w="630" w:type="pct"/>
                  <w:vMerge w:val="continue"/>
                  <w:tcBorders>
                    <w:top w:val="single" w:color="000000" w:sz="8" w:space="0"/>
                    <w:left w:val="nil"/>
                    <w:bottom w:val="single" w:color="000000" w:sz="8" w:space="0"/>
                    <w:right w:val="single" w:color="000000" w:sz="8" w:space="0"/>
                  </w:tcBorders>
                  <w:shd w:val="clear" w:color="auto" w:fill="auto"/>
                  <w:vAlign w:val="center"/>
                </w:tcPr>
                <w:p w14:paraId="164548E3">
                  <w:pPr>
                    <w:jc w:val="center"/>
                    <w:rPr>
                      <w:rFonts w:hint="default" w:ascii="Times New Roman" w:hAnsi="Times New Roman" w:eastAsia="宋体" w:cs="Times New Roman"/>
                      <w:b/>
                      <w:bCs/>
                      <w:i w:val="0"/>
                      <w:iCs w:val="0"/>
                      <w:color w:val="auto"/>
                      <w:sz w:val="21"/>
                      <w:szCs w:val="21"/>
                      <w:u w:val="none" w:color="auto"/>
                    </w:rPr>
                  </w:pPr>
                </w:p>
              </w:tc>
              <w:tc>
                <w:tcPr>
                  <w:tcW w:w="630" w:type="pct"/>
                  <w:vMerge w:val="continue"/>
                  <w:tcBorders>
                    <w:top w:val="single" w:color="000000" w:sz="8" w:space="0"/>
                    <w:left w:val="nil"/>
                    <w:bottom w:val="single" w:color="000000" w:sz="8" w:space="0"/>
                    <w:right w:val="single" w:color="000000" w:sz="8" w:space="0"/>
                  </w:tcBorders>
                  <w:shd w:val="clear" w:color="auto" w:fill="auto"/>
                  <w:vAlign w:val="center"/>
                </w:tcPr>
                <w:p w14:paraId="2B3A3B4A">
                  <w:pPr>
                    <w:jc w:val="center"/>
                    <w:rPr>
                      <w:rFonts w:hint="default" w:ascii="Times New Roman" w:hAnsi="Times New Roman" w:eastAsia="宋体" w:cs="Times New Roman"/>
                      <w:b/>
                      <w:bCs/>
                      <w:i w:val="0"/>
                      <w:iCs w:val="0"/>
                      <w:color w:val="auto"/>
                      <w:sz w:val="21"/>
                      <w:szCs w:val="21"/>
                      <w:u w:val="none" w:color="auto"/>
                    </w:rPr>
                  </w:pPr>
                </w:p>
              </w:tc>
              <w:tc>
                <w:tcPr>
                  <w:tcW w:w="630" w:type="pct"/>
                  <w:vMerge w:val="continue"/>
                  <w:tcBorders>
                    <w:top w:val="single" w:color="000000" w:sz="8" w:space="0"/>
                    <w:left w:val="nil"/>
                    <w:bottom w:val="single" w:color="000000" w:sz="8" w:space="0"/>
                    <w:right w:val="single" w:color="000000" w:sz="8" w:space="0"/>
                  </w:tcBorders>
                  <w:shd w:val="clear" w:color="auto" w:fill="auto"/>
                  <w:vAlign w:val="center"/>
                </w:tcPr>
                <w:p w14:paraId="79620BC3">
                  <w:pPr>
                    <w:jc w:val="center"/>
                    <w:rPr>
                      <w:rFonts w:hint="default" w:ascii="Times New Roman" w:hAnsi="Times New Roman" w:eastAsia="宋体" w:cs="Times New Roman"/>
                      <w:b/>
                      <w:bCs/>
                      <w:i w:val="0"/>
                      <w:iCs w:val="0"/>
                      <w:color w:val="auto"/>
                      <w:sz w:val="21"/>
                      <w:szCs w:val="21"/>
                      <w:u w:val="none" w:color="auto"/>
                    </w:rPr>
                  </w:pPr>
                </w:p>
              </w:tc>
              <w:tc>
                <w:tcPr>
                  <w:tcW w:w="728" w:type="pct"/>
                  <w:tcBorders>
                    <w:top w:val="nil"/>
                    <w:left w:val="nil"/>
                    <w:bottom w:val="single" w:color="000000" w:sz="8" w:space="0"/>
                    <w:right w:val="single" w:color="000000" w:sz="8" w:space="0"/>
                  </w:tcBorders>
                  <w:shd w:val="clear" w:color="auto" w:fill="auto"/>
                  <w:vAlign w:val="center"/>
                </w:tcPr>
                <w:p w14:paraId="4371B11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color="auto"/>
                    </w:rPr>
                  </w:pPr>
                  <w:r>
                    <w:rPr>
                      <w:rFonts w:hint="eastAsia" w:ascii="宋体" w:hAnsi="宋体" w:eastAsia="宋体" w:cs="宋体"/>
                      <w:b/>
                      <w:bCs/>
                      <w:i w:val="0"/>
                      <w:iCs w:val="0"/>
                      <w:color w:val="auto"/>
                      <w:kern w:val="0"/>
                      <w:sz w:val="21"/>
                      <w:szCs w:val="21"/>
                      <w:u w:val="none" w:color="auto"/>
                      <w:lang w:val="en-US" w:eastAsia="zh-CN" w:bidi="ar"/>
                    </w:rPr>
                    <w:t>群数</w:t>
                  </w:r>
                </w:p>
              </w:tc>
              <w:tc>
                <w:tcPr>
                  <w:tcW w:w="524" w:type="pct"/>
                  <w:tcBorders>
                    <w:top w:val="nil"/>
                    <w:left w:val="nil"/>
                    <w:bottom w:val="single" w:color="000000" w:sz="8" w:space="0"/>
                    <w:right w:val="single" w:color="000000" w:sz="8" w:space="0"/>
                  </w:tcBorders>
                  <w:shd w:val="clear" w:color="auto" w:fill="auto"/>
                  <w:vAlign w:val="center"/>
                </w:tcPr>
                <w:p w14:paraId="7753D5B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color="auto"/>
                    </w:rPr>
                  </w:pPr>
                  <w:r>
                    <w:rPr>
                      <w:rFonts w:hint="eastAsia" w:ascii="宋体" w:hAnsi="宋体" w:eastAsia="宋体" w:cs="宋体"/>
                      <w:b/>
                      <w:bCs/>
                      <w:i w:val="0"/>
                      <w:iCs w:val="0"/>
                      <w:color w:val="auto"/>
                      <w:kern w:val="0"/>
                      <w:sz w:val="21"/>
                      <w:szCs w:val="21"/>
                      <w:u w:val="none" w:color="auto"/>
                      <w:lang w:val="en-US" w:eastAsia="zh-CN" w:bidi="ar"/>
                    </w:rPr>
                    <w:t>物油</w:t>
                  </w:r>
                </w:p>
              </w:tc>
            </w:tr>
            <w:tr w14:paraId="1867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pct"/>
                  <w:vMerge w:val="restart"/>
                  <w:tcBorders>
                    <w:top w:val="nil"/>
                    <w:left w:val="single" w:color="000000" w:sz="8" w:space="0"/>
                    <w:bottom w:val="single" w:color="000000" w:sz="8" w:space="0"/>
                    <w:right w:val="single" w:color="000000" w:sz="8" w:space="0"/>
                  </w:tcBorders>
                  <w:shd w:val="clear" w:color="auto" w:fill="auto"/>
                  <w:vAlign w:val="center"/>
                </w:tcPr>
                <w:p w14:paraId="2ECEDAD5">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Fonts w:hint="eastAsia" w:ascii="宋体" w:hAnsi="宋体" w:eastAsia="宋体" w:cs="宋体"/>
                      <w:i w:val="0"/>
                      <w:iCs w:val="0"/>
                      <w:color w:val="auto"/>
                      <w:kern w:val="0"/>
                      <w:sz w:val="21"/>
                      <w:szCs w:val="21"/>
                      <w:u w:val="none" w:color="auto"/>
                      <w:lang w:val="en-US" w:eastAsia="zh-CN" w:bidi="ar"/>
                    </w:rPr>
                    <w:t>总废水排放量</w:t>
                  </w:r>
                  <w:r>
                    <w:rPr>
                      <w:rFonts w:hint="eastAsia" w:cs="Times New Roman"/>
                      <w:i w:val="0"/>
                      <w:iCs w:val="0"/>
                      <w:color w:val="auto"/>
                      <w:kern w:val="0"/>
                      <w:sz w:val="21"/>
                      <w:szCs w:val="21"/>
                      <w:u w:val="none" w:color="auto"/>
                      <w:lang w:val="en-US" w:eastAsia="zh-CN" w:bidi="ar"/>
                    </w:rPr>
                    <w:t>3724.45</w:t>
                  </w:r>
                  <w:r>
                    <w:rPr>
                      <w:rFonts w:hint="default" w:ascii="Times New Roman" w:hAnsi="Times New Roman" w:eastAsia="宋体" w:cs="Times New Roman"/>
                      <w:i w:val="0"/>
                      <w:iCs w:val="0"/>
                      <w:color w:val="auto"/>
                      <w:kern w:val="0"/>
                      <w:sz w:val="21"/>
                      <w:szCs w:val="21"/>
                      <w:u w:val="none" w:color="auto"/>
                      <w:lang w:val="en-US" w:eastAsia="zh-CN" w:bidi="ar"/>
                    </w:rPr>
                    <w:t>t/a</w:t>
                  </w:r>
                </w:p>
              </w:tc>
              <w:tc>
                <w:tcPr>
                  <w:tcW w:w="532" w:type="pct"/>
                  <w:tcBorders>
                    <w:top w:val="nil"/>
                    <w:left w:val="nil"/>
                    <w:bottom w:val="single" w:color="000000" w:sz="8" w:space="0"/>
                    <w:right w:val="single" w:color="000000" w:sz="8" w:space="0"/>
                  </w:tcBorders>
                  <w:shd w:val="clear" w:color="auto" w:fill="auto"/>
                  <w:vAlign w:val="center"/>
                </w:tcPr>
                <w:p w14:paraId="6C9A4B6A">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Fonts w:hint="eastAsia" w:ascii="宋体" w:hAnsi="宋体" w:eastAsia="宋体" w:cs="宋体"/>
                      <w:i w:val="0"/>
                      <w:iCs w:val="0"/>
                      <w:color w:val="auto"/>
                      <w:kern w:val="0"/>
                      <w:sz w:val="21"/>
                      <w:szCs w:val="21"/>
                      <w:u w:val="none" w:color="auto"/>
                      <w:lang w:val="en-US" w:eastAsia="zh-CN" w:bidi="ar"/>
                    </w:rPr>
                    <w:t>产生量</w:t>
                  </w:r>
                  <w:r>
                    <w:rPr>
                      <w:rFonts w:hint="default" w:ascii="Times New Roman" w:hAnsi="Times New Roman" w:eastAsia="宋体" w:cs="Times New Roman"/>
                      <w:i w:val="0"/>
                      <w:iCs w:val="0"/>
                      <w:color w:val="auto"/>
                      <w:kern w:val="0"/>
                      <w:sz w:val="21"/>
                      <w:szCs w:val="21"/>
                      <w:u w:val="none" w:color="auto"/>
                      <w:lang w:val="en-US" w:eastAsia="zh-CN" w:bidi="ar"/>
                    </w:rPr>
                    <w:t>t/a</w:t>
                  </w:r>
                </w:p>
              </w:tc>
              <w:tc>
                <w:tcPr>
                  <w:tcW w:w="630" w:type="pct"/>
                  <w:tcBorders>
                    <w:top w:val="nil"/>
                    <w:left w:val="nil"/>
                    <w:bottom w:val="single" w:color="000000" w:sz="8" w:space="0"/>
                    <w:right w:val="single" w:color="000000" w:sz="8" w:space="0"/>
                  </w:tcBorders>
                  <w:shd w:val="clear" w:color="auto" w:fill="auto"/>
                  <w:vAlign w:val="center"/>
                </w:tcPr>
                <w:p w14:paraId="677905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1.119</w:t>
                  </w:r>
                </w:p>
              </w:tc>
              <w:tc>
                <w:tcPr>
                  <w:tcW w:w="630" w:type="pct"/>
                  <w:tcBorders>
                    <w:top w:val="nil"/>
                    <w:left w:val="nil"/>
                    <w:bottom w:val="single" w:color="000000" w:sz="8" w:space="0"/>
                    <w:right w:val="single" w:color="000000" w:sz="8" w:space="0"/>
                  </w:tcBorders>
                  <w:shd w:val="clear" w:color="auto" w:fill="auto"/>
                  <w:vAlign w:val="center"/>
                </w:tcPr>
                <w:p w14:paraId="67A2B7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0.559</w:t>
                  </w:r>
                </w:p>
              </w:tc>
              <w:tc>
                <w:tcPr>
                  <w:tcW w:w="630" w:type="pct"/>
                  <w:tcBorders>
                    <w:top w:val="nil"/>
                    <w:left w:val="nil"/>
                    <w:bottom w:val="single" w:color="000000" w:sz="8" w:space="0"/>
                    <w:right w:val="single" w:color="000000" w:sz="8" w:space="0"/>
                  </w:tcBorders>
                  <w:shd w:val="clear" w:color="auto" w:fill="auto"/>
                  <w:vAlign w:val="center"/>
                </w:tcPr>
                <w:p w14:paraId="27049E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0.447</w:t>
                  </w:r>
                </w:p>
              </w:tc>
              <w:tc>
                <w:tcPr>
                  <w:tcW w:w="630" w:type="pct"/>
                  <w:tcBorders>
                    <w:top w:val="nil"/>
                    <w:left w:val="nil"/>
                    <w:bottom w:val="single" w:color="000000" w:sz="8" w:space="0"/>
                    <w:right w:val="single" w:color="000000" w:sz="8" w:space="0"/>
                  </w:tcBorders>
                  <w:shd w:val="clear" w:color="auto" w:fill="auto"/>
                  <w:vAlign w:val="center"/>
                </w:tcPr>
                <w:p w14:paraId="0825DA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0.186</w:t>
                  </w:r>
                </w:p>
              </w:tc>
              <w:tc>
                <w:tcPr>
                  <w:tcW w:w="728" w:type="pct"/>
                  <w:tcBorders>
                    <w:top w:val="nil"/>
                    <w:left w:val="nil"/>
                    <w:bottom w:val="single" w:color="000000" w:sz="8" w:space="0"/>
                    <w:right w:val="single" w:color="000000" w:sz="8" w:space="0"/>
                  </w:tcBorders>
                  <w:shd w:val="clear" w:color="auto" w:fill="auto"/>
                  <w:vAlign w:val="center"/>
                </w:tcPr>
                <w:p w14:paraId="004525B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rPr>
                  </w:pPr>
                  <w:r>
                    <w:rPr>
                      <w:rFonts w:hint="default" w:ascii="Times New Roman" w:hAnsi="Times New Roman" w:eastAsia="宋体" w:cs="Times New Roman"/>
                      <w:i w:val="0"/>
                      <w:iCs w:val="0"/>
                      <w:color w:val="auto"/>
                      <w:kern w:val="0"/>
                      <w:sz w:val="21"/>
                      <w:szCs w:val="21"/>
                      <w:u w:val="none" w:color="auto"/>
                      <w:lang w:val="en-US" w:eastAsia="zh-CN" w:bidi="ar"/>
                    </w:rPr>
                    <w:t>/</w:t>
                  </w:r>
                </w:p>
              </w:tc>
              <w:tc>
                <w:tcPr>
                  <w:tcW w:w="524" w:type="pct"/>
                  <w:tcBorders>
                    <w:top w:val="nil"/>
                    <w:left w:val="nil"/>
                    <w:bottom w:val="single" w:color="000000" w:sz="8" w:space="0"/>
                    <w:right w:val="single" w:color="000000" w:sz="8" w:space="0"/>
                  </w:tcBorders>
                  <w:shd w:val="clear" w:color="auto" w:fill="auto"/>
                  <w:vAlign w:val="center"/>
                </w:tcPr>
                <w:p w14:paraId="6747EEC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lang w:val="en-US"/>
                    </w:rPr>
                  </w:pPr>
                  <w:r>
                    <w:rPr>
                      <w:rFonts w:hint="eastAsia" w:cs="Times New Roman"/>
                      <w:i w:val="0"/>
                      <w:iCs w:val="0"/>
                      <w:color w:val="auto"/>
                      <w:kern w:val="0"/>
                      <w:sz w:val="21"/>
                      <w:szCs w:val="21"/>
                      <w:u w:val="none" w:color="auto"/>
                      <w:lang w:val="en-US" w:eastAsia="zh-CN" w:bidi="ar"/>
                    </w:rPr>
                    <w:t>0.074</w:t>
                  </w:r>
                </w:p>
              </w:tc>
            </w:tr>
            <w:tr w14:paraId="352E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91" w:type="pct"/>
                  <w:vMerge w:val="continue"/>
                  <w:tcBorders>
                    <w:top w:val="nil"/>
                    <w:left w:val="single" w:color="000000" w:sz="8" w:space="0"/>
                    <w:bottom w:val="single" w:color="000000" w:sz="8" w:space="0"/>
                    <w:right w:val="single" w:color="000000" w:sz="8" w:space="0"/>
                  </w:tcBorders>
                  <w:shd w:val="clear" w:color="auto" w:fill="auto"/>
                  <w:vAlign w:val="center"/>
                </w:tcPr>
                <w:p w14:paraId="15ECDCDB">
                  <w:pPr>
                    <w:jc w:val="center"/>
                    <w:rPr>
                      <w:rFonts w:hint="eastAsia" w:ascii="宋体" w:hAnsi="宋体" w:eastAsia="宋体" w:cs="宋体"/>
                      <w:i w:val="0"/>
                      <w:iCs w:val="0"/>
                      <w:color w:val="auto"/>
                      <w:sz w:val="21"/>
                      <w:szCs w:val="21"/>
                      <w:u w:val="none" w:color="auto"/>
                    </w:rPr>
                  </w:pPr>
                </w:p>
              </w:tc>
              <w:tc>
                <w:tcPr>
                  <w:tcW w:w="532" w:type="pct"/>
                  <w:tcBorders>
                    <w:top w:val="nil"/>
                    <w:left w:val="nil"/>
                    <w:bottom w:val="single" w:color="000000" w:sz="8" w:space="0"/>
                    <w:right w:val="single" w:color="000000" w:sz="8" w:space="0"/>
                  </w:tcBorders>
                  <w:shd w:val="clear" w:color="auto" w:fill="auto"/>
                  <w:vAlign w:val="center"/>
                </w:tcPr>
                <w:p w14:paraId="490AFFFA">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Fonts w:hint="eastAsia" w:ascii="宋体" w:hAnsi="宋体" w:eastAsia="宋体" w:cs="宋体"/>
                      <w:i w:val="0"/>
                      <w:iCs w:val="0"/>
                      <w:color w:val="auto"/>
                      <w:kern w:val="0"/>
                      <w:sz w:val="21"/>
                      <w:szCs w:val="21"/>
                      <w:u w:val="none" w:color="auto"/>
                      <w:lang w:val="en-US" w:eastAsia="zh-CN" w:bidi="ar"/>
                    </w:rPr>
                    <w:t>产生浓度</w:t>
                  </w:r>
                  <w:r>
                    <w:rPr>
                      <w:rFonts w:hint="default" w:ascii="Times New Roman" w:hAnsi="Times New Roman" w:eastAsia="宋体" w:cs="Times New Roman"/>
                      <w:i w:val="0"/>
                      <w:iCs w:val="0"/>
                      <w:color w:val="auto"/>
                      <w:kern w:val="0"/>
                      <w:sz w:val="21"/>
                      <w:szCs w:val="21"/>
                      <w:u w:val="none" w:color="auto"/>
                      <w:lang w:val="en-US" w:eastAsia="zh-CN" w:bidi="ar"/>
                    </w:rPr>
                    <w:t>mg/L</w:t>
                  </w:r>
                </w:p>
              </w:tc>
              <w:tc>
                <w:tcPr>
                  <w:tcW w:w="630" w:type="pct"/>
                  <w:tcBorders>
                    <w:top w:val="nil"/>
                    <w:left w:val="nil"/>
                    <w:bottom w:val="single" w:color="000000" w:sz="8" w:space="0"/>
                    <w:right w:val="single" w:color="000000" w:sz="8" w:space="0"/>
                  </w:tcBorders>
                  <w:shd w:val="clear" w:color="auto" w:fill="auto"/>
                  <w:vAlign w:val="center"/>
                </w:tcPr>
                <w:p w14:paraId="13CED1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300</w:t>
                  </w:r>
                </w:p>
              </w:tc>
              <w:tc>
                <w:tcPr>
                  <w:tcW w:w="630" w:type="pct"/>
                  <w:tcBorders>
                    <w:top w:val="nil"/>
                    <w:left w:val="nil"/>
                    <w:bottom w:val="single" w:color="000000" w:sz="8" w:space="0"/>
                    <w:right w:val="single" w:color="000000" w:sz="8" w:space="0"/>
                  </w:tcBorders>
                  <w:shd w:val="clear" w:color="auto" w:fill="auto"/>
                  <w:vAlign w:val="center"/>
                </w:tcPr>
                <w:p w14:paraId="5943093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150</w:t>
                  </w:r>
                </w:p>
              </w:tc>
              <w:tc>
                <w:tcPr>
                  <w:tcW w:w="630" w:type="pct"/>
                  <w:tcBorders>
                    <w:top w:val="nil"/>
                    <w:left w:val="nil"/>
                    <w:bottom w:val="single" w:color="000000" w:sz="8" w:space="0"/>
                    <w:right w:val="single" w:color="000000" w:sz="8" w:space="0"/>
                  </w:tcBorders>
                  <w:shd w:val="clear" w:color="auto" w:fill="auto"/>
                  <w:vAlign w:val="center"/>
                </w:tcPr>
                <w:p w14:paraId="1A4779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120</w:t>
                  </w:r>
                </w:p>
              </w:tc>
              <w:tc>
                <w:tcPr>
                  <w:tcW w:w="630" w:type="pct"/>
                  <w:tcBorders>
                    <w:top w:val="nil"/>
                    <w:left w:val="nil"/>
                    <w:bottom w:val="single" w:color="000000" w:sz="8" w:space="0"/>
                    <w:right w:val="single" w:color="000000" w:sz="8" w:space="0"/>
                  </w:tcBorders>
                  <w:shd w:val="clear" w:color="auto" w:fill="auto"/>
                  <w:vAlign w:val="center"/>
                </w:tcPr>
                <w:p w14:paraId="104E97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eastAsia="zh-CN"/>
                    </w:rPr>
                  </w:pPr>
                  <w:r>
                    <w:rPr>
                      <w:rFonts w:hint="eastAsia" w:cs="Times New Roman"/>
                      <w:i w:val="0"/>
                      <w:iCs w:val="0"/>
                      <w:color w:val="auto"/>
                      <w:sz w:val="21"/>
                      <w:szCs w:val="21"/>
                      <w:highlight w:val="none"/>
                      <w:u w:val="none" w:color="auto"/>
                      <w:lang w:val="en-US" w:eastAsia="zh-CN"/>
                    </w:rPr>
                    <w:t>50</w:t>
                  </w:r>
                </w:p>
              </w:tc>
              <w:tc>
                <w:tcPr>
                  <w:tcW w:w="728" w:type="pct"/>
                  <w:tcBorders>
                    <w:top w:val="nil"/>
                    <w:left w:val="nil"/>
                    <w:bottom w:val="single" w:color="000000" w:sz="8" w:space="0"/>
                    <w:right w:val="single" w:color="000000" w:sz="8" w:space="0"/>
                  </w:tcBorders>
                  <w:shd w:val="clear" w:color="auto" w:fill="auto"/>
                  <w:vAlign w:val="center"/>
                </w:tcPr>
                <w:p w14:paraId="4CDF4C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rPr>
                  </w:pPr>
                  <w:r>
                    <w:rPr>
                      <w:rFonts w:hint="eastAsia" w:cs="Times New Roman"/>
                      <w:i w:val="0"/>
                      <w:iCs w:val="0"/>
                      <w:color w:val="auto"/>
                      <w:kern w:val="0"/>
                      <w:sz w:val="21"/>
                      <w:szCs w:val="21"/>
                      <w:u w:val="none" w:color="auto"/>
                      <w:lang w:val="en-US" w:eastAsia="zh-CN" w:bidi="ar"/>
                    </w:rPr>
                    <w:t>5</w:t>
                  </w:r>
                  <w:r>
                    <w:rPr>
                      <w:rFonts w:hint="default" w:ascii="Times New Roman" w:hAnsi="Times New Roman" w:eastAsia="宋体" w:cs="Times New Roman"/>
                      <w:i w:val="0"/>
                      <w:iCs w:val="0"/>
                      <w:color w:val="auto"/>
                      <w:kern w:val="0"/>
                      <w:sz w:val="21"/>
                      <w:szCs w:val="21"/>
                      <w:u w:val="none" w:color="auto"/>
                      <w:lang w:val="en-US" w:eastAsia="zh-CN" w:bidi="ar"/>
                    </w:rPr>
                    <w:t>00</w:t>
                  </w:r>
                  <w:r>
                    <w:rPr>
                      <w:rFonts w:hint="eastAsia" w:cs="Times New Roman"/>
                      <w:i w:val="0"/>
                      <w:iCs w:val="0"/>
                      <w:color w:val="auto"/>
                      <w:kern w:val="0"/>
                      <w:sz w:val="21"/>
                      <w:szCs w:val="21"/>
                      <w:u w:val="none" w:color="auto"/>
                      <w:lang w:val="en-US" w:eastAsia="zh-CN" w:bidi="ar"/>
                    </w:rPr>
                    <w:t>0</w:t>
                  </w:r>
                  <w:r>
                    <w:rPr>
                      <w:rFonts w:hint="eastAsia" w:ascii="宋体" w:hAnsi="宋体" w:eastAsia="宋体" w:cs="宋体"/>
                      <w:i w:val="0"/>
                      <w:iCs w:val="0"/>
                      <w:color w:val="auto"/>
                      <w:kern w:val="0"/>
                      <w:sz w:val="21"/>
                      <w:szCs w:val="21"/>
                      <w:u w:val="none" w:color="auto"/>
                      <w:lang w:val="en-US" w:eastAsia="zh-CN" w:bidi="ar"/>
                    </w:rPr>
                    <w:t>（</w:t>
                  </w:r>
                  <w:r>
                    <w:rPr>
                      <w:rFonts w:hint="default" w:ascii="Times New Roman" w:hAnsi="Times New Roman" w:eastAsia="宋体" w:cs="Times New Roman"/>
                      <w:i w:val="0"/>
                      <w:iCs w:val="0"/>
                      <w:color w:val="auto"/>
                      <w:kern w:val="0"/>
                      <w:sz w:val="21"/>
                      <w:szCs w:val="21"/>
                      <w:u w:val="none" w:color="auto"/>
                      <w:lang w:val="en-US" w:eastAsia="zh-CN" w:bidi="ar"/>
                    </w:rPr>
                    <w:t>MPN/L</w:t>
                  </w:r>
                  <w:r>
                    <w:rPr>
                      <w:rFonts w:hint="eastAsia" w:ascii="宋体" w:hAnsi="宋体" w:eastAsia="宋体" w:cs="宋体"/>
                      <w:i w:val="0"/>
                      <w:iCs w:val="0"/>
                      <w:color w:val="auto"/>
                      <w:kern w:val="0"/>
                      <w:sz w:val="21"/>
                      <w:szCs w:val="21"/>
                      <w:u w:val="none" w:color="auto"/>
                      <w:lang w:val="en-US" w:eastAsia="zh-CN" w:bidi="ar"/>
                    </w:rPr>
                    <w:t>）</w:t>
                  </w:r>
                </w:p>
              </w:tc>
              <w:tc>
                <w:tcPr>
                  <w:tcW w:w="524" w:type="pct"/>
                  <w:tcBorders>
                    <w:top w:val="nil"/>
                    <w:left w:val="nil"/>
                    <w:bottom w:val="single" w:color="000000" w:sz="8" w:space="0"/>
                    <w:right w:val="single" w:color="000000" w:sz="8" w:space="0"/>
                  </w:tcBorders>
                  <w:shd w:val="clear" w:color="auto" w:fill="auto"/>
                  <w:vAlign w:val="center"/>
                </w:tcPr>
                <w:p w14:paraId="07D1B5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lang w:val="en-US"/>
                    </w:rPr>
                  </w:pPr>
                  <w:r>
                    <w:rPr>
                      <w:rFonts w:hint="eastAsia" w:cs="Times New Roman"/>
                      <w:i w:val="0"/>
                      <w:iCs w:val="0"/>
                      <w:color w:val="auto"/>
                      <w:kern w:val="0"/>
                      <w:sz w:val="21"/>
                      <w:szCs w:val="21"/>
                      <w:u w:val="none" w:color="auto"/>
                      <w:lang w:val="en-US" w:eastAsia="zh-CN" w:bidi="ar"/>
                    </w:rPr>
                    <w:t>20</w:t>
                  </w:r>
                </w:p>
              </w:tc>
            </w:tr>
            <w:tr w14:paraId="530C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223" w:type="pct"/>
                  <w:gridSpan w:val="2"/>
                  <w:tcBorders>
                    <w:top w:val="nil"/>
                    <w:left w:val="single" w:color="000000" w:sz="8" w:space="0"/>
                    <w:bottom w:val="nil"/>
                    <w:right w:val="single" w:color="000000" w:sz="8" w:space="0"/>
                  </w:tcBorders>
                  <w:shd w:val="clear" w:color="auto" w:fill="auto"/>
                  <w:vAlign w:val="center"/>
                </w:tcPr>
                <w:p w14:paraId="27F60A6F">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Fonts w:hint="eastAsia" w:ascii="宋体" w:hAnsi="宋体" w:eastAsia="宋体" w:cs="宋体"/>
                      <w:i w:val="0"/>
                      <w:iCs w:val="0"/>
                      <w:color w:val="auto"/>
                      <w:kern w:val="0"/>
                      <w:sz w:val="21"/>
                      <w:szCs w:val="21"/>
                      <w:u w:val="none" w:color="auto"/>
                      <w:lang w:val="en-US" w:eastAsia="zh-CN" w:bidi="ar"/>
                    </w:rPr>
                    <w:t>院区污水处理站处理</w:t>
                  </w:r>
                </w:p>
              </w:tc>
              <w:tc>
                <w:tcPr>
                  <w:tcW w:w="630" w:type="pct"/>
                  <w:vMerge w:val="restart"/>
                  <w:tcBorders>
                    <w:top w:val="nil"/>
                    <w:left w:val="nil"/>
                    <w:bottom w:val="single" w:color="000000" w:sz="8" w:space="0"/>
                    <w:right w:val="single" w:color="000000" w:sz="8" w:space="0"/>
                  </w:tcBorders>
                  <w:shd w:val="clear" w:color="auto" w:fill="auto"/>
                  <w:vAlign w:val="center"/>
                </w:tcPr>
                <w:p w14:paraId="1EB854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lang w:val="en-US"/>
                    </w:rPr>
                  </w:pPr>
                  <w:r>
                    <w:rPr>
                      <w:rFonts w:hint="eastAsia" w:cs="Times New Roman"/>
                      <w:i w:val="0"/>
                      <w:iCs w:val="0"/>
                      <w:color w:val="auto"/>
                      <w:kern w:val="0"/>
                      <w:sz w:val="21"/>
                      <w:szCs w:val="21"/>
                      <w:highlight w:val="none"/>
                      <w:u w:val="none"/>
                      <w:lang w:val="en-US" w:eastAsia="zh-CN" w:bidi="ar"/>
                    </w:rPr>
                    <w:t>76</w:t>
                  </w:r>
                </w:p>
              </w:tc>
              <w:tc>
                <w:tcPr>
                  <w:tcW w:w="630" w:type="pct"/>
                  <w:vMerge w:val="restart"/>
                  <w:tcBorders>
                    <w:top w:val="nil"/>
                    <w:left w:val="nil"/>
                    <w:bottom w:val="single" w:color="000000" w:sz="8" w:space="0"/>
                    <w:right w:val="single" w:color="000000" w:sz="8" w:space="0"/>
                  </w:tcBorders>
                  <w:shd w:val="clear" w:color="auto" w:fill="auto"/>
                  <w:vAlign w:val="center"/>
                </w:tcPr>
                <w:p w14:paraId="4EFB5F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lang w:val="en-US"/>
                    </w:rPr>
                  </w:pPr>
                  <w:r>
                    <w:rPr>
                      <w:rFonts w:hint="eastAsia" w:cs="Times New Roman"/>
                      <w:i w:val="0"/>
                      <w:iCs w:val="0"/>
                      <w:color w:val="auto"/>
                      <w:sz w:val="21"/>
                      <w:szCs w:val="21"/>
                      <w:highlight w:val="none"/>
                      <w:u w:val="none"/>
                      <w:lang w:val="en-US" w:eastAsia="zh-CN"/>
                    </w:rPr>
                    <w:t>80</w:t>
                  </w:r>
                </w:p>
              </w:tc>
              <w:tc>
                <w:tcPr>
                  <w:tcW w:w="630" w:type="pct"/>
                  <w:vMerge w:val="restart"/>
                  <w:tcBorders>
                    <w:top w:val="nil"/>
                    <w:left w:val="nil"/>
                    <w:bottom w:val="single" w:color="000000" w:sz="8" w:space="0"/>
                    <w:right w:val="single" w:color="000000" w:sz="8" w:space="0"/>
                  </w:tcBorders>
                  <w:shd w:val="clear" w:color="auto" w:fill="auto"/>
                  <w:vAlign w:val="center"/>
                </w:tcPr>
                <w:p w14:paraId="271FE9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lang w:val="en-US"/>
                    </w:rPr>
                  </w:pPr>
                  <w:r>
                    <w:rPr>
                      <w:rFonts w:hint="eastAsia" w:cs="Times New Roman"/>
                      <w:i w:val="0"/>
                      <w:iCs w:val="0"/>
                      <w:color w:val="auto"/>
                      <w:sz w:val="21"/>
                      <w:szCs w:val="21"/>
                      <w:highlight w:val="none"/>
                      <w:u w:val="none"/>
                      <w:lang w:val="en-US" w:eastAsia="zh-CN"/>
                    </w:rPr>
                    <w:t>66.7</w:t>
                  </w:r>
                </w:p>
              </w:tc>
              <w:tc>
                <w:tcPr>
                  <w:tcW w:w="630" w:type="pct"/>
                  <w:vMerge w:val="restart"/>
                  <w:tcBorders>
                    <w:top w:val="nil"/>
                    <w:left w:val="nil"/>
                    <w:bottom w:val="single" w:color="000000" w:sz="8" w:space="0"/>
                    <w:right w:val="single" w:color="000000" w:sz="8" w:space="0"/>
                  </w:tcBorders>
                  <w:shd w:val="clear" w:color="auto" w:fill="auto"/>
                  <w:vAlign w:val="center"/>
                </w:tcPr>
                <w:p w14:paraId="3A8E42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lang w:val="en-US" w:eastAsia="zh-CN"/>
                    </w:rPr>
                  </w:pPr>
                  <w:r>
                    <w:rPr>
                      <w:rFonts w:hint="eastAsia" w:cs="Times New Roman"/>
                      <w:i w:val="0"/>
                      <w:iCs w:val="0"/>
                      <w:color w:val="auto"/>
                      <w:sz w:val="21"/>
                      <w:szCs w:val="21"/>
                      <w:highlight w:val="none"/>
                      <w:u w:val="none" w:color="auto"/>
                      <w:lang w:val="en-US" w:eastAsia="zh-CN"/>
                    </w:rPr>
                    <w:t>72</w:t>
                  </w:r>
                </w:p>
              </w:tc>
              <w:tc>
                <w:tcPr>
                  <w:tcW w:w="728" w:type="pct"/>
                  <w:vMerge w:val="restart"/>
                  <w:tcBorders>
                    <w:top w:val="nil"/>
                    <w:left w:val="nil"/>
                    <w:bottom w:val="single" w:color="000000" w:sz="8" w:space="0"/>
                    <w:right w:val="single" w:color="000000" w:sz="8" w:space="0"/>
                  </w:tcBorders>
                  <w:shd w:val="clear" w:color="auto" w:fill="auto"/>
                  <w:vAlign w:val="center"/>
                </w:tcPr>
                <w:p w14:paraId="53F9A37D">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Fonts w:hint="eastAsia" w:ascii="宋体" w:hAnsi="宋体" w:eastAsia="宋体" w:cs="宋体"/>
                      <w:i w:val="0"/>
                      <w:iCs w:val="0"/>
                      <w:color w:val="auto"/>
                      <w:kern w:val="0"/>
                      <w:sz w:val="21"/>
                      <w:szCs w:val="21"/>
                      <w:u w:val="none" w:color="auto"/>
                      <w:lang w:val="en-US" w:eastAsia="zh-CN" w:bidi="ar"/>
                    </w:rPr>
                    <w:t>≈</w:t>
                  </w:r>
                  <w:r>
                    <w:rPr>
                      <w:rFonts w:hint="default" w:ascii="Times New Roman" w:hAnsi="Times New Roman" w:eastAsia="宋体" w:cs="Times New Roman"/>
                      <w:i w:val="0"/>
                      <w:iCs w:val="0"/>
                      <w:color w:val="auto"/>
                      <w:kern w:val="0"/>
                      <w:sz w:val="21"/>
                      <w:szCs w:val="21"/>
                      <w:u w:val="none" w:color="auto"/>
                      <w:lang w:val="en-US" w:eastAsia="zh-CN" w:bidi="ar"/>
                    </w:rPr>
                    <w:t>100</w:t>
                  </w:r>
                </w:p>
              </w:tc>
              <w:tc>
                <w:tcPr>
                  <w:tcW w:w="524" w:type="pct"/>
                  <w:vMerge w:val="restart"/>
                  <w:tcBorders>
                    <w:top w:val="nil"/>
                    <w:left w:val="nil"/>
                    <w:bottom w:val="single" w:color="000000" w:sz="8" w:space="0"/>
                    <w:right w:val="single" w:color="000000" w:sz="8" w:space="0"/>
                  </w:tcBorders>
                  <w:shd w:val="clear" w:color="auto" w:fill="auto"/>
                  <w:vAlign w:val="center"/>
                </w:tcPr>
                <w:p w14:paraId="189F38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lang w:val="en-US"/>
                    </w:rPr>
                  </w:pPr>
                  <w:r>
                    <w:rPr>
                      <w:rFonts w:hint="eastAsia" w:cs="Times New Roman"/>
                      <w:i w:val="0"/>
                      <w:iCs w:val="0"/>
                      <w:color w:val="auto"/>
                      <w:kern w:val="0"/>
                      <w:sz w:val="21"/>
                      <w:szCs w:val="21"/>
                      <w:u w:val="none" w:color="auto"/>
                      <w:lang w:val="en-US" w:eastAsia="zh-CN" w:bidi="ar"/>
                    </w:rPr>
                    <w:t>75</w:t>
                  </w:r>
                </w:p>
              </w:tc>
            </w:tr>
            <w:tr w14:paraId="2028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23" w:type="pct"/>
                  <w:gridSpan w:val="2"/>
                  <w:tcBorders>
                    <w:top w:val="nil"/>
                    <w:left w:val="single" w:color="000000" w:sz="8" w:space="0"/>
                    <w:bottom w:val="single" w:color="000000" w:sz="8" w:space="0"/>
                    <w:right w:val="single" w:color="000000" w:sz="8" w:space="0"/>
                  </w:tcBorders>
                  <w:shd w:val="clear" w:color="auto" w:fill="auto"/>
                  <w:vAlign w:val="center"/>
                </w:tcPr>
                <w:p w14:paraId="417D8B73">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Fonts w:hint="eastAsia" w:ascii="宋体" w:hAnsi="宋体" w:eastAsia="宋体" w:cs="宋体"/>
                      <w:i w:val="0"/>
                      <w:iCs w:val="0"/>
                      <w:color w:val="auto"/>
                      <w:kern w:val="0"/>
                      <w:sz w:val="21"/>
                      <w:szCs w:val="21"/>
                      <w:u w:val="none" w:color="auto"/>
                      <w:lang w:val="en-US" w:eastAsia="zh-CN" w:bidi="ar"/>
                    </w:rPr>
                    <w:t>效率（</w:t>
                  </w:r>
                  <w:r>
                    <w:rPr>
                      <w:rFonts w:hint="default" w:ascii="Times New Roman" w:hAnsi="Times New Roman" w:eastAsia="宋体" w:cs="Times New Roman"/>
                      <w:i w:val="0"/>
                      <w:iCs w:val="0"/>
                      <w:color w:val="auto"/>
                      <w:kern w:val="0"/>
                      <w:sz w:val="21"/>
                      <w:szCs w:val="21"/>
                      <w:u w:val="none" w:color="auto"/>
                      <w:lang w:val="en-US" w:eastAsia="zh-CN" w:bidi="ar"/>
                    </w:rPr>
                    <w:t>%</w:t>
                  </w:r>
                  <w:r>
                    <w:rPr>
                      <w:rFonts w:hint="eastAsia" w:ascii="宋体" w:hAnsi="宋体" w:eastAsia="宋体" w:cs="宋体"/>
                      <w:i w:val="0"/>
                      <w:iCs w:val="0"/>
                      <w:color w:val="auto"/>
                      <w:kern w:val="0"/>
                      <w:sz w:val="21"/>
                      <w:szCs w:val="21"/>
                      <w:u w:val="none" w:color="auto"/>
                      <w:lang w:val="en-US" w:eastAsia="zh-CN" w:bidi="ar"/>
                    </w:rPr>
                    <w:t>）</w:t>
                  </w:r>
                </w:p>
              </w:tc>
              <w:tc>
                <w:tcPr>
                  <w:tcW w:w="630" w:type="pct"/>
                  <w:vMerge w:val="continue"/>
                  <w:tcBorders>
                    <w:top w:val="nil"/>
                    <w:left w:val="nil"/>
                    <w:bottom w:val="single" w:color="000000" w:sz="8" w:space="0"/>
                    <w:right w:val="single" w:color="000000" w:sz="8" w:space="0"/>
                  </w:tcBorders>
                  <w:shd w:val="clear" w:color="auto" w:fill="auto"/>
                  <w:vAlign w:val="center"/>
                </w:tcPr>
                <w:p w14:paraId="67005931">
                  <w:pPr>
                    <w:jc w:val="center"/>
                    <w:rPr>
                      <w:rFonts w:hint="default" w:ascii="Times New Roman" w:hAnsi="Times New Roman" w:eastAsia="宋体" w:cs="Times New Roman"/>
                      <w:i w:val="0"/>
                      <w:iCs w:val="0"/>
                      <w:color w:val="auto"/>
                      <w:sz w:val="21"/>
                      <w:szCs w:val="21"/>
                      <w:highlight w:val="red"/>
                      <w:u w:val="none" w:color="auto"/>
                    </w:rPr>
                  </w:pPr>
                </w:p>
              </w:tc>
              <w:tc>
                <w:tcPr>
                  <w:tcW w:w="630" w:type="pct"/>
                  <w:vMerge w:val="continue"/>
                  <w:tcBorders>
                    <w:top w:val="nil"/>
                    <w:left w:val="nil"/>
                    <w:bottom w:val="single" w:color="000000" w:sz="8" w:space="0"/>
                    <w:right w:val="single" w:color="000000" w:sz="8" w:space="0"/>
                  </w:tcBorders>
                  <w:shd w:val="clear" w:color="auto" w:fill="auto"/>
                  <w:vAlign w:val="center"/>
                </w:tcPr>
                <w:p w14:paraId="4750D751">
                  <w:pPr>
                    <w:jc w:val="center"/>
                    <w:rPr>
                      <w:rFonts w:hint="default" w:ascii="Times New Roman" w:hAnsi="Times New Roman" w:eastAsia="宋体" w:cs="Times New Roman"/>
                      <w:i w:val="0"/>
                      <w:iCs w:val="0"/>
                      <w:color w:val="auto"/>
                      <w:sz w:val="21"/>
                      <w:szCs w:val="21"/>
                      <w:highlight w:val="red"/>
                      <w:u w:val="none" w:color="auto"/>
                    </w:rPr>
                  </w:pPr>
                </w:p>
              </w:tc>
              <w:tc>
                <w:tcPr>
                  <w:tcW w:w="630" w:type="pct"/>
                  <w:vMerge w:val="continue"/>
                  <w:tcBorders>
                    <w:top w:val="nil"/>
                    <w:left w:val="nil"/>
                    <w:bottom w:val="single" w:color="000000" w:sz="8" w:space="0"/>
                    <w:right w:val="single" w:color="000000" w:sz="8" w:space="0"/>
                  </w:tcBorders>
                  <w:shd w:val="clear" w:color="auto" w:fill="auto"/>
                  <w:vAlign w:val="center"/>
                </w:tcPr>
                <w:p w14:paraId="6FE8B817">
                  <w:pPr>
                    <w:jc w:val="center"/>
                    <w:rPr>
                      <w:rFonts w:hint="default" w:ascii="Times New Roman" w:hAnsi="Times New Roman" w:eastAsia="宋体" w:cs="Times New Roman"/>
                      <w:i w:val="0"/>
                      <w:iCs w:val="0"/>
                      <w:color w:val="auto"/>
                      <w:sz w:val="21"/>
                      <w:szCs w:val="21"/>
                      <w:highlight w:val="red"/>
                      <w:u w:val="none" w:color="auto"/>
                    </w:rPr>
                  </w:pPr>
                </w:p>
              </w:tc>
              <w:tc>
                <w:tcPr>
                  <w:tcW w:w="630" w:type="pct"/>
                  <w:vMerge w:val="continue"/>
                  <w:tcBorders>
                    <w:top w:val="nil"/>
                    <w:left w:val="nil"/>
                    <w:bottom w:val="single" w:color="000000" w:sz="8" w:space="0"/>
                    <w:right w:val="single" w:color="000000" w:sz="8" w:space="0"/>
                  </w:tcBorders>
                  <w:shd w:val="clear" w:color="auto" w:fill="auto"/>
                  <w:vAlign w:val="center"/>
                </w:tcPr>
                <w:p w14:paraId="712A439E">
                  <w:pPr>
                    <w:jc w:val="center"/>
                    <w:rPr>
                      <w:rFonts w:hint="default" w:ascii="Times New Roman" w:hAnsi="Times New Roman" w:eastAsia="宋体" w:cs="Times New Roman"/>
                      <w:i w:val="0"/>
                      <w:iCs w:val="0"/>
                      <w:color w:val="auto"/>
                      <w:sz w:val="21"/>
                      <w:szCs w:val="21"/>
                      <w:highlight w:val="red"/>
                      <w:u w:val="none" w:color="auto"/>
                    </w:rPr>
                  </w:pPr>
                </w:p>
              </w:tc>
              <w:tc>
                <w:tcPr>
                  <w:tcW w:w="728" w:type="pct"/>
                  <w:vMerge w:val="continue"/>
                  <w:tcBorders>
                    <w:top w:val="nil"/>
                    <w:left w:val="nil"/>
                    <w:bottom w:val="single" w:color="000000" w:sz="8" w:space="0"/>
                    <w:right w:val="single" w:color="000000" w:sz="8" w:space="0"/>
                  </w:tcBorders>
                  <w:shd w:val="clear" w:color="auto" w:fill="auto"/>
                  <w:vAlign w:val="center"/>
                </w:tcPr>
                <w:p w14:paraId="43D9B301">
                  <w:pPr>
                    <w:jc w:val="center"/>
                    <w:rPr>
                      <w:rFonts w:hint="eastAsia" w:ascii="宋体" w:hAnsi="宋体" w:eastAsia="宋体" w:cs="宋体"/>
                      <w:i w:val="0"/>
                      <w:iCs w:val="0"/>
                      <w:color w:val="auto"/>
                      <w:sz w:val="21"/>
                      <w:szCs w:val="21"/>
                      <w:u w:val="none" w:color="auto"/>
                    </w:rPr>
                  </w:pPr>
                </w:p>
              </w:tc>
              <w:tc>
                <w:tcPr>
                  <w:tcW w:w="524" w:type="pct"/>
                  <w:vMerge w:val="continue"/>
                  <w:tcBorders>
                    <w:top w:val="nil"/>
                    <w:left w:val="nil"/>
                    <w:bottom w:val="single" w:color="000000" w:sz="8" w:space="0"/>
                    <w:right w:val="single" w:color="000000" w:sz="8" w:space="0"/>
                  </w:tcBorders>
                  <w:shd w:val="clear" w:color="auto" w:fill="auto"/>
                  <w:vAlign w:val="center"/>
                </w:tcPr>
                <w:p w14:paraId="68139FFA">
                  <w:pPr>
                    <w:jc w:val="center"/>
                    <w:rPr>
                      <w:rFonts w:hint="default" w:ascii="Times New Roman" w:hAnsi="Times New Roman" w:eastAsia="宋体" w:cs="Times New Roman"/>
                      <w:i w:val="0"/>
                      <w:iCs w:val="0"/>
                      <w:color w:val="auto"/>
                      <w:sz w:val="21"/>
                      <w:szCs w:val="21"/>
                      <w:u w:val="none" w:color="auto"/>
                    </w:rPr>
                  </w:pPr>
                </w:p>
              </w:tc>
            </w:tr>
            <w:tr w14:paraId="0AA1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223" w:type="pct"/>
                  <w:gridSpan w:val="2"/>
                  <w:tcBorders>
                    <w:top w:val="nil"/>
                    <w:left w:val="single" w:color="000000" w:sz="8" w:space="0"/>
                    <w:bottom w:val="single" w:color="000000" w:sz="8" w:space="0"/>
                    <w:right w:val="single" w:color="000000" w:sz="8" w:space="0"/>
                  </w:tcBorders>
                  <w:shd w:val="clear" w:color="auto" w:fill="auto"/>
                  <w:vAlign w:val="center"/>
                </w:tcPr>
                <w:p w14:paraId="16E4E97F">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Fonts w:hint="eastAsia" w:ascii="宋体" w:hAnsi="宋体" w:eastAsia="宋体" w:cs="宋体"/>
                      <w:i w:val="0"/>
                      <w:iCs w:val="0"/>
                      <w:color w:val="auto"/>
                      <w:kern w:val="0"/>
                      <w:sz w:val="21"/>
                      <w:szCs w:val="21"/>
                      <w:u w:val="none" w:color="auto"/>
                      <w:lang w:val="en-US" w:eastAsia="zh-CN" w:bidi="ar"/>
                    </w:rPr>
                    <w:t>污水处理站处理后排放浓度</w:t>
                  </w:r>
                  <w:r>
                    <w:rPr>
                      <w:rFonts w:hint="default" w:ascii="Times New Roman" w:hAnsi="Times New Roman" w:eastAsia="宋体" w:cs="Times New Roman"/>
                      <w:i w:val="0"/>
                      <w:iCs w:val="0"/>
                      <w:color w:val="auto"/>
                      <w:kern w:val="0"/>
                      <w:sz w:val="21"/>
                      <w:szCs w:val="21"/>
                      <w:u w:val="none" w:color="auto"/>
                      <w:lang w:val="en-US" w:eastAsia="zh-CN" w:bidi="ar"/>
                    </w:rPr>
                    <w:t>mg/L</w:t>
                  </w:r>
                </w:p>
              </w:tc>
              <w:tc>
                <w:tcPr>
                  <w:tcW w:w="630" w:type="pct"/>
                  <w:tcBorders>
                    <w:top w:val="nil"/>
                    <w:left w:val="nil"/>
                    <w:bottom w:val="single" w:color="000000" w:sz="8" w:space="0"/>
                    <w:right w:val="single" w:color="000000" w:sz="8" w:space="0"/>
                  </w:tcBorders>
                  <w:shd w:val="clear" w:color="auto" w:fill="auto"/>
                  <w:vAlign w:val="center"/>
                </w:tcPr>
                <w:p w14:paraId="4E99154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630" w:type="pct"/>
                  <w:tcBorders>
                    <w:top w:val="nil"/>
                    <w:left w:val="nil"/>
                    <w:bottom w:val="single" w:color="000000" w:sz="8" w:space="0"/>
                    <w:right w:val="single" w:color="000000" w:sz="8" w:space="0"/>
                  </w:tcBorders>
                  <w:shd w:val="clear" w:color="auto" w:fill="auto"/>
                  <w:vAlign w:val="center"/>
                </w:tcPr>
                <w:p w14:paraId="4BE4BB2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630" w:type="pct"/>
                  <w:tcBorders>
                    <w:top w:val="nil"/>
                    <w:left w:val="nil"/>
                    <w:bottom w:val="single" w:color="000000" w:sz="8" w:space="0"/>
                    <w:right w:val="single" w:color="000000" w:sz="8" w:space="0"/>
                  </w:tcBorders>
                  <w:shd w:val="clear" w:color="auto" w:fill="auto"/>
                  <w:vAlign w:val="center"/>
                </w:tcPr>
                <w:p w14:paraId="16D208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630" w:type="pct"/>
                  <w:tcBorders>
                    <w:top w:val="nil"/>
                    <w:left w:val="nil"/>
                    <w:bottom w:val="single" w:color="000000" w:sz="8" w:space="0"/>
                    <w:right w:val="single" w:color="000000" w:sz="8" w:space="0"/>
                  </w:tcBorders>
                  <w:shd w:val="clear" w:color="auto" w:fill="auto"/>
                  <w:vAlign w:val="center"/>
                </w:tcPr>
                <w:p w14:paraId="1714B7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red"/>
                      <w:u w:val="none" w:color="auto"/>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728" w:type="pct"/>
                  <w:tcBorders>
                    <w:top w:val="nil"/>
                    <w:left w:val="nil"/>
                    <w:bottom w:val="single" w:color="000000" w:sz="8" w:space="0"/>
                    <w:right w:val="single" w:color="000000" w:sz="8" w:space="0"/>
                  </w:tcBorders>
                  <w:shd w:val="clear" w:color="auto" w:fill="auto"/>
                  <w:vAlign w:val="center"/>
                </w:tcPr>
                <w:p w14:paraId="5019E7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rPr>
                  </w:pPr>
                  <w:r>
                    <w:rPr>
                      <w:rFonts w:hint="default" w:ascii="Times New Roman" w:hAnsi="Times New Roman" w:eastAsia="宋体" w:cs="Times New Roman"/>
                      <w:i w:val="0"/>
                      <w:iCs w:val="0"/>
                      <w:color w:val="auto"/>
                      <w:kern w:val="0"/>
                      <w:sz w:val="21"/>
                      <w:szCs w:val="21"/>
                      <w:u w:val="none" w:color="auto"/>
                      <w:lang w:val="en-US" w:eastAsia="zh-CN" w:bidi="ar"/>
                    </w:rPr>
                    <w:t>/</w:t>
                  </w:r>
                </w:p>
              </w:tc>
              <w:tc>
                <w:tcPr>
                  <w:tcW w:w="524" w:type="pct"/>
                  <w:tcBorders>
                    <w:top w:val="nil"/>
                    <w:left w:val="nil"/>
                    <w:bottom w:val="single" w:color="000000" w:sz="8" w:space="0"/>
                    <w:right w:val="single" w:color="000000" w:sz="8" w:space="0"/>
                  </w:tcBorders>
                  <w:shd w:val="clear" w:color="auto" w:fill="auto"/>
                  <w:vAlign w:val="center"/>
                </w:tcPr>
                <w:p w14:paraId="114C781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rPr>
                  </w:pPr>
                  <w:r>
                    <w:rPr>
                      <w:rFonts w:hint="eastAsia" w:cs="Times New Roman"/>
                      <w:i w:val="0"/>
                      <w:iCs w:val="0"/>
                      <w:color w:val="auto"/>
                      <w:kern w:val="0"/>
                      <w:sz w:val="21"/>
                      <w:szCs w:val="21"/>
                      <w:u w:val="none" w:color="auto"/>
                      <w:lang w:val="en-US" w:eastAsia="zh-CN" w:bidi="ar"/>
                    </w:rPr>
                    <w:t>5</w:t>
                  </w:r>
                </w:p>
              </w:tc>
            </w:tr>
            <w:tr w14:paraId="7FB5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223" w:type="pct"/>
                  <w:gridSpan w:val="2"/>
                  <w:tcBorders>
                    <w:top w:val="nil"/>
                    <w:left w:val="single" w:color="000000" w:sz="8" w:space="0"/>
                    <w:bottom w:val="single" w:color="000000" w:sz="8" w:space="0"/>
                    <w:right w:val="single" w:color="000000" w:sz="8" w:space="0"/>
                  </w:tcBorders>
                  <w:shd w:val="clear" w:color="auto" w:fill="auto"/>
                  <w:vAlign w:val="center"/>
                </w:tcPr>
                <w:p w14:paraId="6F0E4C84">
                  <w:pPr>
                    <w:keepNext w:val="0"/>
                    <w:keepLines w:val="0"/>
                    <w:widowControl/>
                    <w:suppressLineNumbers w:val="0"/>
                    <w:jc w:val="center"/>
                    <w:textAlignment w:val="center"/>
                    <w:rPr>
                      <w:rFonts w:hint="eastAsia" w:ascii="宋体" w:hAnsi="宋体" w:eastAsia="宋体" w:cs="宋体"/>
                      <w:i w:val="0"/>
                      <w:iCs w:val="0"/>
                      <w:color w:val="auto"/>
                      <w:sz w:val="21"/>
                      <w:szCs w:val="21"/>
                      <w:u w:val="none" w:color="auto"/>
                    </w:rPr>
                  </w:pPr>
                  <w:r>
                    <w:rPr>
                      <w:rStyle w:val="50"/>
                      <w:color w:val="auto"/>
                      <w:u w:val="none" w:color="auto"/>
                      <w:lang w:val="en-US" w:eastAsia="zh-CN" w:bidi="ar"/>
                    </w:rPr>
                    <w:t>污水处理站处理后排放量</w:t>
                  </w:r>
                  <w:r>
                    <w:rPr>
                      <w:rStyle w:val="51"/>
                      <w:rFonts w:eastAsia="宋体"/>
                      <w:color w:val="auto"/>
                      <w:u w:val="none" w:color="auto"/>
                      <w:lang w:val="en-US" w:eastAsia="zh-CN" w:bidi="ar"/>
                    </w:rPr>
                    <w:t>t/a</w:t>
                  </w:r>
                </w:p>
              </w:tc>
              <w:tc>
                <w:tcPr>
                  <w:tcW w:w="630" w:type="pct"/>
                  <w:tcBorders>
                    <w:top w:val="nil"/>
                    <w:left w:val="nil"/>
                    <w:bottom w:val="single" w:color="000000" w:sz="8" w:space="0"/>
                    <w:right w:val="single" w:color="000000" w:sz="8" w:space="0"/>
                  </w:tcBorders>
                  <w:shd w:val="clear" w:color="auto" w:fill="auto"/>
                  <w:vAlign w:val="center"/>
                </w:tcPr>
                <w:p w14:paraId="765037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0.2236</w:t>
                  </w:r>
                </w:p>
              </w:tc>
              <w:tc>
                <w:tcPr>
                  <w:tcW w:w="630" w:type="pct"/>
                  <w:tcBorders>
                    <w:top w:val="nil"/>
                    <w:left w:val="nil"/>
                    <w:bottom w:val="single" w:color="000000" w:sz="8" w:space="0"/>
                    <w:right w:val="single" w:color="000000" w:sz="8" w:space="0"/>
                  </w:tcBorders>
                  <w:shd w:val="clear" w:color="auto" w:fill="auto"/>
                  <w:vAlign w:val="center"/>
                </w:tcPr>
                <w:p w14:paraId="6933DDB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0.0745</w:t>
                  </w:r>
                </w:p>
              </w:tc>
              <w:tc>
                <w:tcPr>
                  <w:tcW w:w="630" w:type="pct"/>
                  <w:tcBorders>
                    <w:top w:val="nil"/>
                    <w:left w:val="nil"/>
                    <w:bottom w:val="single" w:color="000000" w:sz="8" w:space="0"/>
                    <w:right w:val="single" w:color="000000" w:sz="8" w:space="0"/>
                  </w:tcBorders>
                  <w:shd w:val="clear" w:color="auto" w:fill="auto"/>
                  <w:vAlign w:val="center"/>
                </w:tcPr>
                <w:p w14:paraId="0EE810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0.0743</w:t>
                  </w:r>
                </w:p>
              </w:tc>
              <w:tc>
                <w:tcPr>
                  <w:tcW w:w="630" w:type="pct"/>
                  <w:tcBorders>
                    <w:top w:val="nil"/>
                    <w:left w:val="nil"/>
                    <w:bottom w:val="single" w:color="000000" w:sz="8" w:space="0"/>
                    <w:right w:val="single" w:color="000000" w:sz="8" w:space="0"/>
                  </w:tcBorders>
                  <w:shd w:val="clear" w:color="auto" w:fill="auto"/>
                  <w:vAlign w:val="center"/>
                </w:tcPr>
                <w:p w14:paraId="55B852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color="auto"/>
                      <w:lang w:val="en-US"/>
                    </w:rPr>
                  </w:pPr>
                  <w:r>
                    <w:rPr>
                      <w:rFonts w:hint="eastAsia" w:cs="Times New Roman"/>
                      <w:i w:val="0"/>
                      <w:iCs w:val="0"/>
                      <w:color w:val="auto"/>
                      <w:kern w:val="0"/>
                      <w:sz w:val="21"/>
                      <w:szCs w:val="21"/>
                      <w:highlight w:val="none"/>
                      <w:u w:val="none" w:color="auto"/>
                      <w:lang w:val="en-US" w:eastAsia="zh-CN" w:bidi="ar"/>
                    </w:rPr>
                    <w:t>0.0559</w:t>
                  </w:r>
                </w:p>
              </w:tc>
              <w:tc>
                <w:tcPr>
                  <w:tcW w:w="728" w:type="pct"/>
                  <w:tcBorders>
                    <w:top w:val="nil"/>
                    <w:left w:val="nil"/>
                    <w:bottom w:val="single" w:color="000000" w:sz="8" w:space="0"/>
                    <w:right w:val="single" w:color="000000" w:sz="8" w:space="0"/>
                  </w:tcBorders>
                  <w:shd w:val="clear" w:color="auto" w:fill="auto"/>
                  <w:vAlign w:val="center"/>
                </w:tcPr>
                <w:p w14:paraId="4FA952C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rPr>
                  </w:pPr>
                  <w:r>
                    <w:rPr>
                      <w:rStyle w:val="52"/>
                      <w:rFonts w:eastAsia="宋体"/>
                      <w:color w:val="auto"/>
                      <w:u w:val="none" w:color="auto"/>
                      <w:lang w:val="en-US" w:eastAsia="zh-CN" w:bidi="ar"/>
                    </w:rPr>
                    <w:t>/</w:t>
                  </w:r>
                </w:p>
              </w:tc>
              <w:tc>
                <w:tcPr>
                  <w:tcW w:w="524" w:type="pct"/>
                  <w:tcBorders>
                    <w:top w:val="nil"/>
                    <w:left w:val="nil"/>
                    <w:bottom w:val="single" w:color="000000" w:sz="8" w:space="0"/>
                    <w:right w:val="single" w:color="000000" w:sz="8" w:space="0"/>
                  </w:tcBorders>
                  <w:shd w:val="clear" w:color="auto" w:fill="auto"/>
                  <w:vAlign w:val="center"/>
                </w:tcPr>
                <w:p w14:paraId="7B285D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color="auto"/>
                      <w:lang w:val="en-US"/>
                    </w:rPr>
                  </w:pPr>
                  <w:r>
                    <w:rPr>
                      <w:rFonts w:hint="eastAsia" w:cs="Times New Roman"/>
                      <w:i w:val="0"/>
                      <w:iCs w:val="0"/>
                      <w:color w:val="auto"/>
                      <w:kern w:val="0"/>
                      <w:sz w:val="21"/>
                      <w:szCs w:val="21"/>
                      <w:u w:val="none" w:color="auto"/>
                      <w:lang w:val="en-US" w:eastAsia="zh-CN" w:bidi="ar"/>
                    </w:rPr>
                    <w:t>0.0186</w:t>
                  </w:r>
                </w:p>
              </w:tc>
            </w:tr>
          </w:tbl>
          <w:p w14:paraId="28F0EE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z w:val="24"/>
                <w:szCs w:val="24"/>
                <w:u w:val="none" w:color="auto"/>
                <w:lang w:eastAsia="zh-CN"/>
              </w:rPr>
            </w:pPr>
            <w:r>
              <w:rPr>
                <w:rFonts w:hint="eastAsia" w:ascii="Times New Roman" w:hAnsi="Times New Roman" w:eastAsia="宋体"/>
                <w:color w:val="auto"/>
                <w:sz w:val="24"/>
                <w:szCs w:val="24"/>
                <w:u w:val="none" w:color="auto"/>
                <w:lang w:eastAsia="zh-CN"/>
              </w:rPr>
              <w:t>（</w:t>
            </w:r>
            <w:r>
              <w:rPr>
                <w:rFonts w:hint="eastAsia" w:ascii="Times New Roman" w:hAnsi="Times New Roman" w:eastAsia="宋体"/>
                <w:color w:val="auto"/>
                <w:sz w:val="24"/>
                <w:szCs w:val="24"/>
                <w:u w:val="none" w:color="auto"/>
                <w:lang w:val="en-US" w:eastAsia="zh-CN"/>
              </w:rPr>
              <w:t>2</w:t>
            </w:r>
            <w:r>
              <w:rPr>
                <w:rFonts w:hint="eastAsia" w:ascii="Times New Roman" w:hAnsi="Times New Roman" w:eastAsia="宋体"/>
                <w:color w:val="auto"/>
                <w:sz w:val="24"/>
                <w:szCs w:val="24"/>
                <w:u w:val="none" w:color="auto"/>
                <w:lang w:eastAsia="zh-CN"/>
              </w:rPr>
              <w:t>）废水处理可行性分析</w:t>
            </w:r>
          </w:p>
          <w:p w14:paraId="77695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pacing w:val="0"/>
                <w:w w:val="100"/>
                <w:position w:val="0"/>
                <w:sz w:val="24"/>
                <w:szCs w:val="24"/>
                <w:u w:val="none" w:color="auto"/>
                <w:lang w:val="en-US" w:eastAsia="zh-CN"/>
              </w:rPr>
            </w:pPr>
            <w:r>
              <w:rPr>
                <w:rFonts w:hint="eastAsia"/>
                <w:color w:val="auto"/>
                <w:sz w:val="24"/>
                <w:szCs w:val="24"/>
                <w:highlight w:val="none"/>
                <w:u w:val="none" w:color="auto"/>
                <w:lang w:eastAsia="zh-CN"/>
              </w:rPr>
              <w:t>根据现场</w:t>
            </w:r>
            <w:r>
              <w:rPr>
                <w:rFonts w:hint="eastAsia"/>
                <w:color w:val="auto"/>
                <w:sz w:val="24"/>
                <w:szCs w:val="24"/>
                <w:u w:val="none" w:color="auto"/>
                <w:lang w:val="en-US" w:eastAsia="zh-CN"/>
              </w:rPr>
              <w:t>踏勘可知，项目设置了1座污水处理站（处理能力为30t/d）</w:t>
            </w:r>
            <w:r>
              <w:rPr>
                <w:rFonts w:hint="eastAsia" w:ascii="Times New Roman" w:hAnsi="Times New Roman" w:cs="Times New Roman"/>
                <w:color w:val="auto"/>
                <w:sz w:val="24"/>
                <w:szCs w:val="24"/>
                <w:highlight w:val="none"/>
                <w:u w:val="none" w:color="auto"/>
                <w:lang w:val="en-US" w:eastAsia="zh-CN"/>
              </w:rPr>
              <w:t>，</w:t>
            </w:r>
            <w:r>
              <w:rPr>
                <w:rFonts w:hint="eastAsia" w:ascii="Times New Roman" w:hAnsi="Times New Roman" w:eastAsia="宋体" w:cs="Times New Roman"/>
                <w:color w:val="auto"/>
                <w:spacing w:val="0"/>
                <w:w w:val="100"/>
                <w:position w:val="0"/>
                <w:sz w:val="24"/>
                <w:szCs w:val="24"/>
                <w:u w:val="none" w:color="auto"/>
                <w:lang w:val="en-US" w:eastAsia="zh-CN"/>
              </w:rPr>
              <w:t>采用(隔栅池+调节池+AO生物接触氧化池+二沉池+活性氧消毒)，（二氧化氯消毒装置备用）。</w:t>
            </w:r>
          </w:p>
          <w:p w14:paraId="48919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本项目污水处理站设置在院东侧，为封闭式污水处理系统。医疗废水计算量按医院实际床数30张计，工作人员和病人数都按最大值计算，</w:t>
            </w:r>
            <w:r>
              <w:rPr>
                <w:rFonts w:hint="eastAsia"/>
                <w:color w:val="auto"/>
                <w:sz w:val="24"/>
                <w:szCs w:val="24"/>
                <w:highlight w:val="none"/>
                <w:u w:val="none" w:color="auto"/>
                <w:lang w:val="en-US" w:eastAsia="zh-CN"/>
              </w:rPr>
              <w:t>由表2-4可知，</w:t>
            </w:r>
            <w:r>
              <w:rPr>
                <w:rFonts w:hint="eastAsia"/>
                <w:color w:val="auto"/>
                <w:sz w:val="24"/>
                <w:szCs w:val="24"/>
                <w:u w:val="none" w:color="auto"/>
                <w:lang w:val="en-US" w:eastAsia="zh-CN"/>
              </w:rPr>
              <w:t>医疗废水排放量为10.206t/a，小于设计废水处理能力的80%，故污水处理站的处理能力是可行的。</w:t>
            </w:r>
            <w:r>
              <w:rPr>
                <w:rFonts w:hint="default" w:ascii="Times New Roman" w:hAnsi="Times New Roman" w:eastAsia="宋体" w:cs="Times New Roman"/>
                <w:color w:val="auto"/>
                <w:kern w:val="2"/>
                <w:sz w:val="24"/>
                <w:szCs w:val="24"/>
                <w:highlight w:val="none"/>
                <w:u w:val="none"/>
                <w:lang w:val="en-US" w:eastAsia="zh-CN" w:bidi="ar-SA"/>
              </w:rPr>
              <w:t>污水处理设备工艺流程图见图4-1。</w:t>
            </w:r>
          </w:p>
          <w:p w14:paraId="09E4BE6E">
            <w:pPr>
              <w:pStyle w:val="6"/>
              <w:rPr>
                <w:rFonts w:hint="eastAsia"/>
                <w:color w:val="auto"/>
                <w:lang w:val="en-US" w:eastAsia="zh-CN"/>
              </w:rPr>
            </w:pPr>
          </w:p>
          <w:p w14:paraId="68E57214">
            <w:pPr>
              <w:adjustRightInd w:val="0"/>
              <w:snapToGrid w:val="0"/>
              <w:spacing w:line="360" w:lineRule="auto"/>
              <w:ind w:firstLine="480" w:firstLineChars="200"/>
              <w:jc w:val="center"/>
              <w:rPr>
                <w:rFonts w:hint="eastAsia" w:ascii="Times New Roman" w:hAnsi="Times New Roman" w:eastAsia="宋体" w:cs="Times New Roman"/>
                <w:color w:val="auto"/>
                <w:kern w:val="0"/>
                <w:sz w:val="24"/>
                <w:highlight w:val="none"/>
                <w:u w:val="none" w:color="auto"/>
                <w:lang w:val="en-US" w:eastAsia="zh-CN"/>
              </w:rPr>
            </w:pPr>
            <w:r>
              <w:rPr>
                <w:rFonts w:hint="eastAsia" w:ascii="Times New Roman" w:hAnsi="Times New Roman" w:eastAsia="宋体" w:cs="Times New Roman"/>
                <w:color w:val="auto"/>
                <w:kern w:val="0"/>
                <w:sz w:val="24"/>
                <w:highlight w:val="none"/>
                <w:u w:val="none" w:color="auto"/>
                <w:lang w:val="en-US" w:eastAsia="zh-CN"/>
              </w:rPr>
              <w:drawing>
                <wp:inline distT="0" distB="0" distL="114300" distR="114300">
                  <wp:extent cx="4102100" cy="4473575"/>
                  <wp:effectExtent l="0" t="0" r="12700" b="22225"/>
                  <wp:docPr id="1" name="图片 1" descr="截屏2024-06-28 17.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4-06-28 17.02.38"/>
                          <pic:cNvPicPr>
                            <a:picLocks noChangeAspect="1"/>
                          </pic:cNvPicPr>
                        </pic:nvPicPr>
                        <pic:blipFill>
                          <a:blip r:embed="rId7"/>
                          <a:stretch>
                            <a:fillRect/>
                          </a:stretch>
                        </pic:blipFill>
                        <pic:spPr>
                          <a:xfrm>
                            <a:off x="0" y="0"/>
                            <a:ext cx="4102100" cy="4473575"/>
                          </a:xfrm>
                          <a:prstGeom prst="rect">
                            <a:avLst/>
                          </a:prstGeom>
                        </pic:spPr>
                      </pic:pic>
                    </a:graphicData>
                  </a:graphic>
                </wp:inline>
              </w:drawing>
            </w:r>
          </w:p>
          <w:p w14:paraId="54D323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b/>
                <w:bCs/>
                <w:color w:val="auto"/>
                <w:sz w:val="21"/>
                <w:szCs w:val="21"/>
                <w:u w:val="none" w:color="auto"/>
              </w:rPr>
            </w:pPr>
            <w:r>
              <w:rPr>
                <w:rFonts w:hint="eastAsia"/>
                <w:b/>
                <w:bCs/>
                <w:color w:val="auto"/>
                <w:sz w:val="21"/>
                <w:szCs w:val="21"/>
                <w:u w:val="none" w:color="auto"/>
                <w:lang w:val="en-US" w:eastAsia="zh-CN"/>
              </w:rPr>
              <w:t>图4-1</w:t>
            </w:r>
            <w:r>
              <w:rPr>
                <w:rFonts w:hint="eastAsia"/>
                <w:b/>
                <w:bCs/>
                <w:color w:val="auto"/>
                <w:sz w:val="21"/>
                <w:szCs w:val="21"/>
                <w:u w:val="none" w:color="auto"/>
                <w:lang w:eastAsia="zh-CN"/>
              </w:rPr>
              <w:t>污水处理设备</w:t>
            </w:r>
            <w:r>
              <w:rPr>
                <w:rFonts w:ascii="Times New Roman" w:hAnsi="Times New Roman" w:eastAsia="宋体"/>
                <w:b/>
                <w:bCs/>
                <w:color w:val="auto"/>
                <w:sz w:val="21"/>
                <w:szCs w:val="21"/>
                <w:u w:val="none" w:color="auto"/>
              </w:rPr>
              <w:t>工艺流程图</w:t>
            </w:r>
          </w:p>
          <w:p w14:paraId="49868B7A">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u w:val="none" w:color="auto"/>
                <w:lang w:val="en-US" w:eastAsia="zh-CN"/>
              </w:rPr>
            </w:pPr>
          </w:p>
          <w:p w14:paraId="7E3BEC2C">
            <w:pPr>
              <w:adjustRightInd w:val="0"/>
              <w:snapToGrid w:val="0"/>
              <w:spacing w:line="360" w:lineRule="auto"/>
              <w:ind w:firstLine="480" w:firstLineChars="200"/>
              <w:rPr>
                <w:rFonts w:hint="eastAsia"/>
                <w:color w:val="auto"/>
                <w:u w:val="none" w:color="auto"/>
                <w:lang w:val="en-US" w:eastAsia="zh-CN"/>
              </w:rPr>
            </w:pPr>
            <w:r>
              <w:rPr>
                <w:rFonts w:hint="eastAsia" w:ascii="Times New Roman" w:hAnsi="Times New Roman" w:eastAsia="宋体" w:cs="Times New Roman"/>
                <w:color w:val="auto"/>
                <w:kern w:val="0"/>
                <w:sz w:val="24"/>
                <w:highlight w:val="none"/>
                <w:u w:val="none" w:color="auto"/>
                <w:lang w:val="en-US" w:eastAsia="zh-CN"/>
              </w:rPr>
              <w:t>主体处理工艺说明：</w:t>
            </w:r>
          </w:p>
          <w:p w14:paraId="78DA4A8C">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u w:val="none" w:color="auto"/>
                <w:lang w:val="en-US" w:eastAsia="zh-CN"/>
              </w:rPr>
            </w:pPr>
            <w:r>
              <w:rPr>
                <w:rFonts w:hint="default" w:ascii="Times New Roman" w:hAnsi="Times New Roman" w:eastAsia="宋体" w:cs="Times New Roman"/>
                <w:color w:val="auto"/>
                <w:kern w:val="0"/>
                <w:sz w:val="24"/>
                <w:szCs w:val="24"/>
                <w:highlight w:val="none"/>
                <w:u w:val="none"/>
                <w:lang w:val="en-US" w:eastAsia="zh-CN"/>
              </w:rPr>
              <w:t>项目院区食堂废水和其他医疗废水经化粪池处理后一起进入污水处理系统。各区排放的污水经污水管网收集后排放至化粪池，接着流入格栅池，格栅池内装有人工格栅，去除较大的悬浮物和漂浮物。然后污水进入调节池中，由于医院污水的水量与水质有较大的不均匀性，为减小对后续生化处理的冲击性，故必须经过调节池来进行水质的均匀和水量的调节，在通过污水提升泵将污水提升至</w:t>
            </w:r>
            <w:r>
              <w:rPr>
                <w:rFonts w:hint="default" w:cs="Times New Roman"/>
                <w:color w:val="auto"/>
                <w:kern w:val="0"/>
                <w:sz w:val="24"/>
                <w:szCs w:val="24"/>
                <w:highlight w:val="none"/>
                <w:u w:val="none"/>
                <w:lang w:val="en-US" w:eastAsia="zh-CN"/>
              </w:rPr>
              <w:t>AO</w:t>
            </w:r>
            <w:r>
              <w:rPr>
                <w:rFonts w:hint="eastAsia" w:cs="Times New Roman"/>
                <w:color w:val="auto"/>
                <w:kern w:val="0"/>
                <w:sz w:val="24"/>
                <w:szCs w:val="24"/>
                <w:highlight w:val="none"/>
                <w:u w:val="none"/>
                <w:lang w:val="en-US" w:eastAsia="zh-CN"/>
              </w:rPr>
              <w:t>一体化设备（分为缺氧区，好氧区，沉淀区），</w:t>
            </w:r>
            <w:r>
              <w:rPr>
                <w:rFonts w:hint="default" w:ascii="Times New Roman" w:hAnsi="Times New Roman" w:eastAsia="宋体" w:cs="Times New Roman"/>
                <w:color w:val="auto"/>
                <w:kern w:val="0"/>
                <w:sz w:val="24"/>
                <w:szCs w:val="24"/>
                <w:highlight w:val="none"/>
                <w:u w:val="none"/>
                <w:lang w:val="en-US" w:eastAsia="zh-CN"/>
              </w:rPr>
              <w:t>在反应池中与PAC\PAM充分反应后，进行沉降反应，上清液进入消毒池，</w:t>
            </w:r>
            <w:r>
              <w:rPr>
                <w:rFonts w:hint="eastAsia" w:ascii="Times New Roman" w:hAnsi="Times New Roman" w:eastAsia="宋体" w:cs="Times New Roman"/>
                <w:color w:val="auto"/>
                <w:kern w:val="0"/>
                <w:sz w:val="24"/>
                <w:highlight w:val="none"/>
                <w:u w:val="none" w:color="auto"/>
                <w:lang w:val="en-US" w:eastAsia="zh-CN"/>
              </w:rPr>
              <w:t>投加活性氧消毒剂灭菌消毒</w:t>
            </w:r>
            <w:r>
              <w:rPr>
                <w:rFonts w:hint="eastAsia" w:cs="Times New Roman"/>
                <w:color w:val="auto"/>
                <w:kern w:val="0"/>
                <w:sz w:val="24"/>
                <w:highlight w:val="none"/>
                <w:u w:val="none" w:color="auto"/>
                <w:lang w:val="en-US" w:eastAsia="zh-CN"/>
              </w:rPr>
              <w:t>（二氧化氯消毒做备用），</w:t>
            </w:r>
            <w:r>
              <w:rPr>
                <w:rFonts w:hint="eastAsia" w:ascii="Times New Roman" w:hAnsi="Times New Roman" w:eastAsia="宋体" w:cs="Times New Roman"/>
                <w:color w:val="auto"/>
                <w:kern w:val="0"/>
                <w:sz w:val="24"/>
                <w:highlight w:val="none"/>
                <w:u w:val="none" w:color="auto"/>
                <w:lang w:val="en-US" w:eastAsia="zh-CN"/>
              </w:rPr>
              <w:t>杀灭水中各种细菌</w:t>
            </w:r>
            <w:r>
              <w:rPr>
                <w:rFonts w:hint="eastAsia" w:cs="Times New Roman"/>
                <w:color w:val="auto"/>
                <w:kern w:val="0"/>
                <w:sz w:val="24"/>
                <w:highlight w:val="none"/>
                <w:u w:val="none" w:color="auto"/>
                <w:lang w:val="en-US" w:eastAsia="zh-CN"/>
              </w:rPr>
              <w:t>。</w:t>
            </w:r>
            <w:r>
              <w:rPr>
                <w:rFonts w:hint="eastAsia" w:ascii="Times New Roman" w:hAnsi="Times New Roman" w:eastAsia="宋体" w:cs="Times New Roman"/>
                <w:color w:val="auto"/>
                <w:kern w:val="0"/>
                <w:sz w:val="24"/>
                <w:highlight w:val="none"/>
                <w:u w:val="none" w:color="auto"/>
                <w:lang w:val="en-US" w:eastAsia="zh-CN"/>
              </w:rPr>
              <w:t>经过消毒池处理后最后排入洣水。</w:t>
            </w:r>
          </w:p>
          <w:p w14:paraId="705D7786">
            <w:pPr>
              <w:pStyle w:val="35"/>
              <w:rPr>
                <w:rFonts w:hint="eastAsia" w:ascii="Times New Roman" w:hAnsi="Times New Roman" w:cs="Times New Roman"/>
                <w:color w:val="auto"/>
                <w:kern w:val="0"/>
                <w:sz w:val="24"/>
                <w:highlight w:val="none"/>
                <w:u w:val="none" w:color="auto"/>
                <w:lang w:val="en-US" w:eastAsia="zh-CN"/>
              </w:rPr>
            </w:pPr>
            <w:r>
              <w:rPr>
                <w:rFonts w:hint="eastAsia" w:ascii="Times New Roman" w:hAnsi="Times New Roman" w:cs="Times New Roman"/>
                <w:color w:val="auto"/>
                <w:kern w:val="0"/>
                <w:sz w:val="24"/>
                <w:highlight w:val="none"/>
                <w:u w:val="none" w:color="auto"/>
                <w:lang w:val="en-US" w:eastAsia="zh-CN"/>
              </w:rPr>
              <w:t>消毒工艺比较方法见下表</w:t>
            </w:r>
          </w:p>
          <w:p w14:paraId="53901258">
            <w:pPr>
              <w:pStyle w:val="35"/>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表4-</w:t>
            </w:r>
            <w:r>
              <w:rPr>
                <w:rFonts w:hint="eastAsia" w:ascii="Times New Roman" w:cs="Times New Roman"/>
                <w:b/>
                <w:bCs/>
                <w:color w:val="auto"/>
                <w:kern w:val="2"/>
                <w:sz w:val="24"/>
                <w:szCs w:val="24"/>
                <w:highlight w:val="none"/>
                <w:u w:val="none" w:color="auto"/>
                <w:lang w:val="en-US" w:eastAsia="zh-CN" w:bidi="ar-SA"/>
              </w:rPr>
              <w:t>5</w:t>
            </w:r>
            <w:r>
              <w:rPr>
                <w:rFonts w:hint="eastAsia" w:ascii="Times New Roman" w:hAnsi="Times New Roman" w:eastAsia="宋体" w:cs="Times New Roman"/>
                <w:b/>
                <w:bCs/>
                <w:color w:val="auto"/>
                <w:kern w:val="2"/>
                <w:sz w:val="24"/>
                <w:szCs w:val="24"/>
                <w:highlight w:val="none"/>
                <w:u w:val="none" w:color="auto"/>
                <w:lang w:val="en-US" w:eastAsia="zh-CN" w:bidi="ar-SA"/>
              </w:rPr>
              <w:t>消毒工艺比较方法一览表</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92"/>
              <w:gridCol w:w="1611"/>
              <w:gridCol w:w="1464"/>
              <w:gridCol w:w="1503"/>
              <w:gridCol w:w="2522"/>
              <w:gridCol w:w="1675"/>
            </w:tblGrid>
            <w:tr w14:paraId="600741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0C5D13C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color w:val="auto"/>
                      <w:sz w:val="21"/>
                      <w:szCs w:val="21"/>
                      <w:u w:val="none" w:color="auto"/>
                      <w:vertAlign w:val="baseline"/>
                    </w:rPr>
                  </w:pPr>
                  <w:r>
                    <w:rPr>
                      <w:rFonts w:hint="eastAsia" w:ascii="Times New Roman" w:hAnsi="Times New Roman" w:eastAsia="宋体" w:cs="Times New Roman"/>
                      <w:b/>
                      <w:bCs/>
                      <w:color w:val="auto"/>
                      <w:sz w:val="21"/>
                      <w:szCs w:val="21"/>
                      <w:highlight w:val="none"/>
                      <w:u w:val="none" w:color="auto"/>
                      <w:vertAlign w:val="baseline"/>
                      <w:lang w:val="en-US" w:eastAsia="zh-CN"/>
                    </w:rPr>
                    <w:t>消毒方式</w:t>
                  </w:r>
                </w:p>
              </w:tc>
              <w:tc>
                <w:tcPr>
                  <w:tcW w:w="833" w:type="pct"/>
                  <w:tcBorders>
                    <w:tl2br w:val="nil"/>
                    <w:tr2bl w:val="nil"/>
                  </w:tcBorders>
                  <w:noWrap w:val="0"/>
                  <w:vAlign w:val="center"/>
                </w:tcPr>
                <w:p w14:paraId="3A54D9C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color w:val="auto"/>
                      <w:sz w:val="21"/>
                      <w:szCs w:val="21"/>
                      <w:u w:val="none" w:color="auto"/>
                      <w:vertAlign w:val="baseline"/>
                    </w:rPr>
                  </w:pPr>
                  <w:r>
                    <w:rPr>
                      <w:rFonts w:hint="eastAsia" w:ascii="Times New Roman" w:hAnsi="Times New Roman" w:eastAsia="宋体" w:cs="Times New Roman"/>
                      <w:b/>
                      <w:bCs/>
                      <w:color w:val="auto"/>
                      <w:sz w:val="21"/>
                      <w:szCs w:val="21"/>
                      <w:highlight w:val="none"/>
                      <w:u w:val="none" w:color="auto"/>
                      <w:vertAlign w:val="baseline"/>
                      <w:lang w:val="en-US" w:eastAsia="zh-CN"/>
                    </w:rPr>
                    <w:t>主要成分</w:t>
                  </w:r>
                </w:p>
              </w:tc>
              <w:tc>
                <w:tcPr>
                  <w:tcW w:w="757" w:type="pct"/>
                  <w:tcBorders>
                    <w:tl2br w:val="nil"/>
                    <w:tr2bl w:val="nil"/>
                  </w:tcBorders>
                  <w:noWrap w:val="0"/>
                  <w:vAlign w:val="center"/>
                </w:tcPr>
                <w:p w14:paraId="04ABFC5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bCs/>
                      <w:color w:val="auto"/>
                      <w:sz w:val="21"/>
                      <w:szCs w:val="21"/>
                      <w:highlight w:val="none"/>
                      <w:u w:val="none" w:color="auto"/>
                      <w:vertAlign w:val="baseline"/>
                      <w:lang w:val="en-US" w:eastAsia="zh-CN"/>
                    </w:rPr>
                    <w:t>副产物</w:t>
                  </w:r>
                </w:p>
              </w:tc>
              <w:tc>
                <w:tcPr>
                  <w:tcW w:w="777" w:type="pct"/>
                  <w:tcBorders>
                    <w:tl2br w:val="nil"/>
                    <w:tr2bl w:val="nil"/>
                  </w:tcBorders>
                  <w:noWrap w:val="0"/>
                  <w:vAlign w:val="center"/>
                </w:tcPr>
                <w:p w14:paraId="6FE4DA3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color w:val="auto"/>
                      <w:sz w:val="21"/>
                      <w:szCs w:val="21"/>
                      <w:u w:val="none" w:color="auto"/>
                      <w:vertAlign w:val="baseline"/>
                    </w:rPr>
                  </w:pPr>
                  <w:r>
                    <w:rPr>
                      <w:rFonts w:hint="eastAsia" w:ascii="Times New Roman" w:hAnsi="Times New Roman" w:eastAsia="宋体" w:cs="Times New Roman"/>
                      <w:b/>
                      <w:bCs/>
                      <w:color w:val="auto"/>
                      <w:sz w:val="21"/>
                      <w:szCs w:val="21"/>
                      <w:highlight w:val="none"/>
                      <w:u w:val="none" w:color="auto"/>
                      <w:vertAlign w:val="baseline"/>
                      <w:lang w:val="en-US" w:eastAsia="zh-CN"/>
                    </w:rPr>
                    <w:t>储存</w:t>
                  </w:r>
                </w:p>
              </w:tc>
              <w:tc>
                <w:tcPr>
                  <w:tcW w:w="1304" w:type="pct"/>
                  <w:tcBorders>
                    <w:tl2br w:val="nil"/>
                    <w:tr2bl w:val="nil"/>
                  </w:tcBorders>
                  <w:noWrap w:val="0"/>
                  <w:vAlign w:val="center"/>
                </w:tcPr>
                <w:p w14:paraId="424CCB3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color w:val="auto"/>
                      <w:sz w:val="21"/>
                      <w:szCs w:val="21"/>
                      <w:u w:val="none" w:color="auto"/>
                      <w:vertAlign w:val="baseline"/>
                    </w:rPr>
                  </w:pPr>
                  <w:r>
                    <w:rPr>
                      <w:rFonts w:hint="eastAsia" w:ascii="Times New Roman" w:hAnsi="Times New Roman" w:eastAsia="宋体" w:cs="Times New Roman"/>
                      <w:b/>
                      <w:bCs/>
                      <w:color w:val="auto"/>
                      <w:sz w:val="21"/>
                      <w:szCs w:val="21"/>
                      <w:highlight w:val="none"/>
                      <w:u w:val="none" w:color="auto"/>
                      <w:vertAlign w:val="baseline"/>
                      <w:lang w:val="en-US" w:eastAsia="zh-CN"/>
                    </w:rPr>
                    <w:t>优点</w:t>
                  </w:r>
                </w:p>
              </w:tc>
              <w:tc>
                <w:tcPr>
                  <w:tcW w:w="866" w:type="pct"/>
                  <w:tcBorders>
                    <w:tl2br w:val="nil"/>
                    <w:tr2bl w:val="nil"/>
                  </w:tcBorders>
                  <w:noWrap w:val="0"/>
                  <w:vAlign w:val="center"/>
                </w:tcPr>
                <w:p w14:paraId="362D67B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color w:val="auto"/>
                      <w:sz w:val="21"/>
                      <w:szCs w:val="21"/>
                      <w:u w:val="none" w:color="auto"/>
                      <w:vertAlign w:val="baseline"/>
                    </w:rPr>
                  </w:pPr>
                  <w:r>
                    <w:rPr>
                      <w:rFonts w:hint="eastAsia" w:ascii="Times New Roman" w:hAnsi="Times New Roman" w:eastAsia="宋体" w:cs="Times New Roman"/>
                      <w:b/>
                      <w:bCs/>
                      <w:color w:val="auto"/>
                      <w:sz w:val="21"/>
                      <w:szCs w:val="21"/>
                      <w:highlight w:val="none"/>
                      <w:u w:val="none" w:color="auto"/>
                      <w:vertAlign w:val="baseline"/>
                      <w:lang w:val="en-US" w:eastAsia="zh-CN"/>
                    </w:rPr>
                    <w:t>缺点</w:t>
                  </w:r>
                </w:p>
              </w:tc>
            </w:tr>
            <w:tr w14:paraId="391856D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291582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活性氧消毒剂</w:t>
                  </w:r>
                </w:p>
              </w:tc>
              <w:tc>
                <w:tcPr>
                  <w:tcW w:w="833" w:type="pct"/>
                  <w:tcBorders>
                    <w:tl2br w:val="nil"/>
                    <w:tr2bl w:val="nil"/>
                  </w:tcBorders>
                  <w:noWrap w:val="0"/>
                  <w:vAlign w:val="center"/>
                </w:tcPr>
                <w:p w14:paraId="2E83F38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单过硫酸氢钾复合盐、柠檬酸、氯化钠</w:t>
                  </w:r>
                </w:p>
              </w:tc>
              <w:tc>
                <w:tcPr>
                  <w:tcW w:w="757" w:type="pct"/>
                  <w:tcBorders>
                    <w:tl2br w:val="nil"/>
                    <w:tr2bl w:val="nil"/>
                  </w:tcBorders>
                  <w:noWrap w:val="0"/>
                  <w:vAlign w:val="center"/>
                </w:tcPr>
                <w:p w14:paraId="4B34FDA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cs="Times New Roman"/>
                      <w:b w:val="0"/>
                      <w:bCs w:val="0"/>
                      <w:color w:val="auto"/>
                      <w:kern w:val="2"/>
                      <w:sz w:val="21"/>
                      <w:szCs w:val="21"/>
                      <w:highlight w:val="none"/>
                      <w:u w:val="none" w:color="auto"/>
                      <w:vertAlign w:val="baseline"/>
                      <w:lang w:val="en-US" w:eastAsia="zh-CN" w:bidi="ar-SA"/>
                    </w:rPr>
                    <w:t>无</w:t>
                  </w:r>
                </w:p>
              </w:tc>
              <w:tc>
                <w:tcPr>
                  <w:tcW w:w="777" w:type="pct"/>
                  <w:tcBorders>
                    <w:tl2br w:val="nil"/>
                    <w:tr2bl w:val="nil"/>
                  </w:tcBorders>
                  <w:noWrap w:val="0"/>
                  <w:vAlign w:val="center"/>
                </w:tcPr>
                <w:p w14:paraId="06C1A0C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放置阴凉干燥处</w:t>
                  </w:r>
                </w:p>
              </w:tc>
              <w:tc>
                <w:tcPr>
                  <w:tcW w:w="1304" w:type="pct"/>
                  <w:tcBorders>
                    <w:tl2br w:val="nil"/>
                    <w:tr2bl w:val="nil"/>
                  </w:tcBorders>
                  <w:noWrap w:val="0"/>
                  <w:vAlign w:val="center"/>
                </w:tcPr>
                <w:p w14:paraId="646AFDB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具有高效杀菌的效果，活性氧是一种强氧化剂，杀菌能力是氯的几十倍，而杀菌的速度是氯的几千倍，能够快速有效</w:t>
                  </w:r>
                  <w:r>
                    <w:rPr>
                      <w:rFonts w:hint="eastAsia" w:cs="Times New Roman"/>
                      <w:b w:val="0"/>
                      <w:bCs w:val="0"/>
                      <w:color w:val="auto"/>
                      <w:sz w:val="21"/>
                      <w:szCs w:val="21"/>
                      <w:highlight w:val="none"/>
                      <w:u w:val="none" w:color="auto"/>
                      <w:vertAlign w:val="baseline"/>
                      <w:lang w:val="en-US" w:eastAsia="zh-CN"/>
                    </w:rPr>
                    <w:t>地</w:t>
                  </w:r>
                  <w:r>
                    <w:rPr>
                      <w:rFonts w:hint="eastAsia" w:ascii="Times New Roman" w:hAnsi="Times New Roman" w:eastAsia="宋体" w:cs="Times New Roman"/>
                      <w:b w:val="0"/>
                      <w:bCs w:val="0"/>
                      <w:color w:val="auto"/>
                      <w:sz w:val="21"/>
                      <w:szCs w:val="21"/>
                      <w:highlight w:val="none"/>
                      <w:u w:val="none" w:color="auto"/>
                      <w:vertAlign w:val="baseline"/>
                      <w:lang w:val="en-US" w:eastAsia="zh-CN"/>
                    </w:rPr>
                    <w:t>消灭各种病毒、细菌、微生物；</w:t>
                  </w:r>
                </w:p>
                <w:p w14:paraId="35385A5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安全杀菌，分解还原成氧气，不会有氯的残留，不会对环境造成危害</w:t>
                  </w:r>
                </w:p>
              </w:tc>
              <w:tc>
                <w:tcPr>
                  <w:tcW w:w="866" w:type="pct"/>
                  <w:tcBorders>
                    <w:tl2br w:val="nil"/>
                    <w:tr2bl w:val="nil"/>
                  </w:tcBorders>
                  <w:noWrap w:val="0"/>
                  <w:vAlign w:val="center"/>
                </w:tcPr>
                <w:p w14:paraId="16DA7E3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溶液状态下，活性氧很不稳定</w:t>
                  </w:r>
                </w:p>
              </w:tc>
            </w:tr>
            <w:tr w14:paraId="69A2DA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72F21E0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次氯酸钠</w:t>
                  </w:r>
                </w:p>
              </w:tc>
              <w:tc>
                <w:tcPr>
                  <w:tcW w:w="833" w:type="pct"/>
                  <w:tcBorders>
                    <w:tl2br w:val="nil"/>
                    <w:tr2bl w:val="nil"/>
                  </w:tcBorders>
                  <w:noWrap w:val="0"/>
                  <w:vAlign w:val="center"/>
                </w:tcPr>
                <w:p w14:paraId="4B9E447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color w:val="auto"/>
                      <w:sz w:val="21"/>
                      <w:szCs w:val="21"/>
                      <w:highlight w:val="none"/>
                      <w:u w:val="none" w:color="auto"/>
                      <w:vertAlign w:val="baseline"/>
                      <w:lang w:val="en-US" w:eastAsia="zh-CN"/>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次氯</w:t>
                  </w:r>
                </w:p>
                <w:p w14:paraId="2CB59C6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酸钠</w:t>
                  </w:r>
                </w:p>
              </w:tc>
              <w:tc>
                <w:tcPr>
                  <w:tcW w:w="757" w:type="pct"/>
                  <w:tcBorders>
                    <w:tl2br w:val="nil"/>
                    <w:tr2bl w:val="nil"/>
                  </w:tcBorders>
                  <w:noWrap w:val="0"/>
                  <w:vAlign w:val="center"/>
                </w:tcPr>
                <w:p w14:paraId="4B5ACEC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氯气、三氯甲烷</w:t>
                  </w:r>
                </w:p>
              </w:tc>
              <w:tc>
                <w:tcPr>
                  <w:tcW w:w="777" w:type="pct"/>
                  <w:vMerge w:val="restart"/>
                  <w:tcBorders>
                    <w:tl2br w:val="nil"/>
                    <w:tr2bl w:val="nil"/>
                  </w:tcBorders>
                  <w:noWrap w:val="0"/>
                  <w:vAlign w:val="center"/>
                </w:tcPr>
                <w:p w14:paraId="39E3FDC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储存于阴凉、通风的库房。远离火种、热源。应于酸类分开存放，</w:t>
                  </w:r>
                  <w:r>
                    <w:rPr>
                      <w:rFonts w:hint="eastAsia" w:cs="Times New Roman"/>
                      <w:b w:val="0"/>
                      <w:bCs w:val="0"/>
                      <w:color w:val="auto"/>
                      <w:sz w:val="21"/>
                      <w:szCs w:val="21"/>
                      <w:highlight w:val="none"/>
                      <w:u w:val="none" w:color="auto"/>
                      <w:vertAlign w:val="baseline"/>
                      <w:lang w:val="en-US" w:eastAsia="zh-CN"/>
                    </w:rPr>
                    <w:t>切忌</w:t>
                  </w:r>
                  <w:r>
                    <w:rPr>
                      <w:rFonts w:hint="eastAsia" w:ascii="Times New Roman" w:hAnsi="Times New Roman" w:eastAsia="宋体" w:cs="Times New Roman"/>
                      <w:b w:val="0"/>
                      <w:bCs w:val="0"/>
                      <w:color w:val="auto"/>
                      <w:sz w:val="21"/>
                      <w:szCs w:val="21"/>
                      <w:highlight w:val="none"/>
                      <w:u w:val="none" w:color="auto"/>
                      <w:vertAlign w:val="baseline"/>
                      <w:lang w:val="en-US" w:eastAsia="zh-CN"/>
                    </w:rPr>
                    <w:t>混储。储存区应备有泄漏应急处理设备和应急收集材料。</w:t>
                  </w:r>
                </w:p>
              </w:tc>
              <w:tc>
                <w:tcPr>
                  <w:tcW w:w="1304" w:type="pct"/>
                  <w:tcBorders>
                    <w:tl2br w:val="nil"/>
                    <w:tr2bl w:val="nil"/>
                  </w:tcBorders>
                  <w:noWrap w:val="0"/>
                  <w:vAlign w:val="center"/>
                </w:tcPr>
                <w:p w14:paraId="69773B5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无毒，运行、管理无危险性</w:t>
                  </w:r>
                </w:p>
              </w:tc>
              <w:tc>
                <w:tcPr>
                  <w:tcW w:w="866" w:type="pct"/>
                  <w:tcBorders>
                    <w:tl2br w:val="nil"/>
                    <w:tr2bl w:val="nil"/>
                  </w:tcBorders>
                  <w:noWrap w:val="0"/>
                  <w:vAlign w:val="center"/>
                </w:tcPr>
                <w:p w14:paraId="5BC08C9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产生</w:t>
                  </w:r>
                  <w:r>
                    <w:rPr>
                      <w:rFonts w:hint="eastAsia" w:ascii="宋体" w:hAnsi="宋体" w:cs="宋体"/>
                      <w:color w:val="auto"/>
                      <w:kern w:val="0"/>
                      <w:sz w:val="21"/>
                      <w:szCs w:val="21"/>
                      <w:u w:val="none" w:color="auto"/>
                      <w:lang w:val="en-US" w:eastAsia="zh-CN" w:bidi="ar"/>
                    </w:rPr>
                    <w:t>具有</w:t>
                  </w:r>
                  <w:r>
                    <w:rPr>
                      <w:rFonts w:hint="eastAsia" w:ascii="宋体" w:hAnsi="宋体" w:eastAsia="宋体" w:cs="宋体"/>
                      <w:color w:val="auto"/>
                      <w:kern w:val="0"/>
                      <w:sz w:val="21"/>
                      <w:szCs w:val="21"/>
                      <w:u w:val="none" w:color="auto"/>
                      <w:lang w:val="en-US" w:eastAsia="zh-CN" w:bidi="ar"/>
                    </w:rPr>
                    <w:t>致癌、致畸作用的有机氯化物；使水的</w:t>
                  </w:r>
                  <w:r>
                    <w:rPr>
                      <w:rFonts w:hint="eastAsia" w:ascii="宋体" w:hAnsi="宋体" w:cs="宋体"/>
                      <w:color w:val="auto"/>
                      <w:kern w:val="0"/>
                      <w:sz w:val="21"/>
                      <w:szCs w:val="21"/>
                      <w:u w:val="none" w:color="auto"/>
                      <w:lang w:val="en-US" w:eastAsia="zh-CN" w:bidi="ar"/>
                    </w:rPr>
                    <w:t>pH值</w:t>
                  </w:r>
                  <w:r>
                    <w:rPr>
                      <w:rFonts w:hint="eastAsia" w:ascii="宋体" w:hAnsi="宋体" w:eastAsia="宋体" w:cs="宋体"/>
                      <w:color w:val="auto"/>
                      <w:kern w:val="0"/>
                      <w:sz w:val="21"/>
                      <w:szCs w:val="21"/>
                      <w:u w:val="none" w:color="auto"/>
                      <w:lang w:val="en-US" w:eastAsia="zh-CN" w:bidi="ar"/>
                    </w:rPr>
                    <w:t>升高</w:t>
                  </w:r>
                </w:p>
              </w:tc>
            </w:tr>
            <w:tr w14:paraId="500EC7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530089D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氯气</w:t>
                  </w:r>
                </w:p>
              </w:tc>
              <w:tc>
                <w:tcPr>
                  <w:tcW w:w="833" w:type="pct"/>
                  <w:tcBorders>
                    <w:tl2br w:val="nil"/>
                    <w:tr2bl w:val="nil"/>
                  </w:tcBorders>
                  <w:noWrap w:val="0"/>
                  <w:vAlign w:val="center"/>
                </w:tcPr>
                <w:p w14:paraId="5DF5C1E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氯气</w:t>
                  </w:r>
                </w:p>
              </w:tc>
              <w:tc>
                <w:tcPr>
                  <w:tcW w:w="757" w:type="pct"/>
                  <w:tcBorders>
                    <w:tl2br w:val="nil"/>
                    <w:tr2bl w:val="nil"/>
                  </w:tcBorders>
                  <w:noWrap w:val="0"/>
                  <w:vAlign w:val="center"/>
                </w:tcPr>
                <w:p w14:paraId="4DFAD51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三氯甲烷</w:t>
                  </w:r>
                </w:p>
              </w:tc>
              <w:tc>
                <w:tcPr>
                  <w:tcW w:w="777" w:type="pct"/>
                  <w:vMerge w:val="continue"/>
                  <w:tcBorders>
                    <w:tl2br w:val="nil"/>
                    <w:tr2bl w:val="nil"/>
                  </w:tcBorders>
                  <w:noWrap w:val="0"/>
                  <w:vAlign w:val="center"/>
                </w:tcPr>
                <w:p w14:paraId="105D921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p>
              </w:tc>
              <w:tc>
                <w:tcPr>
                  <w:tcW w:w="1304" w:type="pct"/>
                  <w:tcBorders>
                    <w:tl2br w:val="nil"/>
                    <w:tr2bl w:val="nil"/>
                  </w:tcBorders>
                  <w:noWrap w:val="0"/>
                  <w:vAlign w:val="center"/>
                </w:tcPr>
                <w:p w14:paraId="27537810">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具有持续消毒作用；工艺简单，技术成熟；操作简单，投量准确</w:t>
                  </w:r>
                </w:p>
              </w:tc>
              <w:tc>
                <w:tcPr>
                  <w:tcW w:w="866" w:type="pct"/>
                  <w:tcBorders>
                    <w:tl2br w:val="nil"/>
                    <w:tr2bl w:val="nil"/>
                  </w:tcBorders>
                  <w:noWrap w:val="0"/>
                  <w:vAlign w:val="center"/>
                </w:tcPr>
                <w:p w14:paraId="634AAD7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产生具致癌、致畸作用的有机氯化物；处理水有氯或氯酚味；氯气腐蚀性强；运行管理有一定的危险性</w:t>
                  </w:r>
                </w:p>
              </w:tc>
            </w:tr>
            <w:tr w14:paraId="43E1BA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52C70EF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二氧化氯</w:t>
                  </w:r>
                </w:p>
              </w:tc>
              <w:tc>
                <w:tcPr>
                  <w:tcW w:w="833" w:type="pct"/>
                  <w:tcBorders>
                    <w:tl2br w:val="nil"/>
                    <w:tr2bl w:val="nil"/>
                  </w:tcBorders>
                  <w:noWrap w:val="0"/>
                  <w:vAlign w:val="center"/>
                </w:tcPr>
                <w:p w14:paraId="304BD9A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二氧化氯</w:t>
                  </w:r>
                </w:p>
              </w:tc>
              <w:tc>
                <w:tcPr>
                  <w:tcW w:w="757" w:type="pct"/>
                  <w:tcBorders>
                    <w:tl2br w:val="nil"/>
                    <w:tr2bl w:val="nil"/>
                  </w:tcBorders>
                  <w:noWrap w:val="0"/>
                  <w:vAlign w:val="center"/>
                </w:tcPr>
                <w:p w14:paraId="0663770D">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亚氯酸盐、氯酸盐</w:t>
                  </w:r>
                </w:p>
              </w:tc>
              <w:tc>
                <w:tcPr>
                  <w:tcW w:w="777" w:type="pct"/>
                  <w:vMerge w:val="continue"/>
                  <w:tcBorders>
                    <w:tl2br w:val="nil"/>
                    <w:tr2bl w:val="nil"/>
                  </w:tcBorders>
                  <w:noWrap w:val="0"/>
                  <w:vAlign w:val="center"/>
                </w:tcPr>
                <w:p w14:paraId="66E1C11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p>
              </w:tc>
              <w:tc>
                <w:tcPr>
                  <w:tcW w:w="1304" w:type="pct"/>
                  <w:tcBorders>
                    <w:tl2br w:val="nil"/>
                    <w:tr2bl w:val="nil"/>
                  </w:tcBorders>
                  <w:noWrap w:val="0"/>
                  <w:vAlign w:val="center"/>
                </w:tcPr>
                <w:p w14:paraId="724461B9">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具有强烈的氧化作用，不产生有机氯化物；投放简单方便；不受</w:t>
                  </w:r>
                  <w:r>
                    <w:rPr>
                      <w:rFonts w:hint="default" w:ascii="Times New Roman" w:hAnsi="Times New Roman" w:eastAsia="宋体" w:cs="Times New Roman"/>
                      <w:color w:val="auto"/>
                      <w:kern w:val="0"/>
                      <w:sz w:val="21"/>
                      <w:szCs w:val="21"/>
                      <w:u w:val="none" w:color="auto"/>
                      <w:lang w:val="en-US" w:eastAsia="zh-CN" w:bidi="ar"/>
                    </w:rPr>
                    <w:t>pH</w:t>
                  </w:r>
                  <w:r>
                    <w:rPr>
                      <w:rFonts w:hint="eastAsia" w:ascii="宋体" w:hAnsi="宋体" w:eastAsia="宋体" w:cs="宋体"/>
                      <w:color w:val="auto"/>
                      <w:kern w:val="0"/>
                      <w:sz w:val="21"/>
                      <w:szCs w:val="21"/>
                      <w:u w:val="none" w:color="auto"/>
                      <w:lang w:val="en-US" w:eastAsia="zh-CN" w:bidi="ar"/>
                    </w:rPr>
                    <w:t>影响</w:t>
                  </w:r>
                </w:p>
              </w:tc>
              <w:tc>
                <w:tcPr>
                  <w:tcW w:w="866" w:type="pct"/>
                  <w:tcBorders>
                    <w:tl2br w:val="nil"/>
                    <w:tr2bl w:val="nil"/>
                  </w:tcBorders>
                  <w:noWrap w:val="0"/>
                  <w:vAlign w:val="center"/>
                </w:tcPr>
                <w:p w14:paraId="06D3453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color w:val="auto"/>
                      <w:u w:val="none" w:color="auto"/>
                    </w:rPr>
                  </w:pPr>
                  <w:r>
                    <w:rPr>
                      <w:rFonts w:hint="eastAsia" w:ascii="宋体" w:hAnsi="宋体" w:eastAsia="宋体" w:cs="宋体"/>
                      <w:color w:val="auto"/>
                      <w:kern w:val="0"/>
                      <w:sz w:val="21"/>
                      <w:szCs w:val="21"/>
                      <w:u w:val="none" w:color="auto"/>
                      <w:lang w:val="en-US" w:eastAsia="zh-CN" w:bidi="ar"/>
                    </w:rPr>
                    <w:t>运行、管理有一定的危险性；只</w:t>
                  </w:r>
                </w:p>
                <w:p w14:paraId="622C7AC3">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color w:val="auto"/>
                      <w:u w:val="none" w:color="auto"/>
                    </w:rPr>
                  </w:pPr>
                  <w:r>
                    <w:rPr>
                      <w:rFonts w:hint="eastAsia" w:ascii="宋体" w:hAnsi="宋体" w:eastAsia="宋体" w:cs="宋体"/>
                      <w:color w:val="auto"/>
                      <w:kern w:val="0"/>
                      <w:sz w:val="21"/>
                      <w:szCs w:val="21"/>
                      <w:u w:val="none" w:color="auto"/>
                      <w:lang w:val="en-US" w:eastAsia="zh-CN" w:bidi="ar"/>
                    </w:rPr>
                    <w:t>能就地生产，就地使用；制取设备复杂；</w:t>
                  </w:r>
                </w:p>
                <w:p w14:paraId="16C88551">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操作管理要求高</w:t>
                  </w:r>
                </w:p>
              </w:tc>
            </w:tr>
            <w:tr w14:paraId="5D12D6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1926438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臭氧</w:t>
                  </w:r>
                </w:p>
              </w:tc>
              <w:tc>
                <w:tcPr>
                  <w:tcW w:w="833" w:type="pct"/>
                  <w:tcBorders>
                    <w:tl2br w:val="nil"/>
                    <w:tr2bl w:val="nil"/>
                  </w:tcBorders>
                  <w:noWrap w:val="0"/>
                  <w:vAlign w:val="center"/>
                </w:tcPr>
                <w:p w14:paraId="42EF240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臭氧</w:t>
                  </w:r>
                </w:p>
              </w:tc>
              <w:tc>
                <w:tcPr>
                  <w:tcW w:w="757" w:type="pct"/>
                  <w:tcBorders>
                    <w:tl2br w:val="nil"/>
                    <w:tr2bl w:val="nil"/>
                  </w:tcBorders>
                  <w:noWrap w:val="0"/>
                  <w:vAlign w:val="center"/>
                </w:tcPr>
                <w:p w14:paraId="2618B10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溴酸根、亚氯酸盐</w:t>
                  </w:r>
                </w:p>
              </w:tc>
              <w:tc>
                <w:tcPr>
                  <w:tcW w:w="777" w:type="pct"/>
                  <w:tcBorders>
                    <w:tl2br w:val="nil"/>
                    <w:tr2bl w:val="nil"/>
                  </w:tcBorders>
                  <w:noWrap w:val="0"/>
                  <w:vAlign w:val="center"/>
                </w:tcPr>
                <w:p w14:paraId="1DF321C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color w:val="auto"/>
                      <w:sz w:val="21"/>
                      <w:szCs w:val="21"/>
                      <w:u w:val="none" w:color="auto"/>
                      <w:vertAlign w:val="baseline"/>
                      <w:lang w:val="en-US" w:eastAsia="zh-CN"/>
                    </w:rPr>
                  </w:pPr>
                  <w:r>
                    <w:rPr>
                      <w:rFonts w:hint="eastAsia"/>
                      <w:b w:val="0"/>
                      <w:bCs w:val="0"/>
                      <w:color w:val="auto"/>
                      <w:sz w:val="21"/>
                      <w:szCs w:val="21"/>
                      <w:u w:val="none" w:color="auto"/>
                      <w:vertAlign w:val="baseline"/>
                      <w:lang w:val="en-US" w:eastAsia="zh-CN"/>
                    </w:rPr>
                    <w:t>/</w:t>
                  </w:r>
                </w:p>
              </w:tc>
              <w:tc>
                <w:tcPr>
                  <w:tcW w:w="1304" w:type="pct"/>
                  <w:tcBorders>
                    <w:tl2br w:val="nil"/>
                    <w:tr2bl w:val="nil"/>
                  </w:tcBorders>
                  <w:noWrap w:val="0"/>
                  <w:vAlign w:val="center"/>
                </w:tcPr>
                <w:p w14:paraId="48A840D8">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有强氧化能力，接触时间短；不产生有机氯化物；不受</w:t>
                  </w:r>
                  <w:r>
                    <w:rPr>
                      <w:rFonts w:hint="default" w:ascii="Times New Roman" w:hAnsi="Times New Roman" w:eastAsia="宋体" w:cs="Times New Roman"/>
                      <w:color w:val="auto"/>
                      <w:kern w:val="0"/>
                      <w:sz w:val="21"/>
                      <w:szCs w:val="21"/>
                      <w:u w:val="none" w:color="auto"/>
                      <w:lang w:val="en-US" w:eastAsia="zh-CN" w:bidi="ar"/>
                    </w:rPr>
                    <w:t>pH</w:t>
                  </w:r>
                  <w:r>
                    <w:rPr>
                      <w:rFonts w:hint="eastAsia" w:ascii="宋体" w:hAnsi="宋体" w:eastAsia="宋体" w:cs="宋体"/>
                      <w:color w:val="auto"/>
                      <w:kern w:val="0"/>
                      <w:sz w:val="21"/>
                      <w:szCs w:val="21"/>
                      <w:u w:val="none" w:color="auto"/>
                      <w:lang w:val="en-US" w:eastAsia="zh-CN" w:bidi="ar"/>
                    </w:rPr>
                    <w:t>影响；能增加水中溶解氧</w:t>
                  </w:r>
                </w:p>
              </w:tc>
              <w:tc>
                <w:tcPr>
                  <w:tcW w:w="866" w:type="pct"/>
                  <w:tcBorders>
                    <w:tl2br w:val="nil"/>
                    <w:tr2bl w:val="nil"/>
                  </w:tcBorders>
                  <w:noWrap w:val="0"/>
                  <w:vAlign w:val="center"/>
                </w:tcPr>
                <w:p w14:paraId="7A36DCF5">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臭氧运行、管理有一定的危险性；操作复杂；制取臭氧的产率低；电能消耗大；基建投资较大；运行成本高</w:t>
                  </w:r>
                </w:p>
              </w:tc>
            </w:tr>
            <w:tr w14:paraId="33B8B4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14:paraId="55873C9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紫外线</w:t>
                  </w:r>
                </w:p>
              </w:tc>
              <w:tc>
                <w:tcPr>
                  <w:tcW w:w="833" w:type="pct"/>
                  <w:tcBorders>
                    <w:tl2br w:val="nil"/>
                    <w:tr2bl w:val="nil"/>
                  </w:tcBorders>
                  <w:noWrap w:val="0"/>
                  <w:vAlign w:val="center"/>
                </w:tcPr>
                <w:p w14:paraId="79176D0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Times New Roman" w:hAnsi="Times New Roman" w:eastAsia="宋体" w:cs="Times New Roman"/>
                      <w:b w:val="0"/>
                      <w:bCs w:val="0"/>
                      <w:color w:val="auto"/>
                      <w:sz w:val="21"/>
                      <w:szCs w:val="21"/>
                      <w:highlight w:val="none"/>
                      <w:u w:val="none" w:color="auto"/>
                      <w:vertAlign w:val="baseline"/>
                      <w:lang w:val="en-US" w:eastAsia="zh-CN"/>
                    </w:rPr>
                    <w:t>紫外线</w:t>
                  </w:r>
                </w:p>
              </w:tc>
              <w:tc>
                <w:tcPr>
                  <w:tcW w:w="757" w:type="pct"/>
                  <w:tcBorders>
                    <w:tl2br w:val="nil"/>
                    <w:tr2bl w:val="nil"/>
                  </w:tcBorders>
                  <w:noWrap w:val="0"/>
                  <w:vAlign w:val="center"/>
                </w:tcPr>
                <w:p w14:paraId="2A1815C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color w:val="auto"/>
                      <w:sz w:val="21"/>
                      <w:szCs w:val="21"/>
                      <w:u w:val="none" w:color="auto"/>
                      <w:vertAlign w:val="baseline"/>
                      <w:lang w:eastAsia="zh-CN"/>
                    </w:rPr>
                  </w:pPr>
                  <w:r>
                    <w:rPr>
                      <w:rFonts w:hint="eastAsia"/>
                      <w:b w:val="0"/>
                      <w:bCs w:val="0"/>
                      <w:color w:val="auto"/>
                      <w:sz w:val="21"/>
                      <w:szCs w:val="21"/>
                      <w:u w:val="none" w:color="auto"/>
                      <w:vertAlign w:val="baseline"/>
                      <w:lang w:eastAsia="zh-CN"/>
                    </w:rPr>
                    <w:t>无</w:t>
                  </w:r>
                </w:p>
              </w:tc>
              <w:tc>
                <w:tcPr>
                  <w:tcW w:w="777" w:type="pct"/>
                  <w:tcBorders>
                    <w:tl2br w:val="nil"/>
                    <w:tr2bl w:val="nil"/>
                  </w:tcBorders>
                  <w:noWrap w:val="0"/>
                  <w:vAlign w:val="center"/>
                </w:tcPr>
                <w:p w14:paraId="726D072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color w:val="auto"/>
                      <w:sz w:val="21"/>
                      <w:szCs w:val="21"/>
                      <w:u w:val="none" w:color="auto"/>
                      <w:vertAlign w:val="baseline"/>
                      <w:lang w:val="en-US" w:eastAsia="zh-CN"/>
                    </w:rPr>
                  </w:pPr>
                  <w:r>
                    <w:rPr>
                      <w:rFonts w:hint="eastAsia"/>
                      <w:b w:val="0"/>
                      <w:bCs w:val="0"/>
                      <w:color w:val="auto"/>
                      <w:sz w:val="21"/>
                      <w:szCs w:val="21"/>
                      <w:u w:val="none" w:color="auto"/>
                      <w:vertAlign w:val="baseline"/>
                      <w:lang w:val="en-US" w:eastAsia="zh-CN"/>
                    </w:rPr>
                    <w:t>/</w:t>
                  </w:r>
                </w:p>
              </w:tc>
              <w:tc>
                <w:tcPr>
                  <w:tcW w:w="1304" w:type="pct"/>
                  <w:tcBorders>
                    <w:tl2br w:val="nil"/>
                    <w:tr2bl w:val="nil"/>
                  </w:tcBorders>
                  <w:noWrap w:val="0"/>
                  <w:vAlign w:val="center"/>
                </w:tcPr>
                <w:p w14:paraId="3DFA58F6">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无有害的残余物质；无臭味；操作简单，易实现自动化；运行管理和维修费用低</w:t>
                  </w:r>
                </w:p>
              </w:tc>
              <w:tc>
                <w:tcPr>
                  <w:tcW w:w="866" w:type="pct"/>
                  <w:tcBorders>
                    <w:tl2br w:val="nil"/>
                    <w:tr2bl w:val="nil"/>
                  </w:tcBorders>
                  <w:noWrap w:val="0"/>
                  <w:vAlign w:val="center"/>
                </w:tcPr>
                <w:p w14:paraId="5973D5A7">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color w:val="auto"/>
                      <w:sz w:val="21"/>
                      <w:szCs w:val="21"/>
                      <w:u w:val="none" w:color="auto"/>
                      <w:vertAlign w:val="baseline"/>
                    </w:rPr>
                  </w:pPr>
                  <w:r>
                    <w:rPr>
                      <w:rFonts w:hint="eastAsia" w:ascii="宋体" w:hAnsi="宋体" w:eastAsia="宋体" w:cs="宋体"/>
                      <w:color w:val="auto"/>
                      <w:kern w:val="0"/>
                      <w:sz w:val="21"/>
                      <w:szCs w:val="21"/>
                      <w:u w:val="none" w:color="auto"/>
                      <w:lang w:val="en-US" w:eastAsia="zh-CN" w:bidi="ar"/>
                    </w:rPr>
                    <w:t>电耗大；紫外灯管与石英套管需定期更换；对处理水的水质要求较高；无后续杀菌作用</w:t>
                  </w:r>
                </w:p>
              </w:tc>
            </w:tr>
          </w:tbl>
          <w:p w14:paraId="69F596E0">
            <w:pPr>
              <w:pStyle w:val="35"/>
              <w:rPr>
                <w:rFonts w:hint="eastAsia" w:ascii="Times New Roman" w:hAnsi="Times New Roman" w:eastAsia="宋体" w:cs="Times New Roman"/>
                <w:color w:val="auto"/>
                <w:kern w:val="0"/>
                <w:sz w:val="24"/>
                <w:highlight w:val="none"/>
                <w:u w:val="none" w:color="auto"/>
                <w:lang w:val="en-US" w:eastAsia="zh-CN"/>
              </w:rPr>
            </w:pPr>
            <w:r>
              <w:rPr>
                <w:rFonts w:hint="eastAsia" w:ascii="Times New Roman" w:hAnsi="Times New Roman" w:cs="Times New Roman"/>
                <w:color w:val="auto"/>
                <w:kern w:val="0"/>
                <w:sz w:val="24"/>
                <w:highlight w:val="none"/>
                <w:u w:val="none" w:color="auto"/>
                <w:lang w:val="en-US" w:eastAsia="zh-CN"/>
              </w:rPr>
              <w:t>由上表可知，从各类消毒剂的副产物、储存要求、优缺点来看，活性氧消毒剂不会产生副作用，储存要求简单便于储存，杀菌能力和速度可满足医院废水消毒要求。</w:t>
            </w:r>
          </w:p>
          <w:p w14:paraId="2D66B1FF">
            <w:pPr>
              <w:pStyle w:val="3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color="auto"/>
                <w:lang w:val="en-US" w:eastAsia="zh-CN" w:bidi="ar-SA"/>
              </w:rPr>
            </w:pPr>
            <w:r>
              <w:rPr>
                <w:rFonts w:hint="eastAsia" w:ascii="Times New Roman" w:hAnsi="Times New Roman" w:eastAsia="宋体" w:cs="Times New Roman"/>
                <w:color w:val="auto"/>
                <w:kern w:val="0"/>
                <w:sz w:val="24"/>
                <w:szCs w:val="22"/>
                <w:highlight w:val="none"/>
                <w:u w:val="none" w:color="auto"/>
                <w:lang w:val="en-US" w:eastAsia="zh-CN" w:bidi="ar-SA"/>
              </w:rPr>
              <w:t>活性氧消毒剂消毒原理：硫酸氢钾复合盐为主要原料配制而成的新型污水处理活性氧消毒剂。单过硫酸氢钾与过氧乙酸极其相似，过氧键分别与硫原子、碳原子连接，过硫酸氢钾是无机物，其消毒有效成分是单过硫酸根离子，它可将微生物的蛋白质氧化，导致微生物死亡。单过硫酸氢钾是中性盐，其水溶液的酸性是由于复合盐中硫酸氢钾溶解产生氢离子造成的。但是过硫酸氢钾在酸性条件下稳定性要远远好于中性条件，在碱性条件下则会快速分解。复配后的过硫酸氢钾复合盐，是将氯化钠、有机酸与单过硫酸氢钾制成的单过硫酸氢钾复合盐消毒剂，在水溶液中，利用单过硫酸氢钾特殊的氧化能力，在水中发生链式反应，不断产生新生态氧、次氯酸、自由羟基、过氧化氢。通过新生态氧和自由羟基的氧化作用可以改变细胞膜的通透性使之破裂，从而正常保护层，达到杀灭细菌、真菌、原虫、病毒的目的。活性氧消毒剂不含氯，反应后生成氧气和水，具有化学性质稳定、无毒、无味、无副作用的优点，是一种消毒与灭菌效果好的环保型化学药剂。产品储存期可达一年，便于储存和运输。</w:t>
            </w:r>
          </w:p>
          <w:p w14:paraId="0448FFE6">
            <w:pPr>
              <w:pStyle w:val="3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color="auto"/>
                <w:lang w:val="en-US" w:eastAsia="zh-CN" w:bidi="ar-SA"/>
              </w:rPr>
            </w:pPr>
            <w:r>
              <w:rPr>
                <w:rFonts w:hint="eastAsia" w:ascii="Times New Roman" w:hAnsi="Times New Roman" w:eastAsia="宋体" w:cs="Times New Roman"/>
                <w:color w:val="auto"/>
                <w:kern w:val="0"/>
                <w:sz w:val="24"/>
                <w:szCs w:val="22"/>
                <w:highlight w:val="none"/>
                <w:u w:val="none" w:color="auto"/>
                <w:lang w:val="en-US" w:eastAsia="zh-CN" w:bidi="ar-SA"/>
              </w:rPr>
              <w:t>市场上最常用的化学消毒剂分为氧化型和非氧化型。氧化型消毒剂包括含氯消毒剂和过氧化物消毒剂。含氯消毒剂的杀菌效果明显，但是对人的呼吸道黏膜和皮肤有明显的刺激作用，对物品有腐蚀和漂白作用，大量使用还会对环境造成不可逆转的严重污染。</w:t>
            </w:r>
          </w:p>
          <w:p w14:paraId="2F839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u w:val="none" w:color="auto"/>
                <w:lang w:val="en-US" w:eastAsia="zh-CN"/>
              </w:rPr>
            </w:pPr>
            <w:r>
              <w:rPr>
                <w:rFonts w:hint="eastAsia" w:ascii="Times New Roman" w:hAnsi="Times New Roman" w:eastAsia="宋体" w:cs="Times New Roman"/>
                <w:color w:val="auto"/>
                <w:kern w:val="0"/>
                <w:sz w:val="24"/>
                <w:szCs w:val="22"/>
                <w:highlight w:val="none"/>
                <w:u w:val="none" w:color="auto"/>
                <w:lang w:val="en-US" w:eastAsia="zh-CN" w:bidi="ar-SA"/>
              </w:rPr>
              <w:t>根据《医院污水处理工程技术规范》（</w:t>
            </w:r>
            <w:r>
              <w:rPr>
                <w:rFonts w:hint="default" w:ascii="Times New Roman" w:hAnsi="Times New Roman" w:eastAsia="宋体" w:cs="Times New Roman"/>
                <w:color w:val="auto"/>
                <w:kern w:val="0"/>
                <w:sz w:val="24"/>
                <w:szCs w:val="22"/>
                <w:highlight w:val="none"/>
                <w:u w:val="none" w:color="auto"/>
                <w:lang w:val="en-US" w:eastAsia="zh-CN" w:bidi="ar-SA"/>
              </w:rPr>
              <w:t>HJ2029-2013</w:t>
            </w:r>
            <w:r>
              <w:rPr>
                <w:rFonts w:hint="eastAsia" w:ascii="Times New Roman" w:hAnsi="Times New Roman" w:eastAsia="宋体" w:cs="Times New Roman"/>
                <w:color w:val="auto"/>
                <w:kern w:val="0"/>
                <w:sz w:val="24"/>
                <w:szCs w:val="22"/>
                <w:highlight w:val="none"/>
                <w:u w:val="none" w:color="auto"/>
                <w:lang w:val="en-US" w:eastAsia="zh-CN" w:bidi="ar-SA"/>
              </w:rPr>
              <w:t>）中表6.1.3“非传染病医院污水，若出水排入终端已建有正常运行的二级污水处理厂的城市污水管网时，可采用一级强化+消毒工艺”。</w:t>
            </w:r>
            <w:r>
              <w:rPr>
                <w:rFonts w:hint="eastAsia" w:ascii="Times New Roman" w:hAnsi="Times New Roman" w:eastAsia="宋体" w:cs="Times New Roman"/>
                <w:color w:val="auto"/>
                <w:sz w:val="24"/>
                <w:szCs w:val="24"/>
                <w:highlight w:val="none"/>
                <w:u w:val="none" w:color="auto"/>
                <w:lang w:val="en-US" w:eastAsia="zh-CN"/>
              </w:rPr>
              <w:t>根据《排污许可证申请与核发技术规范医疗机构》（HJ 1105-2020），表A.2医疗机构排污单位污水治理可行技术参照表可知，医疗污水排入洣水，污水治理可行技术包括“一</w:t>
            </w:r>
            <w:r>
              <w:rPr>
                <w:rFonts w:hint="eastAsia" w:cs="Times New Roman"/>
                <w:color w:val="auto"/>
                <w:sz w:val="24"/>
                <w:szCs w:val="24"/>
                <w:highlight w:val="none"/>
                <w:u w:val="none" w:color="auto"/>
                <w:lang w:val="en-US" w:eastAsia="zh-CN"/>
              </w:rPr>
              <w:t>－</w:t>
            </w:r>
            <w:r>
              <w:rPr>
                <w:rFonts w:hint="eastAsia" w:ascii="Times New Roman" w:hAnsi="Times New Roman" w:eastAsia="宋体" w:cs="Times New Roman"/>
                <w:color w:val="auto"/>
                <w:sz w:val="24"/>
                <w:szCs w:val="24"/>
                <w:highlight w:val="none"/>
                <w:u w:val="none" w:color="auto"/>
                <w:lang w:val="en-US" w:eastAsia="zh-CN"/>
              </w:rPr>
              <w:t>级处理/一级强化处理+消毒工艺”。本项目</w:t>
            </w:r>
            <w:r>
              <w:rPr>
                <w:rFonts w:hint="eastAsia" w:ascii="Times New Roman" w:hAnsi="Times New Roman" w:eastAsia="宋体" w:cs="Times New Roman"/>
                <w:color w:val="auto"/>
                <w:spacing w:val="0"/>
                <w:w w:val="100"/>
                <w:position w:val="0"/>
                <w:sz w:val="24"/>
                <w:szCs w:val="24"/>
                <w:u w:val="none" w:color="auto"/>
                <w:lang w:val="en-US" w:eastAsia="zh-CN"/>
              </w:rPr>
              <w:t>采用(隔栅池+调节池+AO生物接触氧化池+二沉池+活性氧消毒)，（二氧化氯消毒装置备用）。</w:t>
            </w:r>
            <w:r>
              <w:rPr>
                <w:rFonts w:hint="eastAsia" w:ascii="Times New Roman" w:hAnsi="Times New Roman" w:eastAsia="宋体" w:cs="Times New Roman"/>
                <w:color w:val="auto"/>
                <w:sz w:val="24"/>
                <w:szCs w:val="24"/>
                <w:highlight w:val="none"/>
                <w:u w:val="none" w:color="auto"/>
                <w:lang w:val="en-US" w:eastAsia="zh-CN"/>
              </w:rPr>
              <w:t>故本项目污水处理站处理工艺可行。</w:t>
            </w:r>
          </w:p>
          <w:p w14:paraId="72FDD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rFonts w:hint="eastAsia"/>
                <w:color w:val="auto"/>
                <w:sz w:val="24"/>
                <w:szCs w:val="24"/>
                <w:u w:val="none" w:color="auto"/>
                <w:lang w:val="en-US" w:eastAsia="zh-CN"/>
              </w:rPr>
              <w:t>处理工艺可行性分析：</w:t>
            </w:r>
          </w:p>
          <w:p w14:paraId="2802A2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Cs w:val="24"/>
                <w:u w:val="none" w:color="auto"/>
                <w:lang w:val="en-US" w:eastAsia="zh-CN" w:bidi="ar"/>
              </w:rPr>
            </w:pPr>
            <w:r>
              <w:rPr>
                <w:rFonts w:hint="default"/>
                <w:color w:val="auto"/>
                <w:sz w:val="24"/>
                <w:szCs w:val="24"/>
                <w:u w:val="none" w:color="auto"/>
                <w:lang w:val="en-US" w:eastAsia="zh-CN"/>
              </w:rPr>
              <w:t>根据《排污许可证申请与核发技术规范医疗机构》（HJ1105-2020）要求，医疗机构排污单位的污水污染防治可行技术参考附录A中的表A.2，参照表见下表4-</w:t>
            </w:r>
            <w:r>
              <w:rPr>
                <w:rFonts w:hint="eastAsia"/>
                <w:color w:val="auto"/>
                <w:sz w:val="24"/>
                <w:szCs w:val="24"/>
                <w:u w:val="none" w:color="auto"/>
                <w:lang w:val="en-US" w:eastAsia="zh-CN"/>
              </w:rPr>
              <w:t>5</w:t>
            </w:r>
            <w:r>
              <w:rPr>
                <w:rFonts w:hint="default"/>
                <w:color w:val="auto"/>
                <w:sz w:val="24"/>
                <w:szCs w:val="24"/>
                <w:u w:val="none" w:color="auto"/>
                <w:lang w:val="en-US" w:eastAsia="zh-CN"/>
              </w:rPr>
              <w:t>。</w:t>
            </w:r>
          </w:p>
          <w:p w14:paraId="061E79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表4-</w:t>
            </w:r>
            <w:r>
              <w:rPr>
                <w:rFonts w:hint="eastAsia"/>
                <w:b/>
                <w:bCs/>
                <w:color w:val="auto"/>
                <w:sz w:val="21"/>
                <w:szCs w:val="21"/>
                <w:u w:val="none" w:color="auto"/>
                <w:lang w:val="en-US" w:eastAsia="zh-CN"/>
              </w:rPr>
              <w:t xml:space="preserve">6 </w:t>
            </w:r>
            <w:r>
              <w:rPr>
                <w:rFonts w:ascii="Times New Roman" w:hAnsi="Times New Roman" w:eastAsia="宋体"/>
                <w:b/>
                <w:bCs/>
                <w:color w:val="auto"/>
                <w:sz w:val="21"/>
                <w:szCs w:val="21"/>
                <w:u w:val="none" w:color="auto"/>
              </w:rPr>
              <w:t>废水可行技术参考表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920"/>
              <w:gridCol w:w="1978"/>
              <w:gridCol w:w="3941"/>
            </w:tblGrid>
            <w:tr w14:paraId="5D71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14:paraId="42D30E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污水类别</w:t>
                  </w:r>
                </w:p>
              </w:tc>
              <w:tc>
                <w:tcPr>
                  <w:tcW w:w="2268" w:type="dxa"/>
                  <w:vAlign w:val="center"/>
                </w:tcPr>
                <w:p w14:paraId="2E30E7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污染物种类</w:t>
                  </w:r>
                </w:p>
              </w:tc>
              <w:tc>
                <w:tcPr>
                  <w:tcW w:w="1536" w:type="dxa"/>
                  <w:vAlign w:val="center"/>
                </w:tcPr>
                <w:p w14:paraId="208F76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排放去向</w:t>
                  </w:r>
                </w:p>
              </w:tc>
              <w:tc>
                <w:tcPr>
                  <w:tcW w:w="3060" w:type="dxa"/>
                  <w:vAlign w:val="center"/>
                </w:tcPr>
                <w:p w14:paraId="4B69AA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可行技术</w:t>
                  </w:r>
                </w:p>
              </w:tc>
            </w:tr>
            <w:tr w14:paraId="6A3B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14:paraId="2AB81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医疗废水</w:t>
                  </w:r>
                </w:p>
              </w:tc>
              <w:tc>
                <w:tcPr>
                  <w:tcW w:w="2268" w:type="dxa"/>
                  <w:vMerge w:val="restart"/>
                  <w:vAlign w:val="center"/>
                </w:tcPr>
                <w:p w14:paraId="4AB767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粪大肠杆菌群数、肠道致病菌、肠道病毒、化学需氧量、氨氮、pH值、悬浮物、五日生化需氧量、动植物油、石油类、阴离子表面活性剂、挥发酚、色度、总余</w:t>
                  </w:r>
                  <w:r>
                    <w:rPr>
                      <w:rFonts w:hint="eastAsia"/>
                      <w:color w:val="auto"/>
                      <w:sz w:val="21"/>
                      <w:szCs w:val="21"/>
                      <w:u w:val="none" w:color="auto"/>
                      <w:lang w:eastAsia="zh-CN"/>
                    </w:rPr>
                    <w:t>氧</w:t>
                  </w:r>
                </w:p>
              </w:tc>
              <w:tc>
                <w:tcPr>
                  <w:tcW w:w="1536" w:type="dxa"/>
                  <w:vAlign w:val="center"/>
                </w:tcPr>
                <w:p w14:paraId="3C791D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进入海域、江、河、湖库等水体</w:t>
                  </w:r>
                </w:p>
              </w:tc>
              <w:tc>
                <w:tcPr>
                  <w:tcW w:w="3060" w:type="dxa"/>
                  <w:vAlign w:val="center"/>
                </w:tcPr>
                <w:p w14:paraId="23A4AD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一级处理/深度处理+消毒工艺。二级处理包括：活性污泥法；生物膜法。深度处理包括：絮凝沉淀；砂滤法；活性炭法；臭氧氧化法；膜分离法；生物脱氮除磷法。消毒工艺：加氯消毒，臭氧法消毒，次氯酸钠法、单过硫酸氢钾 复合粉法消毒、紫外线消毒等。</w:t>
                  </w:r>
                </w:p>
              </w:tc>
            </w:tr>
            <w:tr w14:paraId="456F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14:paraId="6BC051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p>
              </w:tc>
              <w:tc>
                <w:tcPr>
                  <w:tcW w:w="2268" w:type="dxa"/>
                  <w:vMerge w:val="continue"/>
                  <w:vAlign w:val="center"/>
                </w:tcPr>
                <w:p w14:paraId="48A614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p>
              </w:tc>
              <w:tc>
                <w:tcPr>
                  <w:tcW w:w="1536" w:type="dxa"/>
                  <w:vAlign w:val="center"/>
                </w:tcPr>
                <w:p w14:paraId="1401B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排入城镇</w:t>
                  </w:r>
                </w:p>
                <w:p w14:paraId="71D940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污水处理</w:t>
                  </w:r>
                </w:p>
                <w:p w14:paraId="380C3A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厂</w:t>
                  </w:r>
                </w:p>
              </w:tc>
              <w:tc>
                <w:tcPr>
                  <w:tcW w:w="3060" w:type="dxa"/>
                  <w:vAlign w:val="center"/>
                </w:tcPr>
                <w:p w14:paraId="7DF3D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ascii="Times New Roman" w:hAnsi="Times New Roman" w:eastAsia="宋体"/>
                      <w:color w:val="auto"/>
                      <w:sz w:val="21"/>
                      <w:szCs w:val="21"/>
                      <w:u w:val="none" w:color="auto"/>
                    </w:rPr>
                    <w:t>一级处理/深度处理+消毒工艺。一级处理包括：筛滤法；沉淀法；气浮法；预曝气法。一级强化处理包括：化学混凝处理、机械过滤或不完全生物处理。消毒工艺：加氯消毒法，臭氧法消毒，次氯酸钠法、单过硫酸氢钾复合粉法消毒、紫外线消毒</w:t>
                  </w:r>
                </w:p>
              </w:tc>
            </w:tr>
            <w:tr w14:paraId="3FA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14:paraId="7553C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eastAsia" w:ascii="Times New Roman" w:hAnsi="Times New Roman" w:eastAsia="宋体"/>
                      <w:color w:val="auto"/>
                      <w:sz w:val="21"/>
                      <w:szCs w:val="21"/>
                      <w:u w:val="none" w:color="auto"/>
                      <w:lang w:eastAsia="zh-CN"/>
                    </w:rPr>
                    <w:t>生活污水</w:t>
                  </w:r>
                </w:p>
              </w:tc>
              <w:tc>
                <w:tcPr>
                  <w:tcW w:w="2268" w:type="dxa"/>
                  <w:vMerge w:val="restart"/>
                  <w:vAlign w:val="center"/>
                </w:tcPr>
                <w:p w14:paraId="15C1A3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eastAsia"/>
                      <w:color w:val="auto"/>
                      <w:sz w:val="21"/>
                      <w:szCs w:val="21"/>
                      <w:u w:val="none" w:color="auto"/>
                      <w:lang w:val="en-US" w:eastAsia="zh-CN"/>
                    </w:rPr>
                    <w:t>pH值</w:t>
                  </w:r>
                  <w:r>
                    <w:rPr>
                      <w:rFonts w:hint="eastAsia" w:ascii="Times New Roman" w:hAnsi="Times New Roman" w:eastAsia="宋体"/>
                      <w:color w:val="auto"/>
                      <w:sz w:val="21"/>
                      <w:szCs w:val="21"/>
                      <w:u w:val="none" w:color="auto"/>
                      <w:lang w:val="en-US" w:eastAsia="zh-CN"/>
                    </w:rPr>
                    <w:t>、化学需氧量、五日生化需氧量、悬浮物、氨氮、动植物油</w:t>
                  </w:r>
                </w:p>
              </w:tc>
              <w:tc>
                <w:tcPr>
                  <w:tcW w:w="1536" w:type="dxa"/>
                  <w:vAlign w:val="center"/>
                </w:tcPr>
                <w:p w14:paraId="35E5AD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eastAsia" w:ascii="Times New Roman" w:hAnsi="Times New Roman" w:eastAsia="宋体"/>
                      <w:color w:val="auto"/>
                      <w:sz w:val="21"/>
                      <w:szCs w:val="21"/>
                      <w:u w:val="none" w:color="auto"/>
                      <w:lang w:eastAsia="zh-CN"/>
                    </w:rPr>
                    <w:t>进入海域、江、河、湖库等水体</w:t>
                  </w:r>
                </w:p>
              </w:tc>
              <w:tc>
                <w:tcPr>
                  <w:tcW w:w="3060" w:type="dxa"/>
                  <w:vAlign w:val="center"/>
                </w:tcPr>
                <w:p w14:paraId="7AC3EA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eastAsia" w:ascii="Times New Roman" w:hAnsi="Times New Roman" w:eastAsia="宋体"/>
                      <w:color w:val="auto"/>
                      <w:sz w:val="21"/>
                      <w:szCs w:val="21"/>
                      <w:u w:val="none" w:color="auto"/>
                      <w:lang w:eastAsia="zh-CN"/>
                    </w:rPr>
                    <w:t>二级处理：生物滤池；活性污泥法；生物膜法；深度处理：絮凝沉淀法；砂滤法；活性炭法；臭氧氧化法；膜分离法；离子交换法；</w:t>
                  </w:r>
                  <w:r>
                    <w:rPr>
                      <w:rFonts w:hint="eastAsia"/>
                      <w:color w:val="auto"/>
                      <w:sz w:val="21"/>
                      <w:szCs w:val="21"/>
                      <w:u w:val="none" w:color="auto"/>
                      <w:lang w:eastAsia="zh-CN"/>
                    </w:rPr>
                    <w:t>电解处理</w:t>
                  </w:r>
                  <w:r>
                    <w:rPr>
                      <w:rFonts w:hint="eastAsia" w:ascii="Times New Roman" w:hAnsi="Times New Roman" w:eastAsia="宋体"/>
                      <w:color w:val="auto"/>
                      <w:sz w:val="21"/>
                      <w:szCs w:val="21"/>
                      <w:u w:val="none" w:color="auto"/>
                      <w:lang w:eastAsia="zh-CN"/>
                    </w:rPr>
                    <w:t>式氧化法；催化氧化法</w:t>
                  </w:r>
                </w:p>
              </w:tc>
            </w:tr>
            <w:tr w14:paraId="2D9A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14:paraId="388998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p>
              </w:tc>
              <w:tc>
                <w:tcPr>
                  <w:tcW w:w="2268" w:type="dxa"/>
                  <w:vMerge w:val="continue"/>
                  <w:vAlign w:val="center"/>
                </w:tcPr>
                <w:p w14:paraId="511B46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p>
              </w:tc>
              <w:tc>
                <w:tcPr>
                  <w:tcW w:w="1536" w:type="dxa"/>
                  <w:vAlign w:val="center"/>
                </w:tcPr>
                <w:p w14:paraId="585939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eastAsia" w:ascii="Times New Roman" w:hAnsi="Times New Roman" w:eastAsia="宋体"/>
                      <w:color w:val="auto"/>
                      <w:sz w:val="21"/>
                      <w:szCs w:val="21"/>
                      <w:u w:val="none" w:color="auto"/>
                      <w:lang w:eastAsia="zh-CN"/>
                    </w:rPr>
                    <w:t>排入城镇污水处理厂</w:t>
                  </w:r>
                </w:p>
              </w:tc>
              <w:tc>
                <w:tcPr>
                  <w:tcW w:w="3060" w:type="dxa"/>
                  <w:vAlign w:val="center"/>
                </w:tcPr>
                <w:p w14:paraId="41BB49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eastAsia" w:ascii="Times New Roman" w:hAnsi="Times New Roman" w:eastAsia="宋体"/>
                      <w:color w:val="auto"/>
                      <w:sz w:val="21"/>
                      <w:szCs w:val="21"/>
                      <w:u w:val="none" w:color="auto"/>
                      <w:lang w:val="en-US" w:eastAsia="zh-CN"/>
                    </w:rPr>
                    <w:t>/</w:t>
                  </w:r>
                </w:p>
              </w:tc>
            </w:tr>
          </w:tbl>
          <w:p w14:paraId="12893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color="auto"/>
                <w:lang w:val="en-US" w:eastAsia="zh-CN"/>
              </w:rPr>
            </w:pPr>
            <w:r>
              <w:rPr>
                <w:rFonts w:hint="default"/>
                <w:color w:val="auto"/>
                <w:sz w:val="24"/>
                <w:szCs w:val="24"/>
                <w:u w:val="none" w:color="auto"/>
                <w:lang w:val="en-US" w:eastAsia="zh-CN"/>
              </w:rPr>
              <w:t>项目所在地不在</w:t>
            </w:r>
            <w:r>
              <w:rPr>
                <w:rFonts w:hint="eastAsia"/>
                <w:color w:val="auto"/>
                <w:sz w:val="24"/>
                <w:szCs w:val="24"/>
                <w:u w:val="none" w:color="auto"/>
                <w:lang w:val="en-US" w:eastAsia="zh-CN"/>
              </w:rPr>
              <w:t>茶陵县</w:t>
            </w:r>
            <w:r>
              <w:rPr>
                <w:rFonts w:hint="default"/>
                <w:color w:val="auto"/>
                <w:sz w:val="24"/>
                <w:szCs w:val="24"/>
                <w:u w:val="none" w:color="auto"/>
                <w:lang w:val="en-US" w:eastAsia="zh-CN"/>
              </w:rPr>
              <w:t>污水处理厂污水管网纳污范围内，因此项目排水去向为直接排入水体，</w:t>
            </w:r>
            <w:r>
              <w:rPr>
                <w:rFonts w:hint="eastAsia"/>
                <w:color w:val="auto"/>
                <w:sz w:val="24"/>
                <w:szCs w:val="24"/>
                <w:u w:val="none" w:color="auto"/>
                <w:lang w:val="en-US" w:eastAsia="zh-CN"/>
              </w:rPr>
              <w:t>医疗</w:t>
            </w:r>
            <w:r>
              <w:rPr>
                <w:rFonts w:hint="default"/>
                <w:color w:val="auto"/>
                <w:sz w:val="24"/>
                <w:szCs w:val="24"/>
                <w:u w:val="none" w:color="auto"/>
                <w:lang w:val="en-US" w:eastAsia="zh-CN"/>
              </w:rPr>
              <w:t>废水排放执行《医疗机构水污染物排放标准》GB18466-2005）表2中排放标准</w:t>
            </w:r>
            <w:r>
              <w:rPr>
                <w:rFonts w:hint="eastAsia"/>
                <w:color w:val="auto"/>
                <w:sz w:val="24"/>
                <w:szCs w:val="24"/>
                <w:u w:val="none" w:color="auto"/>
                <w:lang w:val="en-US" w:eastAsia="zh-CN"/>
              </w:rPr>
              <w:t>，</w:t>
            </w:r>
            <w:r>
              <w:rPr>
                <w:rFonts w:hint="default"/>
                <w:color w:val="auto"/>
                <w:sz w:val="24"/>
                <w:szCs w:val="24"/>
                <w:u w:val="none" w:color="auto"/>
                <w:lang w:val="en-US" w:eastAsia="zh-CN"/>
              </w:rPr>
              <w:t>项目目前采用二级处理+消毒工艺，因此处理工艺属于《排污许可证申请与核发技术规范医疗机构》（HJ1105-2020）可行技术，因此处理工艺可行。</w:t>
            </w:r>
          </w:p>
          <w:p w14:paraId="3E295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color w:val="auto"/>
                <w:sz w:val="24"/>
                <w:szCs w:val="24"/>
                <w:u w:val="none" w:color="auto"/>
                <w:lang w:eastAsia="zh-CN"/>
              </w:rPr>
            </w:pPr>
            <w:r>
              <w:rPr>
                <w:rFonts w:hint="eastAsia" w:ascii="Times New Roman" w:hAnsi="Times New Roman" w:eastAsia="宋体" w:cs="Times New Roman"/>
                <w:color w:val="auto"/>
                <w:kern w:val="2"/>
                <w:sz w:val="24"/>
                <w:szCs w:val="24"/>
                <w:u w:val="none" w:color="auto"/>
                <w:lang w:val="en-US" w:eastAsia="zh-CN" w:bidi="ar-SA"/>
              </w:rPr>
              <w:t>（3）</w:t>
            </w:r>
            <w:r>
              <w:rPr>
                <w:rFonts w:hint="eastAsia"/>
                <w:color w:val="auto"/>
                <w:sz w:val="24"/>
                <w:szCs w:val="24"/>
                <w:u w:val="none" w:color="auto"/>
                <w:lang w:eastAsia="zh-CN"/>
              </w:rPr>
              <w:t>废水直接排放可行性分析</w:t>
            </w:r>
          </w:p>
          <w:p w14:paraId="5AFE1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经论证本项目废水可直接排放，详见入河排污口设置论证章节。</w:t>
            </w:r>
          </w:p>
          <w:p w14:paraId="35152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auto"/>
                <w:sz w:val="24"/>
                <w:szCs w:val="24"/>
                <w:u w:val="none" w:color="auto"/>
                <w:lang w:val="en-US" w:eastAsia="zh-CN"/>
              </w:rPr>
            </w:pPr>
            <w:r>
              <w:rPr>
                <w:rFonts w:hint="eastAsia" w:ascii="Times New Roman" w:hAnsi="Times New Roman" w:eastAsia="宋体"/>
                <w:color w:val="auto"/>
                <w:sz w:val="24"/>
                <w:szCs w:val="24"/>
                <w:u w:val="none" w:color="auto"/>
                <w:lang w:eastAsia="zh-CN"/>
              </w:rPr>
              <w:t>（</w:t>
            </w:r>
            <w:r>
              <w:rPr>
                <w:rFonts w:hint="eastAsia"/>
                <w:color w:val="auto"/>
                <w:sz w:val="24"/>
                <w:szCs w:val="24"/>
                <w:u w:val="none" w:color="auto"/>
                <w:lang w:val="en-US" w:eastAsia="zh-CN"/>
              </w:rPr>
              <w:t>4</w:t>
            </w:r>
            <w:r>
              <w:rPr>
                <w:rFonts w:hint="eastAsia" w:ascii="Times New Roman" w:hAnsi="Times New Roman" w:eastAsia="宋体"/>
                <w:color w:val="auto"/>
                <w:sz w:val="24"/>
                <w:szCs w:val="24"/>
                <w:u w:val="none" w:color="auto"/>
                <w:lang w:eastAsia="zh-CN"/>
              </w:rPr>
              <w:t>）废水排放情况</w:t>
            </w:r>
          </w:p>
          <w:p w14:paraId="2E944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本项目废水排放基本信息见</w:t>
            </w:r>
            <w:r>
              <w:rPr>
                <w:rFonts w:hint="eastAsia"/>
                <w:color w:val="auto"/>
                <w:sz w:val="24"/>
                <w:szCs w:val="24"/>
                <w:u w:val="none" w:color="auto"/>
                <w:lang w:eastAsia="zh-CN"/>
              </w:rPr>
              <w:t>下</w:t>
            </w:r>
            <w:r>
              <w:rPr>
                <w:rFonts w:ascii="Times New Roman" w:hAnsi="Times New Roman" w:eastAsia="宋体"/>
                <w:color w:val="auto"/>
                <w:sz w:val="24"/>
                <w:szCs w:val="24"/>
                <w:u w:val="none" w:color="auto"/>
              </w:rPr>
              <w:t>表。</w:t>
            </w:r>
          </w:p>
          <w:p w14:paraId="20C83B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表4-</w:t>
            </w:r>
            <w:r>
              <w:rPr>
                <w:rFonts w:hint="eastAsia"/>
                <w:b/>
                <w:bCs/>
                <w:color w:val="auto"/>
                <w:sz w:val="21"/>
                <w:szCs w:val="21"/>
                <w:u w:val="none" w:color="auto"/>
                <w:lang w:val="en-US" w:eastAsia="zh-CN"/>
              </w:rPr>
              <w:t xml:space="preserve">7 </w:t>
            </w:r>
            <w:r>
              <w:rPr>
                <w:rFonts w:ascii="Times New Roman" w:hAnsi="Times New Roman" w:eastAsia="宋体"/>
                <w:b/>
                <w:bCs/>
                <w:color w:val="auto"/>
                <w:sz w:val="21"/>
                <w:szCs w:val="21"/>
                <w:u w:val="none" w:color="auto"/>
              </w:rPr>
              <w:t>废水类别、污染物及污染治理设施信息表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068"/>
              <w:gridCol w:w="1625"/>
              <w:gridCol w:w="1046"/>
              <w:gridCol w:w="692"/>
              <w:gridCol w:w="2217"/>
              <w:gridCol w:w="951"/>
            </w:tblGrid>
            <w:tr w14:paraId="6D14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vAlign w:val="center"/>
                </w:tcPr>
                <w:p w14:paraId="504164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default" w:ascii="Times New Roman" w:hAnsi="Times New Roman" w:eastAsia="宋体" w:cs="Times New Roman"/>
                      <w:color w:val="auto"/>
                      <w:sz w:val="21"/>
                      <w:szCs w:val="21"/>
                      <w:lang w:eastAsia="zh-CN"/>
                    </w:rPr>
                    <w:t>废水类别</w:t>
                  </w:r>
                </w:p>
              </w:tc>
              <w:tc>
                <w:tcPr>
                  <w:tcW w:w="0" w:type="auto"/>
                  <w:vMerge w:val="restart"/>
                  <w:vAlign w:val="center"/>
                </w:tcPr>
                <w:p w14:paraId="1C5D2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default" w:ascii="Times New Roman" w:hAnsi="Times New Roman" w:eastAsia="宋体" w:cs="Times New Roman"/>
                      <w:color w:val="auto"/>
                      <w:sz w:val="21"/>
                      <w:szCs w:val="21"/>
                      <w:lang w:eastAsia="zh-CN"/>
                    </w:rPr>
                    <w:t>污染物种类</w:t>
                  </w:r>
                </w:p>
              </w:tc>
              <w:tc>
                <w:tcPr>
                  <w:tcW w:w="0" w:type="auto"/>
                  <w:vMerge w:val="restart"/>
                  <w:vAlign w:val="center"/>
                </w:tcPr>
                <w:p w14:paraId="013FB2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default" w:ascii="Times New Roman" w:hAnsi="Times New Roman" w:eastAsia="宋体" w:cs="Times New Roman"/>
                      <w:color w:val="auto"/>
                      <w:sz w:val="21"/>
                      <w:szCs w:val="21"/>
                      <w:lang w:eastAsia="zh-CN"/>
                    </w:rPr>
                    <w:t>排放去向</w:t>
                  </w:r>
                </w:p>
              </w:tc>
              <w:tc>
                <w:tcPr>
                  <w:tcW w:w="0" w:type="auto"/>
                  <w:gridSpan w:val="3"/>
                  <w:vAlign w:val="center"/>
                </w:tcPr>
                <w:p w14:paraId="061231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default" w:ascii="Times New Roman" w:hAnsi="Times New Roman" w:eastAsia="宋体" w:cs="Times New Roman"/>
                      <w:color w:val="auto"/>
                      <w:sz w:val="21"/>
                      <w:szCs w:val="21"/>
                      <w:lang w:eastAsia="zh-CN"/>
                    </w:rPr>
                    <w:t>污染治理设备</w:t>
                  </w:r>
                </w:p>
              </w:tc>
              <w:tc>
                <w:tcPr>
                  <w:tcW w:w="0" w:type="auto"/>
                  <w:vMerge w:val="restart"/>
                  <w:vAlign w:val="center"/>
                </w:tcPr>
                <w:p w14:paraId="7B2D0A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default" w:ascii="Times New Roman" w:hAnsi="Times New Roman" w:eastAsia="宋体" w:cs="Times New Roman"/>
                      <w:color w:val="auto"/>
                      <w:sz w:val="21"/>
                      <w:szCs w:val="21"/>
                      <w:lang w:eastAsia="zh-CN"/>
                    </w:rPr>
                    <w:t>排放口编号</w:t>
                  </w:r>
                </w:p>
              </w:tc>
            </w:tr>
            <w:tr w14:paraId="3DD3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0" w:type="auto"/>
                  <w:vMerge w:val="continue"/>
                  <w:vAlign w:val="center"/>
                </w:tcPr>
                <w:p w14:paraId="587E99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p>
              </w:tc>
              <w:tc>
                <w:tcPr>
                  <w:tcW w:w="0" w:type="auto"/>
                  <w:vMerge w:val="continue"/>
                  <w:vAlign w:val="center"/>
                </w:tcPr>
                <w:p w14:paraId="6FE42D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p>
              </w:tc>
              <w:tc>
                <w:tcPr>
                  <w:tcW w:w="0" w:type="auto"/>
                  <w:vMerge w:val="continue"/>
                  <w:vAlign w:val="center"/>
                </w:tcPr>
                <w:p w14:paraId="2649AA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p>
              </w:tc>
              <w:tc>
                <w:tcPr>
                  <w:tcW w:w="0" w:type="auto"/>
                  <w:vAlign w:val="center"/>
                </w:tcPr>
                <w:p w14:paraId="5C5C11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hint="default" w:ascii="Times New Roman" w:hAnsi="Times New Roman" w:eastAsia="宋体" w:cs="Times New Roman"/>
                      <w:color w:val="auto"/>
                      <w:sz w:val="21"/>
                      <w:szCs w:val="21"/>
                    </w:rPr>
                    <w:t>污染治理设施编号</w:t>
                  </w:r>
                </w:p>
              </w:tc>
              <w:tc>
                <w:tcPr>
                  <w:tcW w:w="0" w:type="auto"/>
                  <w:vAlign w:val="center"/>
                </w:tcPr>
                <w:p w14:paraId="52A69A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hint="default" w:ascii="Times New Roman" w:hAnsi="Times New Roman" w:eastAsia="宋体" w:cs="Times New Roman"/>
                      <w:color w:val="auto"/>
                      <w:sz w:val="21"/>
                      <w:szCs w:val="21"/>
                    </w:rPr>
                    <w:t>污染治理设施名称</w:t>
                  </w:r>
                </w:p>
              </w:tc>
              <w:tc>
                <w:tcPr>
                  <w:tcW w:w="0" w:type="auto"/>
                  <w:vAlign w:val="center"/>
                </w:tcPr>
                <w:p w14:paraId="5F3401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hint="default" w:ascii="Times New Roman" w:hAnsi="Times New Roman" w:eastAsia="宋体" w:cs="Times New Roman"/>
                      <w:color w:val="auto"/>
                      <w:sz w:val="21"/>
                      <w:szCs w:val="21"/>
                    </w:rPr>
                    <w:t>污染治理设施工艺</w:t>
                  </w:r>
                </w:p>
              </w:tc>
              <w:tc>
                <w:tcPr>
                  <w:tcW w:w="0" w:type="auto"/>
                  <w:vMerge w:val="continue"/>
                  <w:vAlign w:val="center"/>
                </w:tcPr>
                <w:p w14:paraId="4D98B3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p>
              </w:tc>
            </w:tr>
            <w:tr w14:paraId="5881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14:paraId="5AC35A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default" w:ascii="Times New Roman" w:hAnsi="Times New Roman" w:eastAsia="宋体" w:cs="Times New Roman"/>
                      <w:color w:val="auto"/>
                      <w:sz w:val="21"/>
                      <w:szCs w:val="21"/>
                      <w:lang w:eastAsia="zh-CN"/>
                    </w:rPr>
                    <w:t>医疗</w:t>
                  </w:r>
                  <w:r>
                    <w:rPr>
                      <w:rFonts w:hint="eastAsia" w:cs="Times New Roman"/>
                      <w:color w:val="auto"/>
                      <w:sz w:val="21"/>
                      <w:szCs w:val="21"/>
                      <w:lang w:val="en-US" w:eastAsia="zh-CN"/>
                    </w:rPr>
                    <w:t>废</w:t>
                  </w:r>
                  <w:r>
                    <w:rPr>
                      <w:rFonts w:hint="default" w:ascii="Times New Roman" w:hAnsi="Times New Roman" w:eastAsia="宋体" w:cs="Times New Roman"/>
                      <w:color w:val="auto"/>
                      <w:sz w:val="21"/>
                      <w:szCs w:val="21"/>
                      <w:lang w:eastAsia="zh-CN"/>
                    </w:rPr>
                    <w:t>水、食堂废水、</w:t>
                  </w:r>
                  <w:r>
                    <w:rPr>
                      <w:rFonts w:hint="eastAsia" w:eastAsia="宋体" w:cs="Times New Roman"/>
                      <w:color w:val="auto"/>
                      <w:sz w:val="21"/>
                      <w:szCs w:val="21"/>
                      <w:lang w:val="en-US" w:eastAsia="zh-CN"/>
                    </w:rPr>
                    <w:t>生活废水</w:t>
                  </w:r>
                </w:p>
              </w:tc>
              <w:tc>
                <w:tcPr>
                  <w:tcW w:w="0" w:type="auto"/>
                  <w:vAlign w:val="center"/>
                </w:tcPr>
                <w:p w14:paraId="42EAB0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default" w:ascii="Times New Roman" w:hAnsi="Times New Roman" w:eastAsia="宋体" w:cs="Times New Roman"/>
                      <w:color w:val="auto"/>
                      <w:sz w:val="21"/>
                      <w:szCs w:val="21"/>
                    </w:rPr>
                    <w:t>CODcr</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-N、SS、粪大肠杆菌、总余</w:t>
                  </w:r>
                  <w:r>
                    <w:rPr>
                      <w:rFonts w:hint="default" w:ascii="Times New Roman" w:hAnsi="Times New Roman" w:eastAsia="宋体" w:cs="Times New Roman"/>
                      <w:color w:val="auto"/>
                      <w:sz w:val="21"/>
                      <w:szCs w:val="21"/>
                      <w:lang w:eastAsia="zh-CN"/>
                    </w:rPr>
                    <w:t>氧、</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highlight w:val="none"/>
                      <w:lang w:val="en-US" w:eastAsia="zh-CN"/>
                    </w:rPr>
                    <w:t>动植物油</w:t>
                  </w:r>
                </w:p>
              </w:tc>
              <w:tc>
                <w:tcPr>
                  <w:tcW w:w="0" w:type="auto"/>
                  <w:vAlign w:val="center"/>
                </w:tcPr>
                <w:p w14:paraId="1BDD4F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eastAsia" w:ascii="Times New Roman" w:hAnsi="宋体" w:eastAsia="宋体" w:cs="Times New Roman"/>
                      <w:color w:val="auto"/>
                      <w:sz w:val="21"/>
                      <w:szCs w:val="21"/>
                      <w:vertAlign w:val="baseline"/>
                      <w:lang w:val="en-US" w:eastAsia="zh-CN"/>
                    </w:rPr>
                    <w:t>经</w:t>
                  </w:r>
                  <w:r>
                    <w:rPr>
                      <w:rFonts w:hint="eastAsia" w:ascii="Times New Roman" w:cs="Times New Roman"/>
                      <w:color w:val="auto"/>
                      <w:sz w:val="21"/>
                      <w:szCs w:val="21"/>
                      <w:u w:val="none"/>
                      <w:vertAlign w:val="baseline"/>
                      <w:lang w:val="en-US" w:eastAsia="zh-CN"/>
                    </w:rPr>
                    <w:t>自建污水处理站处理后达标排入东侧的洣水，最终汇入洣水。</w:t>
                  </w:r>
                </w:p>
              </w:tc>
              <w:tc>
                <w:tcPr>
                  <w:tcW w:w="0" w:type="auto"/>
                  <w:vAlign w:val="center"/>
                </w:tcPr>
                <w:p w14:paraId="3A3C3E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default" w:ascii="Times New Roman" w:hAnsi="Times New Roman" w:eastAsia="宋体" w:cs="Times New Roman"/>
                      <w:color w:val="auto"/>
                      <w:sz w:val="21"/>
                      <w:szCs w:val="21"/>
                      <w:lang w:val="en-US" w:eastAsia="zh-CN"/>
                    </w:rPr>
                    <w:t>TW001</w:t>
                  </w:r>
                </w:p>
              </w:tc>
              <w:tc>
                <w:tcPr>
                  <w:tcW w:w="0" w:type="auto"/>
                  <w:vAlign w:val="center"/>
                </w:tcPr>
                <w:p w14:paraId="3D5B56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default" w:ascii="Times New Roman" w:hAnsi="Times New Roman" w:eastAsia="宋体" w:cs="Times New Roman"/>
                      <w:color w:val="auto"/>
                      <w:sz w:val="21"/>
                      <w:szCs w:val="21"/>
                      <w:lang w:eastAsia="zh-CN"/>
                    </w:rPr>
                    <w:t>污水处理站</w:t>
                  </w:r>
                </w:p>
              </w:tc>
              <w:tc>
                <w:tcPr>
                  <w:tcW w:w="0" w:type="auto"/>
                  <w:vAlign w:val="center"/>
                </w:tcPr>
                <w:p w14:paraId="6175F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hint="eastAsia" w:ascii="Times New Roman" w:hAnsi="Times New Roman" w:eastAsia="宋体" w:cs="Times New Roman"/>
                      <w:color w:val="auto"/>
                      <w:sz w:val="21"/>
                      <w:szCs w:val="21"/>
                      <w:lang w:val="en-US" w:eastAsia="zh-CN"/>
                    </w:rPr>
                    <w:t>预处理+调节池+AO一体化设备（缺氧区+好氧区+沉淀区）+活性氧消毒（二氧化氯消毒作为备用）</w:t>
                  </w:r>
                </w:p>
              </w:tc>
              <w:tc>
                <w:tcPr>
                  <w:tcW w:w="0" w:type="auto"/>
                  <w:vAlign w:val="center"/>
                </w:tcPr>
                <w:p w14:paraId="31D259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default" w:ascii="Times New Roman" w:hAnsi="Times New Roman" w:eastAsia="宋体" w:cs="Times New Roman"/>
                      <w:color w:val="auto"/>
                      <w:sz w:val="21"/>
                      <w:szCs w:val="21"/>
                      <w:lang w:val="en-US" w:eastAsia="zh-CN"/>
                    </w:rPr>
                    <w:t>DW001</w:t>
                  </w:r>
                </w:p>
              </w:tc>
            </w:tr>
          </w:tbl>
          <w:p w14:paraId="3A4F87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color w:val="auto"/>
                <w:sz w:val="21"/>
                <w:szCs w:val="21"/>
                <w:u w:val="none" w:color="auto"/>
              </w:rPr>
            </w:pPr>
            <w:r>
              <w:rPr>
                <w:rFonts w:ascii="Times New Roman" w:hAnsi="Times New Roman" w:eastAsia="宋体"/>
                <w:b/>
                <w:bCs/>
                <w:color w:val="auto"/>
                <w:sz w:val="21"/>
                <w:szCs w:val="21"/>
                <w:u w:val="none" w:color="auto"/>
              </w:rPr>
              <w:t>表4-</w:t>
            </w:r>
            <w:r>
              <w:rPr>
                <w:rFonts w:hint="eastAsia"/>
                <w:b/>
                <w:bCs/>
                <w:color w:val="auto"/>
                <w:sz w:val="21"/>
                <w:szCs w:val="21"/>
                <w:u w:val="none" w:color="auto"/>
                <w:lang w:val="en-US" w:eastAsia="zh-CN"/>
              </w:rPr>
              <w:t>8医院废水</w:t>
            </w:r>
            <w:r>
              <w:rPr>
                <w:rFonts w:ascii="Times New Roman" w:hAnsi="Times New Roman" w:eastAsia="宋体"/>
                <w:b/>
                <w:bCs/>
                <w:color w:val="auto"/>
                <w:sz w:val="21"/>
                <w:szCs w:val="21"/>
                <w:u w:val="none" w:color="auto"/>
              </w:rPr>
              <w:t>排放口基本情况表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2074"/>
              <w:gridCol w:w="2046"/>
              <w:gridCol w:w="2122"/>
              <w:gridCol w:w="2021"/>
            </w:tblGrid>
            <w:tr w14:paraId="44F7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Merge w:val="restart"/>
                  <w:vAlign w:val="center"/>
                </w:tcPr>
                <w:p w14:paraId="6F15D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排放口编号</w:t>
                  </w:r>
                </w:p>
              </w:tc>
              <w:tc>
                <w:tcPr>
                  <w:tcW w:w="3200" w:type="dxa"/>
                  <w:gridSpan w:val="2"/>
                  <w:vAlign w:val="center"/>
                </w:tcPr>
                <w:p w14:paraId="40BC4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排放口地理坐标</w:t>
                  </w:r>
                </w:p>
              </w:tc>
              <w:tc>
                <w:tcPr>
                  <w:tcW w:w="1648" w:type="dxa"/>
                  <w:vMerge w:val="restart"/>
                  <w:vAlign w:val="center"/>
                </w:tcPr>
                <w:p w14:paraId="0C5C6D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废水排放量（t/a）</w:t>
                  </w:r>
                </w:p>
              </w:tc>
              <w:tc>
                <w:tcPr>
                  <w:tcW w:w="1569" w:type="dxa"/>
                  <w:vMerge w:val="restart"/>
                  <w:vAlign w:val="center"/>
                </w:tcPr>
                <w:p w14:paraId="1D73B8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排放规律</w:t>
                  </w:r>
                </w:p>
              </w:tc>
            </w:tr>
            <w:tr w14:paraId="4DB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Merge w:val="continue"/>
                  <w:vAlign w:val="center"/>
                </w:tcPr>
                <w:p w14:paraId="4F3EDB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p>
              </w:tc>
              <w:tc>
                <w:tcPr>
                  <w:tcW w:w="1611" w:type="dxa"/>
                  <w:vAlign w:val="center"/>
                </w:tcPr>
                <w:p w14:paraId="34E079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经度</w:t>
                  </w:r>
                </w:p>
              </w:tc>
              <w:tc>
                <w:tcPr>
                  <w:tcW w:w="1589" w:type="dxa"/>
                  <w:vAlign w:val="center"/>
                </w:tcPr>
                <w:p w14:paraId="75582A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纬度</w:t>
                  </w:r>
                </w:p>
              </w:tc>
              <w:tc>
                <w:tcPr>
                  <w:tcW w:w="1648" w:type="dxa"/>
                  <w:vMerge w:val="continue"/>
                  <w:vAlign w:val="center"/>
                </w:tcPr>
                <w:p w14:paraId="6F4041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p>
              </w:tc>
              <w:tc>
                <w:tcPr>
                  <w:tcW w:w="1569" w:type="dxa"/>
                  <w:vMerge w:val="continue"/>
                  <w:vAlign w:val="center"/>
                </w:tcPr>
                <w:p w14:paraId="4FE0F7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p>
              </w:tc>
            </w:tr>
            <w:tr w14:paraId="40A8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9" w:type="dxa"/>
                  <w:vAlign w:val="center"/>
                </w:tcPr>
                <w:p w14:paraId="166967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DW001</w:t>
                  </w:r>
                </w:p>
              </w:tc>
              <w:tc>
                <w:tcPr>
                  <w:tcW w:w="1611" w:type="dxa"/>
                  <w:vAlign w:val="center"/>
                </w:tcPr>
                <w:p w14:paraId="2BECCA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eastAsia"/>
                      <w:color w:val="auto"/>
                      <w:sz w:val="21"/>
                      <w:szCs w:val="21"/>
                      <w:u w:val="none" w:color="auto"/>
                      <w:lang w:val="en-US" w:eastAsia="zh-CN"/>
                    </w:rPr>
                    <w:t>113.601023</w:t>
                  </w:r>
                </w:p>
              </w:tc>
              <w:tc>
                <w:tcPr>
                  <w:tcW w:w="1589" w:type="dxa"/>
                  <w:vAlign w:val="center"/>
                </w:tcPr>
                <w:p w14:paraId="2F242A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eastAsia"/>
                      <w:color w:val="auto"/>
                      <w:sz w:val="21"/>
                      <w:szCs w:val="21"/>
                      <w:u w:val="none" w:color="auto"/>
                      <w:lang w:val="en-US" w:eastAsia="zh-CN"/>
                    </w:rPr>
                    <w:t>26.564668</w:t>
                  </w:r>
                </w:p>
              </w:tc>
              <w:tc>
                <w:tcPr>
                  <w:tcW w:w="1648" w:type="dxa"/>
                  <w:vAlign w:val="center"/>
                </w:tcPr>
                <w:p w14:paraId="7C91EC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olor w:val="auto"/>
                      <w:sz w:val="21"/>
                      <w:szCs w:val="21"/>
                      <w:u w:val="none" w:color="auto"/>
                      <w:lang w:val="en-US" w:eastAsia="zh-CN"/>
                    </w:rPr>
                  </w:pPr>
                  <w:r>
                    <w:rPr>
                      <w:rFonts w:hint="eastAsia"/>
                      <w:color w:val="auto"/>
                      <w:sz w:val="21"/>
                      <w:szCs w:val="21"/>
                      <w:u w:val="none" w:color="auto"/>
                      <w:lang w:val="en-US" w:eastAsia="zh-CN"/>
                    </w:rPr>
                    <w:t>3724.45</w:t>
                  </w:r>
                </w:p>
              </w:tc>
              <w:tc>
                <w:tcPr>
                  <w:tcW w:w="1569" w:type="dxa"/>
                  <w:vAlign w:val="center"/>
                </w:tcPr>
                <w:p w14:paraId="7CDDF2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间歇排放，流量稳定</w:t>
                  </w:r>
                </w:p>
              </w:tc>
            </w:tr>
          </w:tbl>
          <w:p w14:paraId="35B59C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highlight w:val="none"/>
                <w:u w:val="none" w:color="auto"/>
              </w:rPr>
            </w:pPr>
            <w:r>
              <w:rPr>
                <w:rFonts w:hint="eastAsia" w:ascii="Times New Roman" w:hAnsi="Times New Roman" w:eastAsia="宋体"/>
                <w:color w:val="auto"/>
                <w:sz w:val="24"/>
                <w:szCs w:val="24"/>
                <w:highlight w:val="none"/>
                <w:u w:val="none" w:color="auto"/>
                <w:lang w:eastAsia="zh-CN"/>
              </w:rPr>
              <w:t>（</w:t>
            </w:r>
            <w:r>
              <w:rPr>
                <w:rFonts w:hint="eastAsia" w:ascii="Times New Roman" w:hAnsi="Times New Roman" w:eastAsia="宋体"/>
                <w:color w:val="auto"/>
                <w:sz w:val="24"/>
                <w:szCs w:val="24"/>
                <w:highlight w:val="none"/>
                <w:u w:val="none" w:color="auto"/>
                <w:lang w:val="en-US" w:eastAsia="zh-CN"/>
              </w:rPr>
              <w:t>6</w:t>
            </w:r>
            <w:r>
              <w:rPr>
                <w:rFonts w:hint="eastAsia" w:ascii="Times New Roman" w:hAnsi="Times New Roman" w:eastAsia="宋体"/>
                <w:color w:val="auto"/>
                <w:sz w:val="24"/>
                <w:szCs w:val="24"/>
                <w:highlight w:val="none"/>
                <w:u w:val="none" w:color="auto"/>
                <w:lang w:eastAsia="zh-CN"/>
              </w:rPr>
              <w:t>）</w:t>
            </w:r>
            <w:r>
              <w:rPr>
                <w:rFonts w:ascii="Times New Roman" w:hAnsi="Times New Roman" w:eastAsia="宋体"/>
                <w:color w:val="auto"/>
                <w:sz w:val="24"/>
                <w:szCs w:val="24"/>
                <w:highlight w:val="none"/>
                <w:u w:val="none" w:color="auto"/>
              </w:rPr>
              <w:t>废水污染源监测计划</w:t>
            </w:r>
          </w:p>
          <w:p w14:paraId="7A96C4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none"/>
              </w:rPr>
              <w:t>根据《固定污染源排污许可分类管理名录（2019年版）》本项目属于登记管理</w:t>
            </w:r>
            <w:r>
              <w:rPr>
                <w:rFonts w:hint="default" w:ascii="Times New Roman" w:hAnsi="Times New Roman" w:eastAsia="宋体" w:cs="Times New Roman"/>
                <w:color w:val="auto"/>
                <w:sz w:val="24"/>
                <w:szCs w:val="24"/>
                <w:u w:val="none"/>
                <w:lang w:eastAsia="zh-CN"/>
              </w:rPr>
              <w:t>，</w:t>
            </w:r>
            <w:r>
              <w:rPr>
                <w:rFonts w:hint="default" w:ascii="Times New Roman" w:hAnsi="Times New Roman" w:eastAsia="宋体" w:cs="Times New Roman"/>
                <w:color w:val="auto"/>
                <w:sz w:val="24"/>
                <w:szCs w:val="24"/>
                <w:u w:val="none"/>
              </w:rPr>
              <w:t>依《排污许可证申请与核发技术规范医疗机构》（HJ1105—2020），本项目废水污染物自行监测计划如下表。</w:t>
            </w:r>
          </w:p>
          <w:p w14:paraId="2A964EC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4-</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lang w:val="en-US" w:eastAsia="zh-CN"/>
              </w:rPr>
              <w:t xml:space="preserve"> 项目废水监测计划及记录信息表</w:t>
            </w:r>
          </w:p>
          <w:tbl>
            <w:tblPr>
              <w:tblStyle w:val="16"/>
              <w:tblW w:w="4993"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806"/>
              <w:gridCol w:w="1575"/>
              <w:gridCol w:w="4104"/>
              <w:gridCol w:w="2172"/>
            </w:tblGrid>
            <w:tr w14:paraId="0F2993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noWrap w:val="0"/>
                  <w:vAlign w:val="center"/>
                </w:tcPr>
                <w:p w14:paraId="13601EB2">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监测点位</w:t>
                  </w:r>
                </w:p>
              </w:tc>
              <w:tc>
                <w:tcPr>
                  <w:tcW w:w="815" w:type="pct"/>
                  <w:noWrap w:val="0"/>
                  <w:vAlign w:val="center"/>
                </w:tcPr>
                <w:p w14:paraId="3C8CBD64">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排放口编号</w:t>
                  </w:r>
                </w:p>
              </w:tc>
              <w:tc>
                <w:tcPr>
                  <w:tcW w:w="2124" w:type="pct"/>
                  <w:noWrap w:val="0"/>
                  <w:vAlign w:val="center"/>
                </w:tcPr>
                <w:p w14:paraId="7BF6DC79">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监测因子</w:t>
                  </w:r>
                </w:p>
              </w:tc>
              <w:tc>
                <w:tcPr>
                  <w:tcW w:w="1124" w:type="pct"/>
                  <w:noWrap w:val="0"/>
                  <w:vAlign w:val="center"/>
                </w:tcPr>
                <w:p w14:paraId="33C6FED3">
                  <w:pPr>
                    <w:adjustRightInd w:val="0"/>
                    <w:spacing w:line="320" w:lineRule="exact"/>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监测频率</w:t>
                  </w:r>
                </w:p>
              </w:tc>
            </w:tr>
            <w:tr w14:paraId="11D4C0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restart"/>
                  <w:noWrap w:val="0"/>
                  <w:vAlign w:val="center"/>
                </w:tcPr>
                <w:p w14:paraId="6EDE1A54">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废水总排口</w:t>
                  </w:r>
                </w:p>
              </w:tc>
              <w:tc>
                <w:tcPr>
                  <w:tcW w:w="815" w:type="pct"/>
                  <w:vMerge w:val="restart"/>
                  <w:noWrap w:val="0"/>
                  <w:vAlign w:val="center"/>
                </w:tcPr>
                <w:p w14:paraId="06C73CF6">
                  <w:pPr>
                    <w:adjustRightInd w:val="0"/>
                    <w:spacing w:line="320" w:lineRule="exact"/>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DW001</w:t>
                  </w:r>
                </w:p>
              </w:tc>
              <w:tc>
                <w:tcPr>
                  <w:tcW w:w="2124" w:type="pct"/>
                  <w:noWrap w:val="0"/>
                  <w:vAlign w:val="center"/>
                </w:tcPr>
                <w:p w14:paraId="583D710C">
                  <w:pPr>
                    <w:adjustRightInd w:val="0"/>
                    <w:spacing w:line="320" w:lineRule="exact"/>
                    <w:jc w:val="center"/>
                    <w:rPr>
                      <w:rFonts w:hint="default" w:ascii="Times New Roman" w:hAnsi="Times New Roman" w:eastAsia="宋体" w:cs="Times New Roman"/>
                      <w:color w:val="auto"/>
                      <w:sz w:val="21"/>
                      <w:szCs w:val="21"/>
                      <w:highlight w:val="yellow"/>
                      <w:u w:val="none" w:color="auto"/>
                      <w:lang w:eastAsia="zh-CN"/>
                    </w:rPr>
                  </w:pPr>
                  <w:r>
                    <w:rPr>
                      <w:rFonts w:hint="default" w:ascii="Times New Roman" w:hAnsi="Times New Roman" w:eastAsia="宋体" w:cs="Times New Roman"/>
                      <w:color w:val="auto"/>
                      <w:sz w:val="21"/>
                      <w:szCs w:val="21"/>
                      <w:highlight w:val="none"/>
                      <w:u w:val="none" w:color="auto"/>
                    </w:rPr>
                    <w:t>pH</w:t>
                  </w:r>
                  <w:r>
                    <w:rPr>
                      <w:rFonts w:hint="default" w:ascii="Times New Roman" w:hAnsi="Times New Roman" w:eastAsia="宋体" w:cs="Times New Roman"/>
                      <w:color w:val="auto"/>
                      <w:sz w:val="21"/>
                      <w:szCs w:val="21"/>
                      <w:highlight w:val="none"/>
                      <w:u w:val="none" w:color="auto"/>
                      <w:lang w:eastAsia="zh-CN"/>
                    </w:rPr>
                    <w:t>值</w:t>
                  </w:r>
                </w:p>
              </w:tc>
              <w:tc>
                <w:tcPr>
                  <w:tcW w:w="1124" w:type="pct"/>
                  <w:vMerge w:val="restart"/>
                  <w:noWrap w:val="0"/>
                  <w:vAlign w:val="center"/>
                </w:tcPr>
                <w:p w14:paraId="22576E2F">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r>
                    <w:rPr>
                      <w:rFonts w:hint="eastAsia" w:cs="Times New Roman"/>
                      <w:color w:val="auto"/>
                      <w:kern w:val="0"/>
                      <w:sz w:val="21"/>
                      <w:szCs w:val="21"/>
                      <w:lang w:val="en-US" w:eastAsia="zh-CN" w:bidi="ar"/>
                    </w:rPr>
                    <w:t>1次/年</w:t>
                  </w:r>
                </w:p>
              </w:tc>
            </w:tr>
            <w:tr w14:paraId="384C45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0CDE9E0F">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39DF5BEC">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025E4EFD">
                  <w:pPr>
                    <w:adjustRightInd w:val="0"/>
                    <w:spacing w:line="320" w:lineRule="exact"/>
                    <w:jc w:val="center"/>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rPr>
                    <w:t>COD</w:t>
                  </w:r>
                  <w:r>
                    <w:rPr>
                      <w:rFonts w:hint="default" w:ascii="Times New Roman" w:hAnsi="Times New Roman" w:eastAsia="宋体" w:cs="Times New Roman"/>
                      <w:color w:val="auto"/>
                      <w:sz w:val="21"/>
                      <w:szCs w:val="21"/>
                      <w:highlight w:val="none"/>
                      <w:u w:val="none" w:color="auto"/>
                      <w:lang w:val="en-US" w:eastAsia="zh-CN"/>
                    </w:rPr>
                    <w:t>cr</w:t>
                  </w:r>
                </w:p>
              </w:tc>
              <w:tc>
                <w:tcPr>
                  <w:tcW w:w="1124" w:type="pct"/>
                  <w:vMerge w:val="continue"/>
                  <w:noWrap w:val="0"/>
                  <w:vAlign w:val="center"/>
                </w:tcPr>
                <w:p w14:paraId="4D0F8C4A">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019714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22E32E25">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6F07BE26">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5DFE6807">
                  <w:pPr>
                    <w:adjustRightInd w:val="0"/>
                    <w:spacing w:line="320" w:lineRule="exact"/>
                    <w:jc w:val="center"/>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snapToGrid w:val="0"/>
                      <w:color w:val="auto"/>
                      <w:kern w:val="0"/>
                      <w:sz w:val="24"/>
                      <w:lang w:val="en-US" w:eastAsia="zh-CN"/>
                    </w:rPr>
                    <w:t>BOD</w:t>
                  </w:r>
                  <w:r>
                    <w:rPr>
                      <w:rFonts w:hint="default" w:ascii="Times New Roman" w:hAnsi="Times New Roman" w:eastAsia="宋体" w:cs="Times New Roman"/>
                      <w:snapToGrid w:val="0"/>
                      <w:color w:val="auto"/>
                      <w:kern w:val="0"/>
                      <w:sz w:val="24"/>
                      <w:vertAlign w:val="subscript"/>
                      <w:lang w:val="en-US" w:eastAsia="zh-CN"/>
                    </w:rPr>
                    <w:t>5</w:t>
                  </w:r>
                </w:p>
              </w:tc>
              <w:tc>
                <w:tcPr>
                  <w:tcW w:w="1124" w:type="pct"/>
                  <w:vMerge w:val="continue"/>
                  <w:noWrap w:val="0"/>
                  <w:vAlign w:val="center"/>
                </w:tcPr>
                <w:p w14:paraId="7DAC1917">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0A5B47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1DE9CC78">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00B5BC70">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4B6B3E53">
                  <w:pPr>
                    <w:adjustRightInd w:val="0"/>
                    <w:spacing w:line="320" w:lineRule="exact"/>
                    <w:jc w:val="center"/>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snapToGrid w:val="0"/>
                      <w:color w:val="auto"/>
                      <w:kern w:val="0"/>
                      <w:sz w:val="24"/>
                      <w:lang w:val="en-US" w:eastAsia="zh-CN"/>
                    </w:rPr>
                    <w:t>NH</w:t>
                  </w:r>
                  <w:r>
                    <w:rPr>
                      <w:rFonts w:hint="default" w:ascii="Times New Roman" w:hAnsi="Times New Roman" w:eastAsia="宋体" w:cs="Times New Roman"/>
                      <w:snapToGrid w:val="0"/>
                      <w:color w:val="auto"/>
                      <w:kern w:val="0"/>
                      <w:sz w:val="24"/>
                      <w:vertAlign w:val="subscript"/>
                      <w:lang w:val="en-US" w:eastAsia="zh-CN"/>
                    </w:rPr>
                    <w:t>3</w:t>
                  </w:r>
                  <w:r>
                    <w:rPr>
                      <w:rFonts w:hint="default" w:ascii="Times New Roman" w:hAnsi="Times New Roman" w:eastAsia="宋体" w:cs="Times New Roman"/>
                      <w:snapToGrid w:val="0"/>
                      <w:color w:val="auto"/>
                      <w:kern w:val="0"/>
                      <w:sz w:val="24"/>
                      <w:lang w:val="en-US" w:eastAsia="zh-CN"/>
                    </w:rPr>
                    <w:t>-N</w:t>
                  </w:r>
                </w:p>
              </w:tc>
              <w:tc>
                <w:tcPr>
                  <w:tcW w:w="1124" w:type="pct"/>
                  <w:vMerge w:val="continue"/>
                  <w:noWrap w:val="0"/>
                  <w:vAlign w:val="center"/>
                </w:tcPr>
                <w:p w14:paraId="40455676">
                  <w:pPr>
                    <w:adjustRightInd w:val="0"/>
                    <w:spacing w:line="320" w:lineRule="exact"/>
                    <w:jc w:val="center"/>
                    <w:rPr>
                      <w:rFonts w:hint="default" w:ascii="Times New Roman" w:hAnsi="Times New Roman" w:eastAsia="宋体" w:cs="Times New Roman"/>
                      <w:color w:val="auto"/>
                      <w:sz w:val="21"/>
                      <w:szCs w:val="21"/>
                      <w:u w:val="none" w:color="auto"/>
                      <w:lang w:eastAsia="zh-CN"/>
                    </w:rPr>
                  </w:pPr>
                </w:p>
              </w:tc>
            </w:tr>
            <w:tr w14:paraId="27DC95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5C638685">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16C5C3EC">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7CCE6ADF">
                  <w:pPr>
                    <w:adjustRightInd w:val="0"/>
                    <w:spacing w:line="320" w:lineRule="exact"/>
                    <w:jc w:val="center"/>
                    <w:rPr>
                      <w:rFonts w:hint="default" w:ascii="Times New Roman" w:hAnsi="Times New Roman" w:eastAsia="宋体" w:cs="Times New Roman"/>
                      <w:color w:val="auto"/>
                      <w:sz w:val="21"/>
                      <w:szCs w:val="21"/>
                      <w:highlight w:val="yellow"/>
                      <w:u w:val="none" w:color="auto"/>
                      <w:lang w:val="en-US" w:eastAsia="zh-CN"/>
                    </w:rPr>
                  </w:pPr>
                  <w:r>
                    <w:rPr>
                      <w:rFonts w:hint="default" w:ascii="Times New Roman" w:hAnsi="Times New Roman" w:eastAsia="宋体" w:cs="Times New Roman"/>
                      <w:snapToGrid w:val="0"/>
                      <w:color w:val="auto"/>
                      <w:kern w:val="0"/>
                      <w:sz w:val="24"/>
                      <w:lang w:val="en-US" w:eastAsia="zh-CN"/>
                    </w:rPr>
                    <w:t>SS</w:t>
                  </w:r>
                </w:p>
              </w:tc>
              <w:tc>
                <w:tcPr>
                  <w:tcW w:w="1124" w:type="pct"/>
                  <w:vMerge w:val="continue"/>
                  <w:noWrap w:val="0"/>
                  <w:vAlign w:val="center"/>
                </w:tcPr>
                <w:p w14:paraId="651C2AB2">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7E8C87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30DAAD60">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482683FB">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0ED88EFE">
                  <w:pPr>
                    <w:adjustRightInd w:val="0"/>
                    <w:spacing w:line="320" w:lineRule="exact"/>
                    <w:jc w:val="center"/>
                    <w:rPr>
                      <w:rFonts w:hint="default" w:ascii="Times New Roman" w:hAnsi="Times New Roman" w:eastAsia="宋体" w:cs="Times New Roman"/>
                      <w:snapToGrid w:val="0"/>
                      <w:color w:val="auto"/>
                      <w:kern w:val="0"/>
                      <w:sz w:val="24"/>
                      <w:lang w:val="en-US" w:eastAsia="zh-CN"/>
                    </w:rPr>
                  </w:pPr>
                  <w:r>
                    <w:rPr>
                      <w:rFonts w:hint="default" w:ascii="Times New Roman" w:hAnsi="Times New Roman" w:eastAsia="宋体" w:cs="Times New Roman"/>
                      <w:snapToGrid w:val="0"/>
                      <w:color w:val="auto"/>
                      <w:kern w:val="0"/>
                      <w:sz w:val="24"/>
                      <w:lang w:val="en-US" w:eastAsia="zh-CN"/>
                    </w:rPr>
                    <w:t>动植物油</w:t>
                  </w:r>
                </w:p>
              </w:tc>
              <w:tc>
                <w:tcPr>
                  <w:tcW w:w="1124" w:type="pct"/>
                  <w:vMerge w:val="continue"/>
                  <w:noWrap w:val="0"/>
                  <w:vAlign w:val="center"/>
                </w:tcPr>
                <w:p w14:paraId="3B6C8D6E">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6F866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6773F884">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3D500D15">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009195AF">
                  <w:pPr>
                    <w:adjustRightInd w:val="0"/>
                    <w:spacing w:line="320" w:lineRule="exact"/>
                    <w:jc w:val="center"/>
                    <w:rPr>
                      <w:rFonts w:hint="default" w:ascii="Times New Roman" w:hAnsi="Times New Roman" w:eastAsia="宋体" w:cs="Times New Roman"/>
                      <w:snapToGrid w:val="0"/>
                      <w:color w:val="auto"/>
                      <w:kern w:val="0"/>
                      <w:sz w:val="24"/>
                      <w:lang w:val="en-US" w:eastAsia="zh-CN"/>
                    </w:rPr>
                  </w:pPr>
                  <w:r>
                    <w:rPr>
                      <w:rFonts w:hint="default" w:ascii="Times New Roman" w:hAnsi="Times New Roman" w:eastAsia="宋体" w:cs="Times New Roman"/>
                      <w:snapToGrid w:val="0"/>
                      <w:color w:val="auto"/>
                      <w:kern w:val="0"/>
                      <w:sz w:val="24"/>
                      <w:lang w:val="en-US" w:eastAsia="zh-CN"/>
                    </w:rPr>
                    <w:t>粪大肠菌群数</w:t>
                  </w:r>
                </w:p>
              </w:tc>
              <w:tc>
                <w:tcPr>
                  <w:tcW w:w="1124" w:type="pct"/>
                  <w:vMerge w:val="continue"/>
                  <w:noWrap w:val="0"/>
                  <w:vAlign w:val="center"/>
                </w:tcPr>
                <w:p w14:paraId="11416435">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2D49F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7AF192B9">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5E3648CC">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6F789C8C">
                  <w:pPr>
                    <w:adjustRightInd w:val="0"/>
                    <w:spacing w:line="320" w:lineRule="exact"/>
                    <w:jc w:val="center"/>
                    <w:rPr>
                      <w:rFonts w:hint="default" w:ascii="Times New Roman" w:hAnsi="Times New Roman" w:eastAsia="宋体" w:cs="Times New Roman"/>
                      <w:snapToGrid w:val="0"/>
                      <w:color w:val="auto"/>
                      <w:kern w:val="0"/>
                      <w:sz w:val="24"/>
                      <w:lang w:val="en-US" w:eastAsia="zh-CN"/>
                    </w:rPr>
                  </w:pPr>
                  <w:r>
                    <w:rPr>
                      <w:rFonts w:hint="default" w:ascii="Times New Roman" w:hAnsi="Times New Roman" w:eastAsia="宋体" w:cs="Times New Roman"/>
                      <w:snapToGrid w:val="0"/>
                      <w:color w:val="auto"/>
                      <w:kern w:val="0"/>
                      <w:sz w:val="24"/>
                      <w:lang w:val="en-US" w:eastAsia="zh-CN"/>
                    </w:rPr>
                    <w:t>总磷</w:t>
                  </w:r>
                </w:p>
              </w:tc>
              <w:tc>
                <w:tcPr>
                  <w:tcW w:w="1124" w:type="pct"/>
                  <w:vMerge w:val="continue"/>
                  <w:noWrap w:val="0"/>
                  <w:vAlign w:val="center"/>
                </w:tcPr>
                <w:p w14:paraId="03623056">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r w14:paraId="08431E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5" w:type="pct"/>
                  <w:vMerge w:val="continue"/>
                  <w:noWrap w:val="0"/>
                  <w:vAlign w:val="center"/>
                </w:tcPr>
                <w:p w14:paraId="51C87A45">
                  <w:pPr>
                    <w:adjustRightInd w:val="0"/>
                    <w:spacing w:line="320" w:lineRule="exact"/>
                    <w:jc w:val="center"/>
                    <w:rPr>
                      <w:rFonts w:hint="default" w:ascii="Times New Roman" w:hAnsi="Times New Roman" w:eastAsia="宋体" w:cs="Times New Roman"/>
                      <w:color w:val="auto"/>
                      <w:sz w:val="21"/>
                      <w:szCs w:val="21"/>
                      <w:u w:val="none" w:color="auto"/>
                    </w:rPr>
                  </w:pPr>
                </w:p>
              </w:tc>
              <w:tc>
                <w:tcPr>
                  <w:tcW w:w="815" w:type="pct"/>
                  <w:vMerge w:val="continue"/>
                  <w:noWrap w:val="0"/>
                  <w:vAlign w:val="center"/>
                </w:tcPr>
                <w:p w14:paraId="0C1D8BB5">
                  <w:pPr>
                    <w:adjustRightInd w:val="0"/>
                    <w:spacing w:line="320" w:lineRule="exact"/>
                    <w:jc w:val="center"/>
                    <w:rPr>
                      <w:rFonts w:hint="default" w:ascii="Times New Roman" w:hAnsi="Times New Roman" w:eastAsia="宋体" w:cs="Times New Roman"/>
                      <w:color w:val="auto"/>
                      <w:sz w:val="21"/>
                      <w:szCs w:val="21"/>
                      <w:u w:val="none" w:color="auto"/>
                    </w:rPr>
                  </w:pPr>
                </w:p>
              </w:tc>
              <w:tc>
                <w:tcPr>
                  <w:tcW w:w="2124" w:type="pct"/>
                  <w:noWrap w:val="0"/>
                  <w:vAlign w:val="center"/>
                </w:tcPr>
                <w:p w14:paraId="0F95227A">
                  <w:pPr>
                    <w:adjustRightInd w:val="0"/>
                    <w:spacing w:line="320" w:lineRule="exact"/>
                    <w:jc w:val="center"/>
                    <w:rPr>
                      <w:rFonts w:hint="default" w:ascii="Times New Roman" w:hAnsi="Times New Roman" w:eastAsia="宋体" w:cs="Times New Roman"/>
                      <w:snapToGrid w:val="0"/>
                      <w:color w:val="auto"/>
                      <w:kern w:val="0"/>
                      <w:sz w:val="24"/>
                      <w:lang w:val="en-US" w:eastAsia="zh-CN"/>
                    </w:rPr>
                  </w:pPr>
                  <w:r>
                    <w:rPr>
                      <w:rFonts w:hint="default" w:ascii="Times New Roman" w:hAnsi="Times New Roman" w:eastAsia="宋体" w:cs="Times New Roman"/>
                      <w:snapToGrid w:val="0"/>
                      <w:color w:val="auto"/>
                      <w:kern w:val="0"/>
                      <w:sz w:val="24"/>
                      <w:lang w:val="en-US" w:eastAsia="zh-CN"/>
                    </w:rPr>
                    <w:t>LAS</w:t>
                  </w:r>
                </w:p>
              </w:tc>
              <w:tc>
                <w:tcPr>
                  <w:tcW w:w="1124" w:type="pct"/>
                  <w:vMerge w:val="continue"/>
                  <w:noWrap w:val="0"/>
                  <w:vAlign w:val="center"/>
                </w:tcPr>
                <w:p w14:paraId="2D1CFA27">
                  <w:pPr>
                    <w:adjustRightInd w:val="0"/>
                    <w:spacing w:line="320" w:lineRule="exact"/>
                    <w:jc w:val="center"/>
                    <w:rPr>
                      <w:rFonts w:hint="default" w:ascii="Times New Roman" w:hAnsi="Times New Roman" w:eastAsia="宋体" w:cs="Times New Roman"/>
                      <w:color w:val="auto"/>
                      <w:sz w:val="21"/>
                      <w:szCs w:val="21"/>
                      <w:u w:val="none" w:color="auto"/>
                      <w:lang w:val="en-US" w:eastAsia="zh-CN"/>
                    </w:rPr>
                  </w:pPr>
                </w:p>
              </w:tc>
            </w:tr>
          </w:tbl>
          <w:p w14:paraId="1BBCE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7）废水检测结果</w:t>
            </w:r>
          </w:p>
          <w:p w14:paraId="0B4F7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highlight w:val="yellow"/>
              </w:rPr>
            </w:pPr>
            <w:r>
              <w:rPr>
                <w:rFonts w:hint="eastAsia" w:ascii="宋体" w:hAnsi="宋体" w:eastAsia="宋体" w:cs="宋体"/>
                <w:color w:val="auto"/>
                <w:sz w:val="24"/>
                <w:szCs w:val="24"/>
                <w:highlight w:val="none"/>
              </w:rPr>
              <w:t>本次委托</w:t>
            </w:r>
            <w:r>
              <w:rPr>
                <w:rFonts w:hint="eastAsia" w:ascii="宋体" w:hAnsi="宋体" w:eastAsia="宋体" w:cs="宋体"/>
                <w:b w:val="0"/>
                <w:color w:val="auto"/>
                <w:sz w:val="24"/>
                <w:szCs w:val="24"/>
                <w:highlight w:val="none"/>
              </w:rPr>
              <w:t>精威检测（湖南）有限公司</w:t>
            </w:r>
            <w:r>
              <w:rPr>
                <w:rFonts w:hint="eastAsia" w:ascii="宋体" w:hAnsi="宋体" w:eastAsia="宋体" w:cs="宋体"/>
                <w:color w:val="auto"/>
                <w:sz w:val="24"/>
                <w:szCs w:val="24"/>
                <w:highlight w:val="none"/>
              </w:rPr>
              <w:t>于</w:t>
            </w:r>
            <w:r>
              <w:rPr>
                <w:rFonts w:hint="eastAsia" w:ascii="Times New Roman" w:hAnsi="Times New Roman" w:eastAsia="宋体" w:cs="Times New Roman"/>
                <w:color w:val="auto"/>
                <w:sz w:val="24"/>
                <w:szCs w:val="24"/>
                <w:highlight w:val="none"/>
                <w:u w:val="none" w:color="auto"/>
                <w:lang w:val="en-US" w:eastAsia="zh-CN"/>
              </w:rPr>
              <w:t>7月1日</w:t>
            </w:r>
            <w:r>
              <w:rPr>
                <w:rFonts w:hint="eastAsia" w:ascii="宋体" w:hAnsi="宋体" w:eastAsia="宋体" w:cs="宋体"/>
                <w:color w:val="auto"/>
                <w:sz w:val="24"/>
                <w:szCs w:val="24"/>
                <w:highlight w:val="none"/>
              </w:rPr>
              <w:t>对院内废水处理站出口进行</w:t>
            </w:r>
            <w:r>
              <w:rPr>
                <w:rFonts w:hint="eastAsia" w:ascii="宋体" w:hAnsi="宋体" w:cs="宋体"/>
                <w:color w:val="auto"/>
                <w:sz w:val="24"/>
                <w:szCs w:val="24"/>
                <w:highlight w:val="none"/>
                <w:lang w:val="en-US" w:eastAsia="zh-CN"/>
              </w:rPr>
              <w:t>了检测</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检</w:t>
            </w:r>
            <w:r>
              <w:rPr>
                <w:rFonts w:hint="eastAsia" w:ascii="宋体" w:hAnsi="宋体" w:eastAsia="宋体" w:cs="宋体"/>
                <w:color w:val="auto"/>
                <w:sz w:val="24"/>
                <w:szCs w:val="24"/>
                <w:highlight w:val="none"/>
              </w:rPr>
              <w:t>测结果见表</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10，检测点位图见附图4</w:t>
            </w:r>
            <w:r>
              <w:rPr>
                <w:rFonts w:hint="eastAsia" w:ascii="宋体" w:hAnsi="宋体" w:eastAsia="宋体" w:cs="宋体"/>
                <w:color w:val="auto"/>
                <w:sz w:val="24"/>
                <w:szCs w:val="24"/>
                <w:highlight w:val="none"/>
              </w:rPr>
              <w:t>。</w:t>
            </w:r>
          </w:p>
          <w:p w14:paraId="6EBECA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eastAsia="宋体"/>
                <w:b/>
                <w:bCs/>
                <w:color w:val="auto"/>
                <w:sz w:val="21"/>
                <w:szCs w:val="21"/>
                <w:lang w:val="en-US" w:eastAsia="zh-CN"/>
              </w:rPr>
              <w:t>4</w:t>
            </w:r>
            <w:r>
              <w:rPr>
                <w:rFonts w:ascii="Times New Roman" w:hAnsi="Times New Roman" w:eastAsia="宋体"/>
                <w:b/>
                <w:bCs/>
                <w:color w:val="auto"/>
                <w:sz w:val="21"/>
                <w:szCs w:val="21"/>
              </w:rPr>
              <w:t>-</w:t>
            </w:r>
            <w:r>
              <w:rPr>
                <w:rFonts w:hint="eastAsia"/>
                <w:b/>
                <w:bCs/>
                <w:color w:val="auto"/>
                <w:sz w:val="21"/>
                <w:szCs w:val="21"/>
                <w:lang w:val="en-US" w:eastAsia="zh-CN"/>
              </w:rPr>
              <w:t>10</w:t>
            </w:r>
            <w:r>
              <w:rPr>
                <w:rFonts w:ascii="Times New Roman" w:hAnsi="Times New Roman" w:eastAsia="宋体"/>
                <w:b/>
                <w:bCs/>
                <w:color w:val="auto"/>
                <w:sz w:val="21"/>
                <w:szCs w:val="21"/>
              </w:rPr>
              <w:t>废水检测结果（单位：mg/L，注明的除外）</w:t>
            </w:r>
          </w:p>
          <w:tbl>
            <w:tblPr>
              <w:tblStyle w:val="16"/>
              <w:tblW w:w="500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951"/>
              <w:gridCol w:w="1452"/>
              <w:gridCol w:w="972"/>
              <w:gridCol w:w="1180"/>
              <w:gridCol w:w="1116"/>
              <w:gridCol w:w="1110"/>
              <w:gridCol w:w="1143"/>
              <w:gridCol w:w="1009"/>
            </w:tblGrid>
            <w:tr w14:paraId="13B34B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404" w:type="pct"/>
                  <w:vMerge w:val="restart"/>
                  <w:tcBorders>
                    <w:tl2br w:val="nil"/>
                    <w:tr2bl w:val="nil"/>
                  </w:tcBorders>
                  <w:noWrap w:val="0"/>
                  <w:vAlign w:val="center"/>
                </w:tcPr>
                <w:p w14:paraId="773A9FB6">
                  <w:pPr>
                    <w:spacing w:beforeLines="10" w:afterLines="10"/>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采样时间</w:t>
                  </w:r>
                </w:p>
              </w:tc>
              <w:tc>
                <w:tcPr>
                  <w:tcW w:w="490" w:type="pct"/>
                  <w:vMerge w:val="restart"/>
                  <w:tcBorders>
                    <w:tl2br w:val="nil"/>
                    <w:tr2bl w:val="nil"/>
                  </w:tcBorders>
                  <w:noWrap w:val="0"/>
                  <w:vAlign w:val="center"/>
                </w:tcPr>
                <w:p w14:paraId="186D5BCC">
                  <w:pPr>
                    <w:spacing w:beforeLines="10" w:afterLines="1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检测</w:t>
                  </w:r>
                </w:p>
                <w:p w14:paraId="17B07565">
                  <w:pPr>
                    <w:spacing w:beforeLines="10" w:afterLines="1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点位</w:t>
                  </w:r>
                </w:p>
              </w:tc>
              <w:tc>
                <w:tcPr>
                  <w:tcW w:w="747" w:type="pct"/>
                  <w:vMerge w:val="restart"/>
                  <w:tcBorders>
                    <w:tl2br w:val="nil"/>
                    <w:tr2bl w:val="nil"/>
                  </w:tcBorders>
                  <w:noWrap w:val="0"/>
                  <w:vAlign w:val="center"/>
                </w:tcPr>
                <w:p w14:paraId="60855620">
                  <w:pPr>
                    <w:spacing w:beforeLines="10" w:afterLines="1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检测</w:t>
                  </w:r>
                </w:p>
                <w:p w14:paraId="414948C7">
                  <w:pPr>
                    <w:spacing w:beforeLines="10" w:afterLines="1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w:t>
                  </w:r>
                </w:p>
              </w:tc>
              <w:tc>
                <w:tcPr>
                  <w:tcW w:w="500" w:type="pct"/>
                  <w:vMerge w:val="restart"/>
                  <w:tcBorders>
                    <w:tl2br w:val="nil"/>
                    <w:tr2bl w:val="nil"/>
                  </w:tcBorders>
                  <w:noWrap w:val="0"/>
                  <w:vAlign w:val="center"/>
                </w:tcPr>
                <w:p w14:paraId="6C0AAF4E">
                  <w:pPr>
                    <w:spacing w:beforeLines="10" w:afterLines="10"/>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单位</w:t>
                  </w:r>
                </w:p>
              </w:tc>
              <w:tc>
                <w:tcPr>
                  <w:tcW w:w="1752" w:type="pct"/>
                  <w:gridSpan w:val="3"/>
                  <w:tcBorders>
                    <w:tl2br w:val="nil"/>
                    <w:tr2bl w:val="nil"/>
                  </w:tcBorders>
                  <w:noWrap w:val="0"/>
                  <w:vAlign w:val="center"/>
                </w:tcPr>
                <w:p w14:paraId="6A057D69">
                  <w:pPr>
                    <w:spacing w:beforeLines="10" w:afterLines="10"/>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检测结果</w:t>
                  </w:r>
                  <w:r>
                    <w:rPr>
                      <w:rFonts w:hint="eastAsia" w:ascii="宋体" w:hAnsi="宋体" w:cs="宋体"/>
                      <w:b/>
                      <w:color w:val="auto"/>
                      <w:sz w:val="21"/>
                      <w:szCs w:val="21"/>
                      <w:lang w:eastAsia="zh-CN"/>
                    </w:rPr>
                    <w:t>及频次</w:t>
                  </w:r>
                </w:p>
              </w:tc>
              <w:tc>
                <w:tcPr>
                  <w:tcW w:w="588" w:type="pct"/>
                  <w:vMerge w:val="restart"/>
                  <w:tcBorders>
                    <w:tl2br w:val="nil"/>
                    <w:tr2bl w:val="nil"/>
                  </w:tcBorders>
                  <w:noWrap w:val="0"/>
                  <w:vAlign w:val="center"/>
                </w:tcPr>
                <w:p w14:paraId="6978D11C">
                  <w:pPr>
                    <w:spacing w:beforeLines="10" w:afterLines="10"/>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平均值</w:t>
                  </w:r>
                </w:p>
              </w:tc>
              <w:tc>
                <w:tcPr>
                  <w:tcW w:w="516" w:type="pct"/>
                  <w:vMerge w:val="restart"/>
                  <w:tcBorders>
                    <w:tl2br w:val="nil"/>
                    <w:tr2bl w:val="nil"/>
                  </w:tcBorders>
                  <w:noWrap w:val="0"/>
                  <w:vAlign w:val="center"/>
                </w:tcPr>
                <w:p w14:paraId="52E887C5">
                  <w:pPr>
                    <w:spacing w:beforeLines="10" w:afterLines="10"/>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参考</w:t>
                  </w:r>
                </w:p>
                <w:p w14:paraId="7129857D">
                  <w:pPr>
                    <w:spacing w:beforeLines="10" w:afterLines="10"/>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限值</w:t>
                  </w:r>
                </w:p>
              </w:tc>
            </w:tr>
            <w:tr w14:paraId="45063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404" w:type="pct"/>
                  <w:vMerge w:val="continue"/>
                  <w:tcBorders>
                    <w:tl2br w:val="nil"/>
                    <w:tr2bl w:val="nil"/>
                  </w:tcBorders>
                  <w:noWrap w:val="0"/>
                  <w:vAlign w:val="center"/>
                </w:tcPr>
                <w:p w14:paraId="19919CDD">
                  <w:pPr>
                    <w:spacing w:beforeLines="10" w:afterLines="10"/>
                    <w:jc w:val="center"/>
                    <w:rPr>
                      <w:color w:val="auto"/>
                    </w:rPr>
                  </w:pPr>
                </w:p>
              </w:tc>
              <w:tc>
                <w:tcPr>
                  <w:tcW w:w="490" w:type="pct"/>
                  <w:vMerge w:val="continue"/>
                  <w:tcBorders>
                    <w:tl2br w:val="nil"/>
                    <w:tr2bl w:val="nil"/>
                  </w:tcBorders>
                  <w:noWrap w:val="0"/>
                  <w:vAlign w:val="center"/>
                </w:tcPr>
                <w:p w14:paraId="390757CE">
                  <w:pPr>
                    <w:spacing w:beforeLines="10" w:afterLines="10"/>
                    <w:jc w:val="center"/>
                    <w:rPr>
                      <w:color w:val="auto"/>
                    </w:rPr>
                  </w:pPr>
                </w:p>
              </w:tc>
              <w:tc>
                <w:tcPr>
                  <w:tcW w:w="747" w:type="pct"/>
                  <w:vMerge w:val="continue"/>
                  <w:tcBorders>
                    <w:tl2br w:val="nil"/>
                    <w:tr2bl w:val="nil"/>
                  </w:tcBorders>
                  <w:noWrap w:val="0"/>
                  <w:vAlign w:val="center"/>
                </w:tcPr>
                <w:p w14:paraId="4972BD5B">
                  <w:pPr>
                    <w:spacing w:beforeLines="10" w:afterLines="10"/>
                    <w:jc w:val="center"/>
                    <w:rPr>
                      <w:color w:val="auto"/>
                    </w:rPr>
                  </w:pPr>
                </w:p>
              </w:tc>
              <w:tc>
                <w:tcPr>
                  <w:tcW w:w="500" w:type="pct"/>
                  <w:vMerge w:val="continue"/>
                  <w:tcBorders>
                    <w:tl2br w:val="nil"/>
                    <w:tr2bl w:val="nil"/>
                  </w:tcBorders>
                  <w:noWrap w:val="0"/>
                  <w:vAlign w:val="center"/>
                </w:tcPr>
                <w:p w14:paraId="24BCD3C8">
                  <w:pPr>
                    <w:spacing w:beforeLines="10" w:afterLines="10"/>
                    <w:jc w:val="center"/>
                    <w:rPr>
                      <w:color w:val="auto"/>
                    </w:rPr>
                  </w:pPr>
                </w:p>
              </w:tc>
              <w:tc>
                <w:tcPr>
                  <w:tcW w:w="607" w:type="pct"/>
                  <w:tcBorders>
                    <w:tl2br w:val="nil"/>
                    <w:tr2bl w:val="nil"/>
                  </w:tcBorders>
                  <w:noWrap w:val="0"/>
                  <w:vAlign w:val="center"/>
                </w:tcPr>
                <w:p w14:paraId="5726636B">
                  <w:pPr>
                    <w:spacing w:beforeLines="10" w:afterLines="10"/>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第一次</w:t>
                  </w:r>
                </w:p>
              </w:tc>
              <w:tc>
                <w:tcPr>
                  <w:tcW w:w="574" w:type="pct"/>
                  <w:tcBorders>
                    <w:tl2br w:val="nil"/>
                    <w:tr2bl w:val="nil"/>
                  </w:tcBorders>
                  <w:noWrap w:val="0"/>
                  <w:vAlign w:val="center"/>
                </w:tcPr>
                <w:p w14:paraId="507EA0C8">
                  <w:pPr>
                    <w:spacing w:beforeLines="10" w:afterLines="10"/>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第二次</w:t>
                  </w:r>
                </w:p>
              </w:tc>
              <w:tc>
                <w:tcPr>
                  <w:tcW w:w="570" w:type="pct"/>
                  <w:tcBorders>
                    <w:tl2br w:val="nil"/>
                    <w:tr2bl w:val="nil"/>
                  </w:tcBorders>
                  <w:noWrap w:val="0"/>
                  <w:vAlign w:val="center"/>
                </w:tcPr>
                <w:p w14:paraId="531FC09F">
                  <w:pPr>
                    <w:spacing w:beforeLines="10" w:afterLines="10"/>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第三次</w:t>
                  </w:r>
                </w:p>
              </w:tc>
              <w:tc>
                <w:tcPr>
                  <w:tcW w:w="588" w:type="pct"/>
                  <w:vMerge w:val="continue"/>
                  <w:tcBorders>
                    <w:tl2br w:val="nil"/>
                    <w:tr2bl w:val="nil"/>
                  </w:tcBorders>
                  <w:noWrap w:val="0"/>
                  <w:vAlign w:val="center"/>
                </w:tcPr>
                <w:p w14:paraId="213A07F7">
                  <w:pPr>
                    <w:spacing w:beforeLines="10" w:afterLines="10"/>
                    <w:jc w:val="center"/>
                    <w:rPr>
                      <w:rFonts w:hint="eastAsia" w:ascii="宋体" w:hAnsi="宋体" w:eastAsia="宋体" w:cs="宋体"/>
                      <w:b/>
                      <w:color w:val="auto"/>
                      <w:sz w:val="21"/>
                      <w:szCs w:val="21"/>
                    </w:rPr>
                  </w:pPr>
                </w:p>
              </w:tc>
              <w:tc>
                <w:tcPr>
                  <w:tcW w:w="516" w:type="pct"/>
                  <w:vMerge w:val="continue"/>
                  <w:tcBorders>
                    <w:tl2br w:val="nil"/>
                    <w:tr2bl w:val="nil"/>
                  </w:tcBorders>
                  <w:noWrap w:val="0"/>
                  <w:vAlign w:val="center"/>
                </w:tcPr>
                <w:p w14:paraId="6EBECF97">
                  <w:pPr>
                    <w:spacing w:beforeLines="10" w:afterLines="10"/>
                    <w:jc w:val="center"/>
                    <w:rPr>
                      <w:rFonts w:hint="eastAsia" w:ascii="宋体" w:hAnsi="宋体" w:eastAsia="宋体" w:cs="宋体"/>
                      <w:b/>
                      <w:color w:val="auto"/>
                      <w:sz w:val="21"/>
                      <w:szCs w:val="21"/>
                    </w:rPr>
                  </w:pPr>
                </w:p>
              </w:tc>
            </w:tr>
            <w:tr w14:paraId="67C64E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restart"/>
                  <w:tcBorders>
                    <w:tl2br w:val="nil"/>
                    <w:tr2bl w:val="nil"/>
                  </w:tcBorders>
                  <w:noWrap w:val="0"/>
                  <w:vAlign w:val="center"/>
                </w:tcPr>
                <w:p w14:paraId="681AFB0B">
                  <w:pPr>
                    <w:spacing w:beforeLines="10" w:afterLines="1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07月01日</w:t>
                  </w:r>
                </w:p>
              </w:tc>
              <w:tc>
                <w:tcPr>
                  <w:tcW w:w="490" w:type="pct"/>
                  <w:vMerge w:val="restart"/>
                  <w:tcBorders>
                    <w:tl2br w:val="nil"/>
                    <w:tr2bl w:val="nil"/>
                  </w:tcBorders>
                  <w:noWrap w:val="0"/>
                  <w:vAlign w:val="center"/>
                </w:tcPr>
                <w:p w14:paraId="551AFEA5">
                  <w:pPr>
                    <w:jc w:val="center"/>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废水总排口 DW001</w:t>
                  </w:r>
                </w:p>
              </w:tc>
              <w:tc>
                <w:tcPr>
                  <w:tcW w:w="747" w:type="pct"/>
                  <w:tcBorders>
                    <w:tl2br w:val="nil"/>
                    <w:tr2bl w:val="nil"/>
                  </w:tcBorders>
                  <w:noWrap w:val="0"/>
                  <w:vAlign w:val="center"/>
                </w:tcPr>
                <w:p w14:paraId="2A206D6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pH</w:t>
                  </w:r>
                  <w:r>
                    <w:rPr>
                      <w:rFonts w:hint="eastAsia" w:ascii="宋体" w:hAnsi="宋体" w:cs="宋体"/>
                      <w:color w:val="auto"/>
                      <w:lang w:val="en-US" w:eastAsia="zh-CN"/>
                    </w:rPr>
                    <w:t>值</w:t>
                  </w:r>
                </w:p>
              </w:tc>
              <w:tc>
                <w:tcPr>
                  <w:tcW w:w="500" w:type="pct"/>
                  <w:tcBorders>
                    <w:tl2br w:val="nil"/>
                    <w:tr2bl w:val="nil"/>
                  </w:tcBorders>
                  <w:noWrap w:val="0"/>
                  <w:vAlign w:val="center"/>
                </w:tcPr>
                <w:p w14:paraId="210260E9">
                  <w:pPr>
                    <w:jc w:val="center"/>
                    <w:rPr>
                      <w:rFonts w:hint="eastAsia" w:ascii="宋体" w:hAnsi="宋体" w:eastAsia="宋体" w:cs="宋体"/>
                      <w:b w:val="0"/>
                      <w:bCs w:val="0"/>
                      <w:color w:val="auto"/>
                      <w:kern w:val="2"/>
                      <w:sz w:val="21"/>
                      <w:szCs w:val="24"/>
                      <w:lang w:val="en-US" w:eastAsia="zh-CN" w:bidi="ar-SA"/>
                    </w:rPr>
                  </w:pPr>
                  <w:r>
                    <w:rPr>
                      <w:rFonts w:hint="eastAsia" w:ascii="宋体" w:hAnsi="宋体" w:cs="宋体"/>
                      <w:b w:val="0"/>
                      <w:bCs w:val="0"/>
                      <w:color w:val="auto"/>
                      <w:kern w:val="0"/>
                      <w:szCs w:val="21"/>
                      <w:lang w:val="en-US" w:eastAsia="zh-CN"/>
                    </w:rPr>
                    <w:t>无量纲</w:t>
                  </w:r>
                </w:p>
              </w:tc>
              <w:tc>
                <w:tcPr>
                  <w:tcW w:w="607" w:type="pct"/>
                  <w:tcBorders>
                    <w:tl2br w:val="nil"/>
                    <w:tr2bl w:val="nil"/>
                  </w:tcBorders>
                  <w:noWrap w:val="0"/>
                  <w:vAlign w:val="center"/>
                </w:tcPr>
                <w:p w14:paraId="289991FC">
                  <w:pPr>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7.5</w:t>
                  </w:r>
                </w:p>
              </w:tc>
              <w:tc>
                <w:tcPr>
                  <w:tcW w:w="574" w:type="pct"/>
                  <w:tcBorders>
                    <w:tl2br w:val="nil"/>
                    <w:tr2bl w:val="nil"/>
                  </w:tcBorders>
                  <w:noWrap w:val="0"/>
                  <w:vAlign w:val="center"/>
                </w:tcPr>
                <w:p w14:paraId="59B2CAAB">
                  <w:pPr>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7.6</w:t>
                  </w:r>
                </w:p>
              </w:tc>
              <w:tc>
                <w:tcPr>
                  <w:tcW w:w="570" w:type="pct"/>
                  <w:tcBorders>
                    <w:tl2br w:val="nil"/>
                    <w:tr2bl w:val="nil"/>
                  </w:tcBorders>
                  <w:noWrap w:val="0"/>
                  <w:vAlign w:val="center"/>
                </w:tcPr>
                <w:p w14:paraId="556C3F28">
                  <w:pPr>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7.5</w:t>
                  </w:r>
                </w:p>
              </w:tc>
              <w:tc>
                <w:tcPr>
                  <w:tcW w:w="588" w:type="pct"/>
                  <w:tcBorders>
                    <w:tl2br w:val="nil"/>
                    <w:tr2bl w:val="nil"/>
                  </w:tcBorders>
                  <w:noWrap w:val="0"/>
                  <w:vAlign w:val="center"/>
                </w:tcPr>
                <w:p w14:paraId="58D0927B">
                  <w:pPr>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w:t>
                  </w:r>
                </w:p>
              </w:tc>
              <w:tc>
                <w:tcPr>
                  <w:tcW w:w="516" w:type="pct"/>
                  <w:tcBorders>
                    <w:tl2br w:val="nil"/>
                    <w:tr2bl w:val="nil"/>
                  </w:tcBorders>
                  <w:noWrap w:val="0"/>
                  <w:vAlign w:val="center"/>
                </w:tcPr>
                <w:p w14:paraId="50A122B8">
                  <w:pPr>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6-9</w:t>
                  </w:r>
                </w:p>
              </w:tc>
            </w:tr>
            <w:tr w14:paraId="2B5274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25DC0DAB">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166BA4DA">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04FE362B">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悬浮物</w:t>
                  </w:r>
                </w:p>
              </w:tc>
              <w:tc>
                <w:tcPr>
                  <w:tcW w:w="500" w:type="pct"/>
                  <w:tcBorders>
                    <w:tl2br w:val="nil"/>
                    <w:tr2bl w:val="nil"/>
                  </w:tcBorders>
                  <w:noWrap w:val="0"/>
                  <w:vAlign w:val="center"/>
                </w:tcPr>
                <w:p w14:paraId="188206AD">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eastAsia="zh-CN"/>
                    </w:rPr>
                    <w:t>mg/L</w:t>
                  </w:r>
                </w:p>
              </w:tc>
              <w:tc>
                <w:tcPr>
                  <w:tcW w:w="607" w:type="pct"/>
                  <w:tcBorders>
                    <w:tl2br w:val="nil"/>
                    <w:tr2bl w:val="nil"/>
                  </w:tcBorders>
                  <w:noWrap w:val="0"/>
                  <w:vAlign w:val="center"/>
                </w:tcPr>
                <w:p w14:paraId="3C73E29F">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15</w:t>
                  </w:r>
                </w:p>
              </w:tc>
              <w:tc>
                <w:tcPr>
                  <w:tcW w:w="574" w:type="pct"/>
                  <w:tcBorders>
                    <w:tl2br w:val="nil"/>
                    <w:tr2bl w:val="nil"/>
                  </w:tcBorders>
                  <w:noWrap w:val="0"/>
                  <w:vAlign w:val="center"/>
                </w:tcPr>
                <w:p w14:paraId="667D6181">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570" w:type="pct"/>
                  <w:tcBorders>
                    <w:tl2br w:val="nil"/>
                    <w:tr2bl w:val="nil"/>
                  </w:tcBorders>
                  <w:noWrap w:val="0"/>
                  <w:vAlign w:val="center"/>
                </w:tcPr>
                <w:p w14:paraId="0B24654F">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12</w:t>
                  </w:r>
                </w:p>
              </w:tc>
              <w:tc>
                <w:tcPr>
                  <w:tcW w:w="588" w:type="pct"/>
                  <w:tcBorders>
                    <w:tl2br w:val="nil"/>
                    <w:tr2bl w:val="nil"/>
                  </w:tcBorders>
                  <w:noWrap w:val="0"/>
                  <w:vAlign w:val="center"/>
                </w:tcPr>
                <w:p w14:paraId="4216F670">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12</w:t>
                  </w:r>
                </w:p>
              </w:tc>
              <w:tc>
                <w:tcPr>
                  <w:tcW w:w="516" w:type="pct"/>
                  <w:tcBorders>
                    <w:tl2br w:val="nil"/>
                    <w:tr2bl w:val="nil"/>
                  </w:tcBorders>
                  <w:noWrap w:val="0"/>
                  <w:vAlign w:val="center"/>
                </w:tcPr>
                <w:p w14:paraId="6149985C">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r>
            <w:tr w14:paraId="4A365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2DBF2E69">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0DBEF2E2">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1B50E2C8">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化学需氧量</w:t>
                  </w:r>
                </w:p>
              </w:tc>
              <w:tc>
                <w:tcPr>
                  <w:tcW w:w="500" w:type="pct"/>
                  <w:tcBorders>
                    <w:tl2br w:val="nil"/>
                    <w:tr2bl w:val="nil"/>
                  </w:tcBorders>
                  <w:noWrap w:val="0"/>
                  <w:vAlign w:val="center"/>
                </w:tcPr>
                <w:p w14:paraId="79EFA15B">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eastAsia="zh-CN"/>
                    </w:rPr>
                    <w:t>mg/L</w:t>
                  </w:r>
                </w:p>
              </w:tc>
              <w:tc>
                <w:tcPr>
                  <w:tcW w:w="1180" w:type="dxa"/>
                  <w:tcBorders>
                    <w:tl2br w:val="nil"/>
                    <w:tr2bl w:val="nil"/>
                  </w:tcBorders>
                  <w:noWrap w:val="0"/>
                  <w:vAlign w:val="center"/>
                </w:tcPr>
                <w:p w14:paraId="1558CB47">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51</w:t>
                  </w:r>
                </w:p>
              </w:tc>
              <w:tc>
                <w:tcPr>
                  <w:tcW w:w="1116" w:type="dxa"/>
                  <w:tcBorders>
                    <w:tl2br w:val="nil"/>
                    <w:tr2bl w:val="nil"/>
                  </w:tcBorders>
                  <w:noWrap w:val="0"/>
                  <w:vAlign w:val="center"/>
                </w:tcPr>
                <w:p w14:paraId="25AE2417">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53</w:t>
                  </w:r>
                </w:p>
              </w:tc>
              <w:tc>
                <w:tcPr>
                  <w:tcW w:w="1110" w:type="dxa"/>
                  <w:tcBorders>
                    <w:tl2br w:val="nil"/>
                    <w:tr2bl w:val="nil"/>
                  </w:tcBorders>
                  <w:noWrap w:val="0"/>
                  <w:vAlign w:val="center"/>
                </w:tcPr>
                <w:p w14:paraId="4136740D">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55</w:t>
                  </w:r>
                </w:p>
              </w:tc>
              <w:tc>
                <w:tcPr>
                  <w:tcW w:w="1143" w:type="dxa"/>
                  <w:tcBorders>
                    <w:tl2br w:val="nil"/>
                    <w:tr2bl w:val="nil"/>
                  </w:tcBorders>
                  <w:noWrap w:val="0"/>
                  <w:vAlign w:val="center"/>
                </w:tcPr>
                <w:p w14:paraId="1223500B">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53</w:t>
                  </w:r>
                </w:p>
              </w:tc>
              <w:tc>
                <w:tcPr>
                  <w:tcW w:w="1009" w:type="dxa"/>
                  <w:tcBorders>
                    <w:tl2br w:val="nil"/>
                    <w:tr2bl w:val="nil"/>
                  </w:tcBorders>
                  <w:noWrap w:val="0"/>
                  <w:vAlign w:val="center"/>
                </w:tcPr>
                <w:p w14:paraId="4CFD468B">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60</w:t>
                  </w:r>
                </w:p>
              </w:tc>
            </w:tr>
            <w:tr w14:paraId="16B659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1BF14D4D">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1967FFD4">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50BAA6C7">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五日生化</w:t>
                  </w:r>
                </w:p>
                <w:p w14:paraId="733E132D">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需氧量</w:t>
                  </w:r>
                </w:p>
              </w:tc>
              <w:tc>
                <w:tcPr>
                  <w:tcW w:w="500" w:type="pct"/>
                  <w:tcBorders>
                    <w:tl2br w:val="nil"/>
                    <w:tr2bl w:val="nil"/>
                  </w:tcBorders>
                  <w:noWrap w:val="0"/>
                  <w:vAlign w:val="center"/>
                </w:tcPr>
                <w:p w14:paraId="110030C3">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eastAsia="zh-CN"/>
                    </w:rPr>
                    <w:t>mg/L</w:t>
                  </w:r>
                </w:p>
              </w:tc>
              <w:tc>
                <w:tcPr>
                  <w:tcW w:w="1180" w:type="dxa"/>
                  <w:tcBorders>
                    <w:tl2br w:val="nil"/>
                    <w:tr2bl w:val="nil"/>
                  </w:tcBorders>
                  <w:noWrap w:val="0"/>
                  <w:vAlign w:val="center"/>
                </w:tcPr>
                <w:p w14:paraId="504E89D7">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13.4</w:t>
                  </w:r>
                </w:p>
              </w:tc>
              <w:tc>
                <w:tcPr>
                  <w:tcW w:w="1116" w:type="dxa"/>
                  <w:tcBorders>
                    <w:tl2br w:val="nil"/>
                    <w:tr2bl w:val="nil"/>
                  </w:tcBorders>
                  <w:noWrap w:val="0"/>
                  <w:vAlign w:val="center"/>
                </w:tcPr>
                <w:p w14:paraId="3E190C46">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13.7</w:t>
                  </w:r>
                </w:p>
              </w:tc>
              <w:tc>
                <w:tcPr>
                  <w:tcW w:w="1110" w:type="dxa"/>
                  <w:tcBorders>
                    <w:tl2br w:val="nil"/>
                    <w:tr2bl w:val="nil"/>
                  </w:tcBorders>
                  <w:noWrap w:val="0"/>
                  <w:vAlign w:val="center"/>
                </w:tcPr>
                <w:p w14:paraId="564C0855">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14.4</w:t>
                  </w:r>
                </w:p>
              </w:tc>
              <w:tc>
                <w:tcPr>
                  <w:tcW w:w="1143" w:type="dxa"/>
                  <w:tcBorders>
                    <w:tl2br w:val="nil"/>
                    <w:tr2bl w:val="nil"/>
                  </w:tcBorders>
                  <w:noWrap w:val="0"/>
                  <w:vAlign w:val="center"/>
                </w:tcPr>
                <w:p w14:paraId="2A7AFA01">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13.8</w:t>
                  </w:r>
                </w:p>
              </w:tc>
              <w:tc>
                <w:tcPr>
                  <w:tcW w:w="516" w:type="pct"/>
                  <w:tcBorders>
                    <w:tl2br w:val="nil"/>
                    <w:tr2bl w:val="nil"/>
                  </w:tcBorders>
                  <w:noWrap w:val="0"/>
                  <w:vAlign w:val="center"/>
                </w:tcPr>
                <w:p w14:paraId="5C1BB434">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r>
            <w:tr w14:paraId="5543F0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7CC44E8A">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2F4177D4">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42F1731D">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氨氮</w:t>
                  </w:r>
                </w:p>
              </w:tc>
              <w:tc>
                <w:tcPr>
                  <w:tcW w:w="500" w:type="pct"/>
                  <w:tcBorders>
                    <w:tl2br w:val="nil"/>
                    <w:tr2bl w:val="nil"/>
                  </w:tcBorders>
                  <w:noWrap w:val="0"/>
                  <w:vAlign w:val="center"/>
                </w:tcPr>
                <w:p w14:paraId="546585EC">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eastAsia="zh-CN"/>
                    </w:rPr>
                    <w:t>mg/L</w:t>
                  </w:r>
                </w:p>
              </w:tc>
              <w:tc>
                <w:tcPr>
                  <w:tcW w:w="607" w:type="pct"/>
                  <w:tcBorders>
                    <w:tl2br w:val="nil"/>
                    <w:tr2bl w:val="nil"/>
                  </w:tcBorders>
                  <w:noWrap w:val="0"/>
                  <w:vAlign w:val="center"/>
                </w:tcPr>
                <w:p w14:paraId="684E9186">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11.6</w:t>
                  </w:r>
                </w:p>
              </w:tc>
              <w:tc>
                <w:tcPr>
                  <w:tcW w:w="574" w:type="pct"/>
                  <w:tcBorders>
                    <w:tl2br w:val="nil"/>
                    <w:tr2bl w:val="nil"/>
                  </w:tcBorders>
                  <w:noWrap w:val="0"/>
                  <w:vAlign w:val="center"/>
                </w:tcPr>
                <w:p w14:paraId="19FB7DDE">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12.6</w:t>
                  </w:r>
                </w:p>
              </w:tc>
              <w:tc>
                <w:tcPr>
                  <w:tcW w:w="570" w:type="pct"/>
                  <w:tcBorders>
                    <w:tl2br w:val="nil"/>
                    <w:tr2bl w:val="nil"/>
                  </w:tcBorders>
                  <w:noWrap w:val="0"/>
                  <w:vAlign w:val="center"/>
                </w:tcPr>
                <w:p w14:paraId="1F7CD4A7">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11.0</w:t>
                  </w:r>
                </w:p>
              </w:tc>
              <w:tc>
                <w:tcPr>
                  <w:tcW w:w="588" w:type="pct"/>
                  <w:tcBorders>
                    <w:tl2br w:val="nil"/>
                    <w:tr2bl w:val="nil"/>
                  </w:tcBorders>
                  <w:noWrap w:val="0"/>
                  <w:vAlign w:val="center"/>
                </w:tcPr>
                <w:p w14:paraId="00DDC0DE">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11.7</w:t>
                  </w:r>
                </w:p>
              </w:tc>
              <w:tc>
                <w:tcPr>
                  <w:tcW w:w="516" w:type="pct"/>
                  <w:tcBorders>
                    <w:tl2br w:val="nil"/>
                    <w:tr2bl w:val="nil"/>
                  </w:tcBorders>
                  <w:noWrap w:val="0"/>
                  <w:vAlign w:val="center"/>
                </w:tcPr>
                <w:p w14:paraId="1A74CCD3">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r>
            <w:tr w14:paraId="1B6681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1FCD448A">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06DD98DD">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160946C0">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总磷</w:t>
                  </w:r>
                </w:p>
              </w:tc>
              <w:tc>
                <w:tcPr>
                  <w:tcW w:w="500" w:type="pct"/>
                  <w:tcBorders>
                    <w:tl2br w:val="nil"/>
                    <w:tr2bl w:val="nil"/>
                  </w:tcBorders>
                  <w:noWrap w:val="0"/>
                  <w:vAlign w:val="center"/>
                </w:tcPr>
                <w:p w14:paraId="2B6FCD9E">
                  <w:pPr>
                    <w:jc w:val="center"/>
                    <w:rPr>
                      <w:rFonts w:hint="eastAsia" w:ascii="宋体" w:hAnsi="宋体" w:eastAsia="宋体" w:cs="宋体"/>
                      <w:bCs/>
                      <w:color w:val="auto"/>
                      <w:sz w:val="21"/>
                      <w:szCs w:val="21"/>
                      <w:lang w:val="de-DE" w:eastAsia="zh-CN"/>
                    </w:rPr>
                  </w:pPr>
                  <w:r>
                    <w:rPr>
                      <w:rFonts w:hint="eastAsia" w:ascii="宋体" w:hAnsi="宋体" w:eastAsia="宋体" w:cs="宋体"/>
                      <w:bCs/>
                      <w:color w:val="auto"/>
                      <w:sz w:val="21"/>
                      <w:szCs w:val="21"/>
                      <w:lang w:val="zh-CN" w:eastAsia="zh-CN"/>
                    </w:rPr>
                    <w:t>mg/L</w:t>
                  </w:r>
                </w:p>
              </w:tc>
              <w:tc>
                <w:tcPr>
                  <w:tcW w:w="607" w:type="pct"/>
                  <w:tcBorders>
                    <w:tl2br w:val="nil"/>
                    <w:tr2bl w:val="nil"/>
                  </w:tcBorders>
                  <w:noWrap w:val="0"/>
                  <w:vAlign w:val="center"/>
                </w:tcPr>
                <w:p w14:paraId="608F4906">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0.10</w:t>
                  </w:r>
                </w:p>
              </w:tc>
              <w:tc>
                <w:tcPr>
                  <w:tcW w:w="574" w:type="pct"/>
                  <w:tcBorders>
                    <w:tl2br w:val="nil"/>
                    <w:tr2bl w:val="nil"/>
                  </w:tcBorders>
                  <w:noWrap w:val="0"/>
                  <w:vAlign w:val="center"/>
                </w:tcPr>
                <w:p w14:paraId="7EA4EF52">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0.14</w:t>
                  </w:r>
                </w:p>
              </w:tc>
              <w:tc>
                <w:tcPr>
                  <w:tcW w:w="570" w:type="pct"/>
                  <w:tcBorders>
                    <w:tl2br w:val="nil"/>
                    <w:tr2bl w:val="nil"/>
                  </w:tcBorders>
                  <w:noWrap w:val="0"/>
                  <w:vAlign w:val="center"/>
                </w:tcPr>
                <w:p w14:paraId="1DE2F8D0">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0.09</w:t>
                  </w:r>
                </w:p>
              </w:tc>
              <w:tc>
                <w:tcPr>
                  <w:tcW w:w="588" w:type="pct"/>
                  <w:tcBorders>
                    <w:tl2br w:val="nil"/>
                    <w:tr2bl w:val="nil"/>
                  </w:tcBorders>
                  <w:noWrap w:val="0"/>
                  <w:vAlign w:val="center"/>
                </w:tcPr>
                <w:p w14:paraId="2B1BEA99">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0.11</w:t>
                  </w:r>
                </w:p>
              </w:tc>
              <w:tc>
                <w:tcPr>
                  <w:tcW w:w="516" w:type="pct"/>
                  <w:tcBorders>
                    <w:tl2br w:val="nil"/>
                    <w:tr2bl w:val="nil"/>
                  </w:tcBorders>
                  <w:noWrap w:val="0"/>
                  <w:vAlign w:val="center"/>
                </w:tcPr>
                <w:p w14:paraId="0669C39F">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0.5</w:t>
                  </w:r>
                </w:p>
              </w:tc>
            </w:tr>
            <w:tr w14:paraId="26C9E6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496B0D78">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19316D7E">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5F882D99">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动植物油</w:t>
                  </w:r>
                </w:p>
              </w:tc>
              <w:tc>
                <w:tcPr>
                  <w:tcW w:w="500" w:type="pct"/>
                  <w:tcBorders>
                    <w:tl2br w:val="nil"/>
                    <w:tr2bl w:val="nil"/>
                  </w:tcBorders>
                  <w:noWrap w:val="0"/>
                  <w:vAlign w:val="center"/>
                </w:tcPr>
                <w:p w14:paraId="1EE6B47B">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eastAsia="zh-CN"/>
                    </w:rPr>
                    <w:t>mg/L</w:t>
                  </w:r>
                </w:p>
              </w:tc>
              <w:tc>
                <w:tcPr>
                  <w:tcW w:w="607" w:type="pct"/>
                  <w:tcBorders>
                    <w:tl2br w:val="nil"/>
                    <w:tr2bl w:val="nil"/>
                  </w:tcBorders>
                  <w:noWrap w:val="0"/>
                  <w:vAlign w:val="center"/>
                </w:tcPr>
                <w:p w14:paraId="7EF74611">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0.43</w:t>
                  </w:r>
                </w:p>
              </w:tc>
              <w:tc>
                <w:tcPr>
                  <w:tcW w:w="574" w:type="pct"/>
                  <w:tcBorders>
                    <w:tl2br w:val="nil"/>
                    <w:tr2bl w:val="nil"/>
                  </w:tcBorders>
                  <w:noWrap w:val="0"/>
                  <w:vAlign w:val="center"/>
                </w:tcPr>
                <w:p w14:paraId="5A4A0EA2">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0.45</w:t>
                  </w:r>
                </w:p>
              </w:tc>
              <w:tc>
                <w:tcPr>
                  <w:tcW w:w="570" w:type="pct"/>
                  <w:tcBorders>
                    <w:tl2br w:val="nil"/>
                    <w:tr2bl w:val="nil"/>
                  </w:tcBorders>
                  <w:noWrap w:val="0"/>
                  <w:vAlign w:val="center"/>
                </w:tcPr>
                <w:p w14:paraId="485B233F">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0.42</w:t>
                  </w:r>
                </w:p>
              </w:tc>
              <w:tc>
                <w:tcPr>
                  <w:tcW w:w="588" w:type="pct"/>
                  <w:tcBorders>
                    <w:tl2br w:val="nil"/>
                    <w:tr2bl w:val="nil"/>
                  </w:tcBorders>
                  <w:noWrap w:val="0"/>
                  <w:vAlign w:val="center"/>
                </w:tcPr>
                <w:p w14:paraId="349A0BFC">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0.43</w:t>
                  </w:r>
                </w:p>
              </w:tc>
              <w:tc>
                <w:tcPr>
                  <w:tcW w:w="516" w:type="pct"/>
                  <w:tcBorders>
                    <w:tl2br w:val="nil"/>
                    <w:tr2bl w:val="nil"/>
                  </w:tcBorders>
                  <w:noWrap w:val="0"/>
                  <w:vAlign w:val="center"/>
                </w:tcPr>
                <w:p w14:paraId="170413C1">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w:t>
                  </w:r>
                </w:p>
              </w:tc>
            </w:tr>
            <w:tr w14:paraId="1C1EC7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69E62F13">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6D07458D">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0E64516F">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总余氯</w:t>
                  </w:r>
                </w:p>
              </w:tc>
              <w:tc>
                <w:tcPr>
                  <w:tcW w:w="500" w:type="pct"/>
                  <w:tcBorders>
                    <w:tl2br w:val="nil"/>
                    <w:tr2bl w:val="nil"/>
                  </w:tcBorders>
                  <w:noWrap w:val="0"/>
                  <w:vAlign w:val="center"/>
                </w:tcPr>
                <w:p w14:paraId="77A947AF">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eastAsia="zh-CN"/>
                    </w:rPr>
                    <w:t>mg/L</w:t>
                  </w:r>
                </w:p>
              </w:tc>
              <w:tc>
                <w:tcPr>
                  <w:tcW w:w="607" w:type="pct"/>
                  <w:tcBorders>
                    <w:tl2br w:val="nil"/>
                    <w:tr2bl w:val="nil"/>
                  </w:tcBorders>
                  <w:noWrap w:val="0"/>
                  <w:vAlign w:val="center"/>
                </w:tcPr>
                <w:p w14:paraId="7A0C3B45">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0.03</w:t>
                  </w:r>
                </w:p>
              </w:tc>
              <w:tc>
                <w:tcPr>
                  <w:tcW w:w="574" w:type="pct"/>
                  <w:tcBorders>
                    <w:tl2br w:val="nil"/>
                    <w:tr2bl w:val="nil"/>
                  </w:tcBorders>
                  <w:noWrap w:val="0"/>
                  <w:vAlign w:val="center"/>
                </w:tcPr>
                <w:p w14:paraId="38305321">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0.04</w:t>
                  </w:r>
                </w:p>
              </w:tc>
              <w:tc>
                <w:tcPr>
                  <w:tcW w:w="570" w:type="pct"/>
                  <w:tcBorders>
                    <w:tl2br w:val="nil"/>
                    <w:tr2bl w:val="nil"/>
                  </w:tcBorders>
                  <w:noWrap w:val="0"/>
                  <w:vAlign w:val="center"/>
                </w:tcPr>
                <w:p w14:paraId="2808A4BE">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0.04</w:t>
                  </w:r>
                </w:p>
              </w:tc>
              <w:tc>
                <w:tcPr>
                  <w:tcW w:w="588" w:type="pct"/>
                  <w:tcBorders>
                    <w:tl2br w:val="nil"/>
                    <w:tr2bl w:val="nil"/>
                  </w:tcBorders>
                  <w:noWrap w:val="0"/>
                  <w:vAlign w:val="center"/>
                </w:tcPr>
                <w:p w14:paraId="18CD3F89">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0.04</w:t>
                  </w:r>
                </w:p>
              </w:tc>
              <w:tc>
                <w:tcPr>
                  <w:tcW w:w="516" w:type="pct"/>
                  <w:tcBorders>
                    <w:tl2br w:val="nil"/>
                    <w:tr2bl w:val="nil"/>
                  </w:tcBorders>
                  <w:noWrap w:val="0"/>
                  <w:vAlign w:val="center"/>
                </w:tcPr>
                <w:p w14:paraId="04619AC8">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0.5</w:t>
                  </w:r>
                </w:p>
              </w:tc>
            </w:tr>
            <w:tr w14:paraId="3940A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6E5E41E7">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1832BBA9">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02564DBD">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阴离子表面活性剂</w:t>
                  </w:r>
                </w:p>
              </w:tc>
              <w:tc>
                <w:tcPr>
                  <w:tcW w:w="500" w:type="pct"/>
                  <w:tcBorders>
                    <w:tl2br w:val="nil"/>
                    <w:tr2bl w:val="nil"/>
                  </w:tcBorders>
                  <w:noWrap w:val="0"/>
                  <w:vAlign w:val="center"/>
                </w:tcPr>
                <w:p w14:paraId="587CAB66">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eastAsia="zh-CN"/>
                    </w:rPr>
                    <w:t>mg/L</w:t>
                  </w:r>
                </w:p>
              </w:tc>
              <w:tc>
                <w:tcPr>
                  <w:tcW w:w="607" w:type="pct"/>
                  <w:tcBorders>
                    <w:tl2br w:val="nil"/>
                    <w:tr2bl w:val="nil"/>
                  </w:tcBorders>
                  <w:noWrap w:val="0"/>
                  <w:vAlign w:val="center"/>
                </w:tcPr>
                <w:p w14:paraId="2FE7D38D">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0.079</w:t>
                  </w:r>
                </w:p>
              </w:tc>
              <w:tc>
                <w:tcPr>
                  <w:tcW w:w="574" w:type="pct"/>
                  <w:tcBorders>
                    <w:tl2br w:val="nil"/>
                    <w:tr2bl w:val="nil"/>
                  </w:tcBorders>
                  <w:noWrap w:val="0"/>
                  <w:vAlign w:val="center"/>
                </w:tcPr>
                <w:p w14:paraId="2818CAAE">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0.067</w:t>
                  </w:r>
                </w:p>
              </w:tc>
              <w:tc>
                <w:tcPr>
                  <w:tcW w:w="570" w:type="pct"/>
                  <w:tcBorders>
                    <w:tl2br w:val="nil"/>
                    <w:tr2bl w:val="nil"/>
                  </w:tcBorders>
                  <w:noWrap w:val="0"/>
                  <w:vAlign w:val="center"/>
                </w:tcPr>
                <w:p w14:paraId="38CCABAB">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0.084</w:t>
                  </w:r>
                </w:p>
              </w:tc>
              <w:tc>
                <w:tcPr>
                  <w:tcW w:w="588" w:type="pct"/>
                  <w:tcBorders>
                    <w:tl2br w:val="nil"/>
                    <w:tr2bl w:val="nil"/>
                  </w:tcBorders>
                  <w:noWrap w:val="0"/>
                  <w:vAlign w:val="center"/>
                </w:tcPr>
                <w:p w14:paraId="05BC5D2B">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0.077</w:t>
                  </w:r>
                </w:p>
              </w:tc>
              <w:tc>
                <w:tcPr>
                  <w:tcW w:w="516" w:type="pct"/>
                  <w:tcBorders>
                    <w:tl2br w:val="nil"/>
                    <w:tr2bl w:val="nil"/>
                  </w:tcBorders>
                  <w:noWrap w:val="0"/>
                  <w:vAlign w:val="center"/>
                </w:tcPr>
                <w:p w14:paraId="2B01B07D">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w:t>
                  </w:r>
                </w:p>
              </w:tc>
            </w:tr>
            <w:tr w14:paraId="59674D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04" w:type="pct"/>
                  <w:vMerge w:val="continue"/>
                  <w:tcBorders>
                    <w:tl2br w:val="nil"/>
                    <w:tr2bl w:val="nil"/>
                  </w:tcBorders>
                  <w:noWrap w:val="0"/>
                  <w:vAlign w:val="center"/>
                </w:tcPr>
                <w:p w14:paraId="1A8D9F88">
                  <w:pPr>
                    <w:jc w:val="center"/>
                    <w:rPr>
                      <w:rFonts w:hint="eastAsia" w:ascii="宋体" w:hAnsi="宋体" w:eastAsia="宋体" w:cs="宋体"/>
                      <w:bCs/>
                      <w:color w:val="auto"/>
                      <w:sz w:val="21"/>
                      <w:szCs w:val="21"/>
                      <w:lang w:val="en-US" w:eastAsia="zh-CN"/>
                    </w:rPr>
                  </w:pPr>
                </w:p>
              </w:tc>
              <w:tc>
                <w:tcPr>
                  <w:tcW w:w="490" w:type="pct"/>
                  <w:vMerge w:val="continue"/>
                  <w:tcBorders>
                    <w:tl2br w:val="nil"/>
                    <w:tr2bl w:val="nil"/>
                  </w:tcBorders>
                  <w:noWrap w:val="0"/>
                  <w:vAlign w:val="center"/>
                </w:tcPr>
                <w:p w14:paraId="51F320BA">
                  <w:pPr>
                    <w:jc w:val="center"/>
                    <w:rPr>
                      <w:rFonts w:hint="eastAsia" w:ascii="宋体" w:hAnsi="宋体" w:eastAsia="宋体" w:cs="宋体"/>
                      <w:bCs/>
                      <w:color w:val="auto"/>
                      <w:sz w:val="21"/>
                      <w:szCs w:val="21"/>
                      <w:lang w:val="en-US" w:eastAsia="zh-CN"/>
                    </w:rPr>
                  </w:pPr>
                </w:p>
              </w:tc>
              <w:tc>
                <w:tcPr>
                  <w:tcW w:w="747" w:type="pct"/>
                  <w:tcBorders>
                    <w:tl2br w:val="nil"/>
                    <w:tr2bl w:val="nil"/>
                  </w:tcBorders>
                  <w:noWrap w:val="0"/>
                  <w:vAlign w:val="center"/>
                </w:tcPr>
                <w:p w14:paraId="2357E06E">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粪大肠菌</w:t>
                  </w:r>
                </w:p>
                <w:p w14:paraId="6A6CE732">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群数</w:t>
                  </w:r>
                </w:p>
              </w:tc>
              <w:tc>
                <w:tcPr>
                  <w:tcW w:w="500" w:type="pct"/>
                  <w:tcBorders>
                    <w:tl2br w:val="nil"/>
                    <w:tr2bl w:val="nil"/>
                  </w:tcBorders>
                  <w:noWrap w:val="0"/>
                  <w:vAlign w:val="center"/>
                </w:tcPr>
                <w:p w14:paraId="609E0B0E">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MPN/L</w:t>
                  </w:r>
                </w:p>
              </w:tc>
              <w:tc>
                <w:tcPr>
                  <w:tcW w:w="607" w:type="pct"/>
                  <w:tcBorders>
                    <w:tl2br w:val="nil"/>
                    <w:tr2bl w:val="nil"/>
                  </w:tcBorders>
                  <w:noWrap w:val="0"/>
                  <w:vAlign w:val="center"/>
                </w:tcPr>
                <w:p w14:paraId="1DB70321">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574" w:type="pct"/>
                  <w:tcBorders>
                    <w:tl2br w:val="nil"/>
                    <w:tr2bl w:val="nil"/>
                  </w:tcBorders>
                  <w:noWrap w:val="0"/>
                  <w:vAlign w:val="center"/>
                </w:tcPr>
                <w:p w14:paraId="6BCC4F90">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570" w:type="pct"/>
                  <w:tcBorders>
                    <w:tl2br w:val="nil"/>
                    <w:tr2bl w:val="nil"/>
                  </w:tcBorders>
                  <w:noWrap w:val="0"/>
                  <w:vAlign w:val="center"/>
                </w:tcPr>
                <w:p w14:paraId="05E18BE3">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588" w:type="pct"/>
                  <w:tcBorders>
                    <w:tl2br w:val="nil"/>
                    <w:tr2bl w:val="nil"/>
                  </w:tcBorders>
                  <w:noWrap w:val="0"/>
                  <w:vAlign w:val="center"/>
                </w:tcPr>
                <w:p w14:paraId="30255D99">
                  <w:pPr>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w:t>
                  </w:r>
                </w:p>
              </w:tc>
              <w:tc>
                <w:tcPr>
                  <w:tcW w:w="516" w:type="pct"/>
                  <w:tcBorders>
                    <w:tl2br w:val="nil"/>
                    <w:tr2bl w:val="nil"/>
                  </w:tcBorders>
                  <w:noWrap w:val="0"/>
                  <w:vAlign w:val="center"/>
                </w:tcPr>
                <w:p w14:paraId="6BE036D4">
                  <w:pPr>
                    <w:jc w:val="center"/>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500</w:t>
                  </w:r>
                </w:p>
              </w:tc>
            </w:tr>
            <w:tr w14:paraId="4B594E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00" w:type="pct"/>
                  <w:gridSpan w:val="9"/>
                  <w:noWrap w:val="0"/>
                  <w:vAlign w:val="center"/>
                </w:tcPr>
                <w:p w14:paraId="342BD977">
                  <w:pPr>
                    <w:jc w:val="both"/>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备注：1、总磷参考限值源于《污水综合排放标准》GB 8978-1996表4中一级标准；</w:t>
                  </w:r>
                </w:p>
                <w:p w14:paraId="72D7EA16">
                  <w:pPr>
                    <w:keepNext w:val="0"/>
                    <w:keepLines w:val="0"/>
                    <w:pageBreakBefore w:val="0"/>
                    <w:widowControl w:val="0"/>
                    <w:kinsoku/>
                    <w:wordWrap/>
                    <w:overflowPunct/>
                    <w:topLinePunct w:val="0"/>
                    <w:autoSpaceDE/>
                    <w:autoSpaceDN/>
                    <w:bidi w:val="0"/>
                    <w:adjustRightInd/>
                    <w:snapToGrid/>
                    <w:ind w:firstLine="630" w:firstLineChars="300"/>
                    <w:jc w:val="both"/>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2、其他因子参考限值源于《医疗机构水污染物排放标准》GB 18466-2005表2排放标准。</w:t>
                  </w:r>
                </w:p>
              </w:tc>
            </w:tr>
          </w:tbl>
          <w:p w14:paraId="683F5688">
            <w:pPr>
              <w:pStyle w:val="20"/>
              <w:rPr>
                <w:color w:val="auto"/>
              </w:rPr>
            </w:pPr>
          </w:p>
          <w:p w14:paraId="7D6EF9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auto"/>
                <w:sz w:val="24"/>
                <w:szCs w:val="24"/>
                <w:lang w:val="en-US" w:eastAsia="zh-CN"/>
              </w:rPr>
            </w:pPr>
            <w:r>
              <w:rPr>
                <w:rFonts w:ascii="Times New Roman" w:hAnsi="Times New Roman" w:eastAsia="宋体"/>
                <w:color w:val="auto"/>
                <w:sz w:val="24"/>
                <w:szCs w:val="24"/>
              </w:rPr>
              <w:t>根据上表可知，</w:t>
            </w:r>
            <w:r>
              <w:rPr>
                <w:rFonts w:hint="eastAsia" w:ascii="Times New Roman" w:hAnsi="Times New Roman" w:eastAsia="宋体"/>
                <w:color w:val="auto"/>
                <w:sz w:val="24"/>
                <w:szCs w:val="24"/>
                <w:lang w:eastAsia="zh-CN"/>
              </w:rPr>
              <w:t>医疗</w:t>
            </w:r>
            <w:r>
              <w:rPr>
                <w:rFonts w:ascii="Times New Roman" w:hAnsi="Times New Roman" w:eastAsia="宋体"/>
                <w:color w:val="auto"/>
                <w:sz w:val="24"/>
                <w:szCs w:val="24"/>
              </w:rPr>
              <w:t>废水经院内污水处理站处理后出水水质</w:t>
            </w:r>
            <w:r>
              <w:rPr>
                <w:rFonts w:hint="eastAsia" w:eastAsia="宋体"/>
                <w:color w:val="auto"/>
                <w:sz w:val="24"/>
                <w:szCs w:val="24"/>
                <w:lang w:val="en-US" w:eastAsia="zh-CN"/>
              </w:rPr>
              <w:t>总磷满足</w:t>
            </w:r>
            <w:r>
              <w:rPr>
                <w:rFonts w:hint="eastAsia" w:ascii="Times New Roman" w:hAnsi="Times New Roman" w:eastAsia="宋体"/>
                <w:color w:val="auto"/>
                <w:sz w:val="24"/>
                <w:szCs w:val="24"/>
                <w:lang w:val="en-US" w:eastAsia="zh-CN"/>
              </w:rPr>
              <w:t>《污水综合排放标准》GB 8978-1996表4中一级标准</w:t>
            </w:r>
            <w:r>
              <w:rPr>
                <w:rFonts w:hint="eastAsia" w:eastAsia="宋体"/>
                <w:color w:val="auto"/>
                <w:sz w:val="24"/>
                <w:szCs w:val="24"/>
                <w:lang w:val="en-US" w:eastAsia="zh-CN"/>
              </w:rPr>
              <w:t>，其余因子</w:t>
            </w:r>
            <w:r>
              <w:rPr>
                <w:rFonts w:ascii="Times New Roman" w:hAnsi="Times New Roman" w:eastAsia="宋体"/>
                <w:color w:val="auto"/>
                <w:sz w:val="24"/>
                <w:szCs w:val="24"/>
              </w:rPr>
              <w:t>满足《医疗机构水污染物排放标准》（GB18466-2005）表2</w:t>
            </w:r>
            <w:r>
              <w:rPr>
                <w:rFonts w:hint="eastAsia" w:eastAsia="宋体"/>
                <w:color w:val="auto"/>
                <w:sz w:val="24"/>
                <w:szCs w:val="24"/>
                <w:lang w:val="en-US" w:eastAsia="zh-CN"/>
              </w:rPr>
              <w:t>排放标准</w:t>
            </w:r>
            <w:r>
              <w:rPr>
                <w:rFonts w:ascii="Times New Roman" w:hAnsi="Times New Roman" w:eastAsia="宋体"/>
                <w:color w:val="auto"/>
                <w:sz w:val="24"/>
                <w:szCs w:val="24"/>
              </w:rPr>
              <w:t>。</w:t>
            </w:r>
            <w:r>
              <w:rPr>
                <w:rFonts w:hint="eastAsia" w:eastAsia="宋体"/>
                <w:color w:val="auto"/>
                <w:sz w:val="24"/>
                <w:szCs w:val="24"/>
                <w:lang w:val="en-US" w:eastAsia="zh-CN"/>
              </w:rPr>
              <w:t>废水处理排放达标。</w:t>
            </w:r>
          </w:p>
          <w:p w14:paraId="269EC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auto"/>
                <w:sz w:val="24"/>
                <w:szCs w:val="24"/>
                <w:lang w:val="en-US" w:eastAsia="zh-CN"/>
              </w:rPr>
            </w:pPr>
          </w:p>
          <w:p w14:paraId="696D0F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b/>
                <w:bCs/>
                <w:color w:val="auto"/>
                <w:sz w:val="24"/>
                <w:szCs w:val="24"/>
                <w:u w:val="none" w:color="auto"/>
                <w:lang w:val="en-US" w:eastAsia="zh-CN"/>
              </w:rPr>
            </w:pPr>
            <w:r>
              <w:rPr>
                <w:rFonts w:hint="eastAsia" w:ascii="Times New Roman" w:hAnsi="Times New Roman" w:eastAsia="宋体"/>
                <w:b/>
                <w:bCs/>
                <w:color w:val="auto"/>
                <w:sz w:val="24"/>
                <w:szCs w:val="24"/>
                <w:u w:val="none" w:color="auto"/>
                <w:lang w:val="en-US" w:eastAsia="zh-CN"/>
              </w:rPr>
              <w:t>3、噪声</w:t>
            </w:r>
          </w:p>
          <w:p w14:paraId="4B8F6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u w:val="none" w:color="auto"/>
              </w:rPr>
            </w:pPr>
            <w:r>
              <w:rPr>
                <w:rFonts w:hint="eastAsia" w:ascii="Times New Roman" w:hAnsi="Times New Roman" w:eastAsia="宋体"/>
                <w:color w:val="auto"/>
                <w:sz w:val="24"/>
                <w:szCs w:val="24"/>
                <w:u w:val="none" w:color="auto"/>
                <w:lang w:eastAsia="zh-CN"/>
              </w:rPr>
              <w:t>（</w:t>
            </w:r>
            <w:r>
              <w:rPr>
                <w:rFonts w:hint="eastAsia" w:ascii="Times New Roman" w:hAnsi="Times New Roman" w:eastAsia="宋体"/>
                <w:color w:val="auto"/>
                <w:sz w:val="24"/>
                <w:szCs w:val="24"/>
                <w:u w:val="none" w:color="auto"/>
                <w:lang w:val="en-US" w:eastAsia="zh-CN"/>
              </w:rPr>
              <w:t>1</w:t>
            </w:r>
            <w:r>
              <w:rPr>
                <w:rFonts w:hint="eastAsia" w:ascii="Times New Roman" w:hAnsi="Times New Roman" w:eastAsia="宋体"/>
                <w:color w:val="auto"/>
                <w:sz w:val="24"/>
                <w:szCs w:val="24"/>
                <w:u w:val="none" w:color="auto"/>
                <w:lang w:eastAsia="zh-CN"/>
              </w:rPr>
              <w:t>）噪声源强分析</w:t>
            </w:r>
          </w:p>
          <w:p w14:paraId="53491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1"/>
                <w:szCs w:val="21"/>
                <w:highlight w:val="yellow"/>
              </w:rPr>
            </w:pPr>
            <w:r>
              <w:rPr>
                <w:rFonts w:hint="default" w:ascii="Times New Roman" w:hAnsi="Times New Roman" w:eastAsia="宋体" w:cs="Times New Roman"/>
                <w:color w:val="auto"/>
                <w:sz w:val="24"/>
                <w:szCs w:val="24"/>
              </w:rPr>
              <w:t>本项目噪声源主要为污水处理站水泵、</w:t>
            </w:r>
            <w:r>
              <w:rPr>
                <w:rFonts w:hint="eastAsia" w:ascii="Times New Roman" w:hAnsi="Times New Roman" w:eastAsia="宋体" w:cs="Times New Roman"/>
                <w:color w:val="auto"/>
                <w:sz w:val="24"/>
                <w:szCs w:val="24"/>
                <w:lang w:val="en-US" w:eastAsia="zh-CN"/>
              </w:rPr>
              <w:t>食堂风机</w:t>
            </w:r>
            <w:r>
              <w:rPr>
                <w:rFonts w:hint="default" w:ascii="Times New Roman" w:hAnsi="Times New Roman" w:eastAsia="宋体" w:cs="Times New Roman"/>
                <w:color w:val="auto"/>
                <w:sz w:val="24"/>
                <w:szCs w:val="24"/>
              </w:rPr>
              <w:t>等产生的设备噪声。噪声源强约为</w:t>
            </w:r>
            <w:r>
              <w:rPr>
                <w:rFonts w:hint="default" w:ascii="Times New Roman" w:hAnsi="Times New Roman" w:eastAsia="宋体" w:cs="Times New Roman"/>
                <w:color w:val="auto"/>
                <w:sz w:val="24"/>
                <w:szCs w:val="24"/>
                <w:lang w:val="en-US" w:eastAsia="zh-CN"/>
              </w:rPr>
              <w:t>75</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80</w:t>
            </w:r>
            <w:r>
              <w:rPr>
                <w:rFonts w:hint="default" w:ascii="Times New Roman" w:hAnsi="Times New Roman" w:eastAsia="宋体" w:cs="Times New Roman"/>
                <w:color w:val="auto"/>
                <w:sz w:val="24"/>
                <w:szCs w:val="24"/>
              </w:rPr>
              <w:t>dB(A)。噪声源强见表。</w:t>
            </w:r>
          </w:p>
          <w:p w14:paraId="10EE2AB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s="Times New Roman"/>
                <w:color w:val="auto"/>
                <w:szCs w:val="24"/>
                <w:highlight w:val="none"/>
              </w:rPr>
            </w:pPr>
            <w:r>
              <w:rPr>
                <w:rFonts w:hint="default"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11</w:t>
            </w:r>
            <w:r>
              <w:rPr>
                <w:rFonts w:hint="default" w:ascii="Times New Roman" w:hAnsi="Times New Roman" w:eastAsia="宋体" w:cs="Times New Roman"/>
                <w:b/>
                <w:bCs/>
                <w:color w:val="auto"/>
                <w:sz w:val="21"/>
                <w:szCs w:val="21"/>
                <w:highlight w:val="none"/>
              </w:rPr>
              <w:t xml:space="preserve"> 主要噪声源一览表  单位：dB</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A)</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24"/>
              <w:gridCol w:w="324"/>
              <w:gridCol w:w="651"/>
              <w:gridCol w:w="534"/>
              <w:gridCol w:w="324"/>
              <w:gridCol w:w="324"/>
              <w:gridCol w:w="243"/>
              <w:gridCol w:w="324"/>
              <w:gridCol w:w="324"/>
              <w:gridCol w:w="324"/>
              <w:gridCol w:w="324"/>
              <w:gridCol w:w="587"/>
              <w:gridCol w:w="587"/>
              <w:gridCol w:w="587"/>
              <w:gridCol w:w="587"/>
              <w:gridCol w:w="324"/>
              <w:gridCol w:w="651"/>
              <w:gridCol w:w="587"/>
              <w:gridCol w:w="587"/>
              <w:gridCol w:w="587"/>
              <w:gridCol w:w="587"/>
            </w:tblGrid>
            <w:tr w14:paraId="70E4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0" w:type="auto"/>
                  <w:vMerge w:val="restart"/>
                  <w:noWrap w:val="0"/>
                  <w:vAlign w:val="center"/>
                </w:tcPr>
                <w:p w14:paraId="0A3DDC1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序号</w:t>
                  </w:r>
                </w:p>
              </w:tc>
              <w:tc>
                <w:tcPr>
                  <w:tcW w:w="0" w:type="auto"/>
                  <w:vMerge w:val="restart"/>
                  <w:noWrap w:val="0"/>
                  <w:vAlign w:val="center"/>
                </w:tcPr>
                <w:p w14:paraId="618B7C1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声源名称</w:t>
                  </w:r>
                </w:p>
              </w:tc>
              <w:tc>
                <w:tcPr>
                  <w:tcW w:w="0" w:type="auto"/>
                  <w:vMerge w:val="restart"/>
                  <w:noWrap w:val="0"/>
                  <w:vAlign w:val="center"/>
                </w:tcPr>
                <w:p w14:paraId="2D66FB7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声功率级dB(A)</w:t>
                  </w:r>
                </w:p>
              </w:tc>
              <w:tc>
                <w:tcPr>
                  <w:tcW w:w="0" w:type="auto"/>
                  <w:vMerge w:val="restart"/>
                  <w:noWrap w:val="0"/>
                  <w:vAlign w:val="center"/>
                </w:tcPr>
                <w:p w14:paraId="5E0AB1F5">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声源控制措施</w:t>
                  </w:r>
                </w:p>
              </w:tc>
              <w:tc>
                <w:tcPr>
                  <w:tcW w:w="0" w:type="auto"/>
                  <w:gridSpan w:val="3"/>
                  <w:noWrap w:val="0"/>
                  <w:vAlign w:val="center"/>
                </w:tcPr>
                <w:p w14:paraId="6CCE274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空间相对位置</w:t>
                  </w:r>
                </w:p>
              </w:tc>
              <w:tc>
                <w:tcPr>
                  <w:tcW w:w="1296" w:type="dxa"/>
                  <w:gridSpan w:val="4"/>
                  <w:noWrap w:val="0"/>
                  <w:vAlign w:val="center"/>
                </w:tcPr>
                <w:p w14:paraId="7A7D1BC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距室内边界距离（m)</w:t>
                  </w:r>
                </w:p>
              </w:tc>
              <w:tc>
                <w:tcPr>
                  <w:tcW w:w="2348" w:type="dxa"/>
                  <w:gridSpan w:val="4"/>
                  <w:noWrap w:val="0"/>
                  <w:vAlign w:val="center"/>
                </w:tcPr>
                <w:p w14:paraId="0E5ECA1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p w14:paraId="389ED371">
                  <w:pPr>
                    <w:pStyle w:val="6"/>
                    <w:jc w:val="center"/>
                    <w:rPr>
                      <w:rFonts w:hint="default"/>
                      <w:color w:val="auto"/>
                      <w:lang w:val="en-US" w:eastAsia="zh-CN"/>
                    </w:rPr>
                  </w:pPr>
                  <w:r>
                    <w:rPr>
                      <w:rFonts w:hint="eastAsia"/>
                      <w:color w:val="auto"/>
                      <w:lang w:val="en-US" w:eastAsia="zh-CN"/>
                    </w:rPr>
                    <w:t>室内边界声级</w:t>
                  </w:r>
                  <w:r>
                    <w:rPr>
                      <w:rFonts w:hint="default" w:ascii="Times New Roman" w:hAnsi="Times New Roman" w:eastAsia="宋体" w:cs="Times New Roman"/>
                      <w:color w:val="auto"/>
                      <w:kern w:val="0"/>
                      <w:sz w:val="21"/>
                      <w:szCs w:val="20"/>
                      <w:lang w:val="en-US" w:eastAsia="zh-CN" w:bidi="ar-SA"/>
                    </w:rPr>
                    <w:t>dB(A)</w:t>
                  </w:r>
                </w:p>
              </w:tc>
              <w:tc>
                <w:tcPr>
                  <w:tcW w:w="0" w:type="auto"/>
                  <w:vMerge w:val="restart"/>
                  <w:noWrap w:val="0"/>
                  <w:vAlign w:val="center"/>
                </w:tcPr>
                <w:p w14:paraId="586991E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运行时段</w:t>
                  </w:r>
                </w:p>
              </w:tc>
              <w:tc>
                <w:tcPr>
                  <w:tcW w:w="0" w:type="auto"/>
                  <w:vMerge w:val="restart"/>
                  <w:noWrap w:val="0"/>
                  <w:vAlign w:val="top"/>
                </w:tcPr>
                <w:p w14:paraId="70018FC9">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建筑物插入损失dB(A)</w:t>
                  </w:r>
                </w:p>
              </w:tc>
              <w:tc>
                <w:tcPr>
                  <w:tcW w:w="0" w:type="auto"/>
                  <w:gridSpan w:val="4"/>
                  <w:noWrap w:val="0"/>
                  <w:vAlign w:val="center"/>
                </w:tcPr>
                <w:p w14:paraId="5921DB9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建筑外噪声dB(A)</w:t>
                  </w:r>
                </w:p>
              </w:tc>
            </w:tr>
            <w:tr w14:paraId="1A71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0" w:type="auto"/>
                  <w:vMerge w:val="continue"/>
                  <w:noWrap w:val="0"/>
                  <w:vAlign w:val="center"/>
                </w:tcPr>
                <w:p w14:paraId="472F2C35">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vMerge w:val="continue"/>
                  <w:noWrap w:val="0"/>
                  <w:vAlign w:val="center"/>
                </w:tcPr>
                <w:p w14:paraId="43B339C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vMerge w:val="continue"/>
                  <w:noWrap w:val="0"/>
                  <w:vAlign w:val="center"/>
                </w:tcPr>
                <w:p w14:paraId="1899534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vMerge w:val="continue"/>
                  <w:noWrap w:val="0"/>
                  <w:vAlign w:val="center"/>
                </w:tcPr>
                <w:p w14:paraId="4172644C">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noWrap w:val="0"/>
                  <w:vAlign w:val="center"/>
                </w:tcPr>
                <w:p w14:paraId="28B335DC">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X</w:t>
                  </w:r>
                </w:p>
              </w:tc>
              <w:tc>
                <w:tcPr>
                  <w:tcW w:w="0" w:type="auto"/>
                  <w:noWrap w:val="0"/>
                  <w:vAlign w:val="center"/>
                </w:tcPr>
                <w:p w14:paraId="774A404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Y</w:t>
                  </w:r>
                </w:p>
              </w:tc>
              <w:tc>
                <w:tcPr>
                  <w:tcW w:w="0" w:type="auto"/>
                  <w:noWrap w:val="0"/>
                  <w:vAlign w:val="center"/>
                </w:tcPr>
                <w:p w14:paraId="7088FDD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Z</w:t>
                  </w:r>
                </w:p>
              </w:tc>
              <w:tc>
                <w:tcPr>
                  <w:tcW w:w="0" w:type="auto"/>
                  <w:noWrap w:val="0"/>
                  <w:vAlign w:val="center"/>
                </w:tcPr>
                <w:p w14:paraId="6219D15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color w:val="auto"/>
                      <w:kern w:val="0"/>
                      <w:sz w:val="21"/>
                      <w:szCs w:val="20"/>
                      <w:lang w:val="en-US" w:eastAsia="zh-CN" w:bidi="ar-SA"/>
                    </w:rPr>
                    <w:t>东</w:t>
                  </w:r>
                </w:p>
              </w:tc>
              <w:tc>
                <w:tcPr>
                  <w:tcW w:w="0" w:type="auto"/>
                  <w:noWrap w:val="0"/>
                  <w:vAlign w:val="center"/>
                </w:tcPr>
                <w:p w14:paraId="19DA7595">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color w:val="auto"/>
                      <w:kern w:val="0"/>
                      <w:sz w:val="21"/>
                      <w:szCs w:val="20"/>
                      <w:lang w:val="en-US" w:eastAsia="zh-CN" w:bidi="ar-SA"/>
                    </w:rPr>
                    <w:t>南</w:t>
                  </w:r>
                </w:p>
              </w:tc>
              <w:tc>
                <w:tcPr>
                  <w:tcW w:w="0" w:type="auto"/>
                  <w:noWrap w:val="0"/>
                  <w:vAlign w:val="center"/>
                </w:tcPr>
                <w:p w14:paraId="44B9B86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color w:val="auto"/>
                      <w:kern w:val="0"/>
                      <w:sz w:val="21"/>
                      <w:szCs w:val="20"/>
                      <w:lang w:val="en-US" w:eastAsia="zh-CN" w:bidi="ar-SA"/>
                    </w:rPr>
                    <w:t>西</w:t>
                  </w:r>
                </w:p>
              </w:tc>
              <w:tc>
                <w:tcPr>
                  <w:tcW w:w="324" w:type="dxa"/>
                  <w:noWrap w:val="0"/>
                  <w:vAlign w:val="center"/>
                </w:tcPr>
                <w:p w14:paraId="5E856907">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color w:val="auto"/>
                      <w:kern w:val="0"/>
                      <w:sz w:val="21"/>
                      <w:szCs w:val="20"/>
                      <w:lang w:val="en-US" w:eastAsia="zh-CN" w:bidi="ar-SA"/>
                    </w:rPr>
                    <w:t>北</w:t>
                  </w:r>
                </w:p>
              </w:tc>
              <w:tc>
                <w:tcPr>
                  <w:tcW w:w="587" w:type="dxa"/>
                  <w:noWrap w:val="0"/>
                  <w:vAlign w:val="center"/>
                </w:tcPr>
                <w:p w14:paraId="358A5EA2">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东</w:t>
                  </w:r>
                </w:p>
              </w:tc>
              <w:tc>
                <w:tcPr>
                  <w:tcW w:w="0" w:type="auto"/>
                  <w:noWrap w:val="0"/>
                  <w:vAlign w:val="center"/>
                </w:tcPr>
                <w:p w14:paraId="147E381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南</w:t>
                  </w:r>
                </w:p>
              </w:tc>
              <w:tc>
                <w:tcPr>
                  <w:tcW w:w="0" w:type="auto"/>
                  <w:noWrap w:val="0"/>
                  <w:vAlign w:val="center"/>
                </w:tcPr>
                <w:p w14:paraId="65A40659">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西</w:t>
                  </w:r>
                </w:p>
              </w:tc>
              <w:tc>
                <w:tcPr>
                  <w:tcW w:w="0" w:type="auto"/>
                  <w:noWrap w:val="0"/>
                  <w:vAlign w:val="center"/>
                </w:tcPr>
                <w:p w14:paraId="73443879">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北</w:t>
                  </w:r>
                </w:p>
              </w:tc>
              <w:tc>
                <w:tcPr>
                  <w:tcW w:w="0" w:type="auto"/>
                  <w:vMerge w:val="continue"/>
                  <w:noWrap w:val="0"/>
                  <w:vAlign w:val="center"/>
                </w:tcPr>
                <w:p w14:paraId="7B370F0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vMerge w:val="continue"/>
                  <w:noWrap w:val="0"/>
                  <w:vAlign w:val="top"/>
                </w:tcPr>
                <w:p w14:paraId="1B2AF98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noWrap w:val="0"/>
                  <w:vAlign w:val="center"/>
                </w:tcPr>
                <w:p w14:paraId="09B3C6C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东</w:t>
                  </w:r>
                </w:p>
              </w:tc>
              <w:tc>
                <w:tcPr>
                  <w:tcW w:w="0" w:type="auto"/>
                  <w:noWrap w:val="0"/>
                  <w:vAlign w:val="center"/>
                </w:tcPr>
                <w:p w14:paraId="38D87D3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南</w:t>
                  </w:r>
                </w:p>
              </w:tc>
              <w:tc>
                <w:tcPr>
                  <w:tcW w:w="0" w:type="auto"/>
                  <w:noWrap w:val="0"/>
                  <w:vAlign w:val="center"/>
                </w:tcPr>
                <w:p w14:paraId="7C627949">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西</w:t>
                  </w:r>
                </w:p>
              </w:tc>
              <w:tc>
                <w:tcPr>
                  <w:tcW w:w="0" w:type="auto"/>
                  <w:noWrap w:val="0"/>
                  <w:vAlign w:val="center"/>
                </w:tcPr>
                <w:p w14:paraId="456C44BA">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北</w:t>
                  </w:r>
                </w:p>
              </w:tc>
            </w:tr>
            <w:tr w14:paraId="4374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39" w:hRule="atLeast"/>
                <w:jc w:val="center"/>
              </w:trPr>
              <w:tc>
                <w:tcPr>
                  <w:tcW w:w="0" w:type="auto"/>
                  <w:noWrap w:val="0"/>
                  <w:vAlign w:val="center"/>
                </w:tcPr>
                <w:p w14:paraId="3EBBCA1E">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1</w:t>
                  </w:r>
                </w:p>
              </w:tc>
              <w:tc>
                <w:tcPr>
                  <w:tcW w:w="0" w:type="auto"/>
                  <w:noWrap w:val="0"/>
                  <w:vAlign w:val="center"/>
                </w:tcPr>
                <w:p w14:paraId="6488582D">
                  <w:pPr>
                    <w:spacing w:line="240" w:lineRule="auto"/>
                    <w:ind w:firstLine="0" w:firstLineChars="0"/>
                    <w:jc w:val="center"/>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污水处理站水泵</w:t>
                  </w:r>
                </w:p>
              </w:tc>
              <w:tc>
                <w:tcPr>
                  <w:tcW w:w="0" w:type="auto"/>
                  <w:noWrap w:val="0"/>
                  <w:vAlign w:val="center"/>
                </w:tcPr>
                <w:p w14:paraId="207E4922">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75</w:t>
                  </w:r>
                </w:p>
              </w:tc>
              <w:tc>
                <w:tcPr>
                  <w:tcW w:w="0" w:type="auto"/>
                  <w:vMerge w:val="restart"/>
                  <w:noWrap w:val="0"/>
                  <w:vAlign w:val="center"/>
                </w:tcPr>
                <w:p w14:paraId="08A1B11C">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合理布局</w:t>
                  </w:r>
                  <w:r>
                    <w:rPr>
                      <w:rFonts w:hint="eastAsia" w:ascii="Times New Roman" w:hAnsi="Times New Roman" w:eastAsia="宋体" w:cs="Times New Roman"/>
                      <w:color w:val="auto"/>
                      <w:kern w:val="0"/>
                      <w:sz w:val="21"/>
                      <w:szCs w:val="20"/>
                      <w:lang w:val="en-US" w:eastAsia="zh-CN" w:bidi="ar-SA"/>
                    </w:rPr>
                    <w:t>、</w:t>
                  </w:r>
                  <w:r>
                    <w:rPr>
                      <w:rFonts w:hint="default" w:ascii="Times New Roman" w:hAnsi="Times New Roman" w:eastAsia="宋体" w:cs="Times New Roman"/>
                      <w:color w:val="auto"/>
                      <w:kern w:val="0"/>
                      <w:sz w:val="21"/>
                      <w:szCs w:val="20"/>
                      <w:lang w:val="en-US" w:eastAsia="zh-CN" w:bidi="ar-SA"/>
                    </w:rPr>
                    <w:t>隔声减震</w:t>
                  </w:r>
                </w:p>
              </w:tc>
              <w:tc>
                <w:tcPr>
                  <w:tcW w:w="0" w:type="auto"/>
                  <w:noWrap w:val="0"/>
                  <w:vAlign w:val="center"/>
                </w:tcPr>
                <w:p w14:paraId="724BC4A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color w:val="auto"/>
                      <w:kern w:val="0"/>
                      <w:sz w:val="21"/>
                      <w:szCs w:val="20"/>
                      <w:lang w:val="en-US" w:eastAsia="zh-CN" w:bidi="ar-SA"/>
                    </w:rPr>
                    <w:t>53</w:t>
                  </w:r>
                </w:p>
              </w:tc>
              <w:tc>
                <w:tcPr>
                  <w:tcW w:w="0" w:type="auto"/>
                  <w:noWrap w:val="0"/>
                  <w:vAlign w:val="center"/>
                </w:tcPr>
                <w:p w14:paraId="1C98352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40</w:t>
                  </w:r>
                </w:p>
              </w:tc>
              <w:tc>
                <w:tcPr>
                  <w:tcW w:w="0" w:type="auto"/>
                  <w:noWrap w:val="0"/>
                  <w:vAlign w:val="center"/>
                </w:tcPr>
                <w:p w14:paraId="4D86029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1</w:t>
                  </w:r>
                </w:p>
              </w:tc>
              <w:tc>
                <w:tcPr>
                  <w:tcW w:w="0" w:type="auto"/>
                  <w:noWrap w:val="0"/>
                  <w:vAlign w:val="center"/>
                </w:tcPr>
                <w:p w14:paraId="31FDDC6C">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1</w:t>
                  </w:r>
                </w:p>
              </w:tc>
              <w:tc>
                <w:tcPr>
                  <w:tcW w:w="0" w:type="auto"/>
                  <w:noWrap w:val="0"/>
                  <w:vAlign w:val="center"/>
                </w:tcPr>
                <w:p w14:paraId="44522E57">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1</w:t>
                  </w:r>
                </w:p>
              </w:tc>
              <w:tc>
                <w:tcPr>
                  <w:tcW w:w="0" w:type="auto"/>
                  <w:noWrap w:val="0"/>
                  <w:vAlign w:val="center"/>
                </w:tcPr>
                <w:p w14:paraId="4F1EC1B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1</w:t>
                  </w:r>
                </w:p>
              </w:tc>
              <w:tc>
                <w:tcPr>
                  <w:tcW w:w="324" w:type="dxa"/>
                  <w:noWrap w:val="0"/>
                  <w:vAlign w:val="center"/>
                </w:tcPr>
                <w:p w14:paraId="300EAE62">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1</w:t>
                  </w:r>
                </w:p>
              </w:tc>
              <w:tc>
                <w:tcPr>
                  <w:tcW w:w="587" w:type="dxa"/>
                  <w:noWrap w:val="0"/>
                  <w:vAlign w:val="center"/>
                </w:tcPr>
                <w:p w14:paraId="217DA99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70.55</w:t>
                  </w:r>
                </w:p>
              </w:tc>
              <w:tc>
                <w:tcPr>
                  <w:tcW w:w="0" w:type="auto"/>
                  <w:noWrap w:val="0"/>
                  <w:vAlign w:val="center"/>
                </w:tcPr>
                <w:p w14:paraId="59F2E38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70.55</w:t>
                  </w:r>
                </w:p>
              </w:tc>
              <w:tc>
                <w:tcPr>
                  <w:tcW w:w="0" w:type="auto"/>
                  <w:noWrap w:val="0"/>
                  <w:vAlign w:val="center"/>
                </w:tcPr>
                <w:p w14:paraId="1AA85908">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70.55</w:t>
                  </w:r>
                </w:p>
              </w:tc>
              <w:tc>
                <w:tcPr>
                  <w:tcW w:w="0" w:type="auto"/>
                  <w:noWrap w:val="0"/>
                  <w:vAlign w:val="center"/>
                </w:tcPr>
                <w:p w14:paraId="1123AB42">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70.55</w:t>
                  </w:r>
                </w:p>
              </w:tc>
              <w:tc>
                <w:tcPr>
                  <w:tcW w:w="324" w:type="dxa"/>
                  <w:noWrap w:val="0"/>
                  <w:vAlign w:val="center"/>
                </w:tcPr>
                <w:p w14:paraId="291D3AD9">
                  <w:pPr>
                    <w:spacing w:line="240" w:lineRule="auto"/>
                    <w:ind w:firstLine="0" w:firstLineChars="0"/>
                    <w:jc w:val="center"/>
                    <w:rPr>
                      <w:rFonts w:hint="eastAsia" w:ascii="Times New Roman" w:hAnsi="Times New Roman" w:eastAsia="宋体" w:cs="Times New Roman"/>
                      <w:color w:val="auto"/>
                      <w:szCs w:val="24"/>
                      <w:lang w:val="en-US" w:eastAsia="zh-CN"/>
                    </w:rPr>
                  </w:pPr>
                  <w:r>
                    <w:rPr>
                      <w:rFonts w:hint="eastAsia" w:cs="Times New Roman"/>
                      <w:color w:val="auto"/>
                      <w:szCs w:val="24"/>
                      <w:lang w:val="en-US" w:eastAsia="zh-CN"/>
                    </w:rPr>
                    <w:t>昼夜</w:t>
                  </w:r>
                </w:p>
              </w:tc>
              <w:tc>
                <w:tcPr>
                  <w:tcW w:w="0" w:type="auto"/>
                  <w:noWrap w:val="0"/>
                  <w:vAlign w:val="center"/>
                </w:tcPr>
                <w:p w14:paraId="378785D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15</w:t>
                  </w:r>
                </w:p>
              </w:tc>
              <w:tc>
                <w:tcPr>
                  <w:tcW w:w="0" w:type="auto"/>
                  <w:noWrap w:val="0"/>
                  <w:vAlign w:val="center"/>
                </w:tcPr>
                <w:p w14:paraId="4B934C4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55.55</w:t>
                  </w:r>
                </w:p>
              </w:tc>
              <w:tc>
                <w:tcPr>
                  <w:tcW w:w="0" w:type="auto"/>
                  <w:noWrap w:val="0"/>
                  <w:vAlign w:val="center"/>
                </w:tcPr>
                <w:p w14:paraId="6002BAB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55.55</w:t>
                  </w:r>
                </w:p>
              </w:tc>
              <w:tc>
                <w:tcPr>
                  <w:tcW w:w="0" w:type="auto"/>
                  <w:noWrap w:val="0"/>
                  <w:vAlign w:val="center"/>
                </w:tcPr>
                <w:p w14:paraId="3851F866">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55.55</w:t>
                  </w:r>
                </w:p>
              </w:tc>
              <w:tc>
                <w:tcPr>
                  <w:tcW w:w="0" w:type="auto"/>
                  <w:noWrap w:val="0"/>
                  <w:vAlign w:val="center"/>
                </w:tcPr>
                <w:p w14:paraId="3D227E2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55.55</w:t>
                  </w:r>
                </w:p>
              </w:tc>
            </w:tr>
            <w:tr w14:paraId="6AE5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5" w:hRule="atLeast"/>
                <w:jc w:val="center"/>
              </w:trPr>
              <w:tc>
                <w:tcPr>
                  <w:tcW w:w="0" w:type="auto"/>
                  <w:noWrap w:val="0"/>
                  <w:vAlign w:val="center"/>
                </w:tcPr>
                <w:p w14:paraId="367F5939">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2</w:t>
                  </w:r>
                </w:p>
              </w:tc>
              <w:tc>
                <w:tcPr>
                  <w:tcW w:w="0" w:type="auto"/>
                  <w:noWrap w:val="0"/>
                  <w:vAlign w:val="center"/>
                </w:tcPr>
                <w:p w14:paraId="16D29964">
                  <w:pPr>
                    <w:spacing w:line="240" w:lineRule="auto"/>
                    <w:ind w:firstLine="0" w:firstLineChars="0"/>
                    <w:jc w:val="center"/>
                    <w:rPr>
                      <w:rFonts w:hint="default" w:ascii="Times New Roman" w:hAnsi="Times New Roman" w:eastAsia="宋体" w:cs="Times New Roman"/>
                      <w:color w:val="auto"/>
                      <w:szCs w:val="24"/>
                    </w:rPr>
                  </w:pPr>
                  <w:r>
                    <w:rPr>
                      <w:rFonts w:hint="default" w:ascii="Times New Roman" w:hAnsi="Times New Roman" w:eastAsia="宋体" w:cs="Times New Roman"/>
                      <w:color w:val="auto"/>
                      <w:sz w:val="21"/>
                      <w:szCs w:val="21"/>
                      <w:lang w:val="en-US" w:eastAsia="zh-CN"/>
                    </w:rPr>
                    <w:t>食堂风机</w:t>
                  </w:r>
                </w:p>
              </w:tc>
              <w:tc>
                <w:tcPr>
                  <w:tcW w:w="0" w:type="auto"/>
                  <w:noWrap w:val="0"/>
                  <w:vAlign w:val="center"/>
                </w:tcPr>
                <w:p w14:paraId="1E458558">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80</w:t>
                  </w:r>
                </w:p>
              </w:tc>
              <w:tc>
                <w:tcPr>
                  <w:tcW w:w="0" w:type="auto"/>
                  <w:vMerge w:val="continue"/>
                  <w:noWrap w:val="0"/>
                  <w:vAlign w:val="center"/>
                </w:tcPr>
                <w:p w14:paraId="12D209AA">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noWrap w:val="0"/>
                  <w:vAlign w:val="center"/>
                </w:tcPr>
                <w:p w14:paraId="0DB86AF6">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w:t>
                  </w:r>
                </w:p>
              </w:tc>
              <w:tc>
                <w:tcPr>
                  <w:tcW w:w="0" w:type="auto"/>
                  <w:noWrap w:val="0"/>
                  <w:vAlign w:val="center"/>
                </w:tcPr>
                <w:p w14:paraId="0D66998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23</w:t>
                  </w:r>
                </w:p>
              </w:tc>
              <w:tc>
                <w:tcPr>
                  <w:tcW w:w="0" w:type="auto"/>
                  <w:noWrap w:val="0"/>
                  <w:vAlign w:val="center"/>
                </w:tcPr>
                <w:p w14:paraId="2D8AD7F8">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3</w:t>
                  </w:r>
                </w:p>
              </w:tc>
              <w:tc>
                <w:tcPr>
                  <w:tcW w:w="0" w:type="auto"/>
                  <w:noWrap w:val="0"/>
                  <w:vAlign w:val="center"/>
                </w:tcPr>
                <w:p w14:paraId="66A6E85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3</w:t>
                  </w:r>
                </w:p>
              </w:tc>
              <w:tc>
                <w:tcPr>
                  <w:tcW w:w="0" w:type="auto"/>
                  <w:noWrap w:val="0"/>
                  <w:vAlign w:val="center"/>
                </w:tcPr>
                <w:p w14:paraId="11B7462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1</w:t>
                  </w:r>
                </w:p>
              </w:tc>
              <w:tc>
                <w:tcPr>
                  <w:tcW w:w="0" w:type="auto"/>
                  <w:noWrap w:val="0"/>
                  <w:vAlign w:val="center"/>
                </w:tcPr>
                <w:p w14:paraId="6FEB9A2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cs="Times New Roman"/>
                      <w:color w:val="auto"/>
                      <w:kern w:val="0"/>
                      <w:sz w:val="21"/>
                      <w:szCs w:val="20"/>
                      <w:lang w:val="en-US" w:eastAsia="zh-CN" w:bidi="ar-SA"/>
                    </w:rPr>
                    <w:t>3</w:t>
                  </w:r>
                </w:p>
              </w:tc>
              <w:tc>
                <w:tcPr>
                  <w:tcW w:w="324" w:type="dxa"/>
                  <w:noWrap w:val="0"/>
                  <w:vAlign w:val="center"/>
                </w:tcPr>
                <w:p w14:paraId="0775703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18</w:t>
                  </w:r>
                </w:p>
              </w:tc>
              <w:tc>
                <w:tcPr>
                  <w:tcW w:w="587" w:type="dxa"/>
                  <w:noWrap w:val="0"/>
                  <w:vAlign w:val="center"/>
                </w:tcPr>
                <w:p w14:paraId="0A38E02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67.81</w:t>
                  </w:r>
                </w:p>
              </w:tc>
              <w:tc>
                <w:tcPr>
                  <w:tcW w:w="0" w:type="auto"/>
                  <w:noWrap w:val="0"/>
                  <w:vAlign w:val="center"/>
                </w:tcPr>
                <w:p w14:paraId="5F88D872">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73.05</w:t>
                  </w:r>
                </w:p>
              </w:tc>
              <w:tc>
                <w:tcPr>
                  <w:tcW w:w="0" w:type="auto"/>
                  <w:noWrap w:val="0"/>
                  <w:vAlign w:val="center"/>
                </w:tcPr>
                <w:p w14:paraId="387CDFA8">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67.81</w:t>
                  </w:r>
                </w:p>
              </w:tc>
              <w:tc>
                <w:tcPr>
                  <w:tcW w:w="0" w:type="auto"/>
                  <w:noWrap w:val="0"/>
                  <w:vAlign w:val="center"/>
                </w:tcPr>
                <w:p w14:paraId="6FFF5068">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66.35</w:t>
                  </w:r>
                </w:p>
              </w:tc>
              <w:tc>
                <w:tcPr>
                  <w:tcW w:w="324" w:type="dxa"/>
                  <w:noWrap w:val="0"/>
                  <w:vAlign w:val="center"/>
                </w:tcPr>
                <w:p w14:paraId="2F9A3ED1">
                  <w:pPr>
                    <w:spacing w:line="240" w:lineRule="auto"/>
                    <w:ind w:firstLine="0" w:firstLineChars="0"/>
                    <w:jc w:val="center"/>
                    <w:rPr>
                      <w:rFonts w:hint="eastAsia" w:ascii="Times New Roman" w:hAnsi="Times New Roman" w:eastAsia="宋体" w:cs="Times New Roman"/>
                      <w:color w:val="auto"/>
                      <w:szCs w:val="24"/>
                      <w:lang w:val="en-US" w:eastAsia="zh-CN"/>
                    </w:rPr>
                  </w:pPr>
                  <w:r>
                    <w:rPr>
                      <w:rFonts w:hint="eastAsia" w:cs="Times New Roman"/>
                      <w:color w:val="auto"/>
                      <w:szCs w:val="24"/>
                      <w:lang w:val="en-US" w:eastAsia="zh-CN"/>
                    </w:rPr>
                    <w:t>昼间</w:t>
                  </w:r>
                </w:p>
              </w:tc>
              <w:tc>
                <w:tcPr>
                  <w:tcW w:w="0" w:type="auto"/>
                  <w:noWrap w:val="0"/>
                  <w:vAlign w:val="center"/>
                </w:tcPr>
                <w:p w14:paraId="0B3260B6">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15</w:t>
                  </w:r>
                </w:p>
              </w:tc>
              <w:tc>
                <w:tcPr>
                  <w:tcW w:w="0" w:type="auto"/>
                  <w:noWrap w:val="0"/>
                  <w:vAlign w:val="center"/>
                </w:tcPr>
                <w:p w14:paraId="7C53488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52.81</w:t>
                  </w:r>
                </w:p>
              </w:tc>
              <w:tc>
                <w:tcPr>
                  <w:tcW w:w="0" w:type="auto"/>
                  <w:noWrap w:val="0"/>
                  <w:vAlign w:val="center"/>
                </w:tcPr>
                <w:p w14:paraId="57B5172E">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58.05</w:t>
                  </w:r>
                </w:p>
              </w:tc>
              <w:tc>
                <w:tcPr>
                  <w:tcW w:w="0" w:type="auto"/>
                  <w:noWrap w:val="0"/>
                  <w:vAlign w:val="center"/>
                </w:tcPr>
                <w:p w14:paraId="3B7A7692">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52.81</w:t>
                  </w:r>
                </w:p>
              </w:tc>
              <w:tc>
                <w:tcPr>
                  <w:tcW w:w="0" w:type="auto"/>
                  <w:noWrap w:val="0"/>
                  <w:vAlign w:val="center"/>
                </w:tcPr>
                <w:p w14:paraId="52E895D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51.35</w:t>
                  </w:r>
                </w:p>
              </w:tc>
            </w:tr>
            <w:tr w14:paraId="3DA7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5" w:hRule="atLeast"/>
                <w:jc w:val="center"/>
              </w:trPr>
              <w:tc>
                <w:tcPr>
                  <w:tcW w:w="0" w:type="auto"/>
                  <w:noWrap w:val="0"/>
                  <w:vAlign w:val="center"/>
                </w:tcPr>
                <w:p w14:paraId="1F931867">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3</w:t>
                  </w:r>
                </w:p>
              </w:tc>
              <w:tc>
                <w:tcPr>
                  <w:tcW w:w="0" w:type="auto"/>
                  <w:noWrap w:val="0"/>
                  <w:vAlign w:val="center"/>
                </w:tcPr>
                <w:p w14:paraId="448C2F96">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曝气系统</w:t>
                  </w:r>
                </w:p>
              </w:tc>
              <w:tc>
                <w:tcPr>
                  <w:tcW w:w="0" w:type="auto"/>
                  <w:noWrap w:val="0"/>
                  <w:vAlign w:val="center"/>
                </w:tcPr>
                <w:p w14:paraId="59A7E31C">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70</w:t>
                  </w:r>
                </w:p>
              </w:tc>
              <w:tc>
                <w:tcPr>
                  <w:tcW w:w="0" w:type="auto"/>
                  <w:vMerge w:val="continue"/>
                  <w:noWrap w:val="0"/>
                  <w:vAlign w:val="center"/>
                </w:tcPr>
                <w:p w14:paraId="35CE054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p>
              </w:tc>
              <w:tc>
                <w:tcPr>
                  <w:tcW w:w="0" w:type="auto"/>
                  <w:noWrap w:val="0"/>
                  <w:vAlign w:val="center"/>
                </w:tcPr>
                <w:p w14:paraId="1C4AB88D">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55</w:t>
                  </w:r>
                </w:p>
              </w:tc>
              <w:tc>
                <w:tcPr>
                  <w:tcW w:w="0" w:type="auto"/>
                  <w:noWrap w:val="0"/>
                  <w:vAlign w:val="center"/>
                </w:tcPr>
                <w:p w14:paraId="020C1293">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22</w:t>
                  </w:r>
                </w:p>
              </w:tc>
              <w:tc>
                <w:tcPr>
                  <w:tcW w:w="0" w:type="auto"/>
                  <w:noWrap w:val="0"/>
                  <w:vAlign w:val="center"/>
                </w:tcPr>
                <w:p w14:paraId="7888053A">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bidi="ar-SA"/>
                    </w:rPr>
                    <w:t>1</w:t>
                  </w:r>
                </w:p>
              </w:tc>
              <w:tc>
                <w:tcPr>
                  <w:tcW w:w="0" w:type="auto"/>
                  <w:noWrap w:val="0"/>
                  <w:vAlign w:val="center"/>
                </w:tcPr>
                <w:p w14:paraId="424A2D76">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1</w:t>
                  </w:r>
                </w:p>
              </w:tc>
              <w:tc>
                <w:tcPr>
                  <w:tcW w:w="0" w:type="auto"/>
                  <w:noWrap w:val="0"/>
                  <w:vAlign w:val="center"/>
                </w:tcPr>
                <w:p w14:paraId="7CDA2763">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1</w:t>
                  </w:r>
                </w:p>
              </w:tc>
              <w:tc>
                <w:tcPr>
                  <w:tcW w:w="0" w:type="auto"/>
                  <w:noWrap w:val="0"/>
                  <w:vAlign w:val="center"/>
                </w:tcPr>
                <w:p w14:paraId="498509C0">
                  <w:pPr>
                    <w:widowControl w:val="0"/>
                    <w:adjustRightInd w:val="0"/>
                    <w:snapToGrid w:val="0"/>
                    <w:spacing w:line="240" w:lineRule="auto"/>
                    <w:ind w:firstLine="0" w:firstLineChars="0"/>
                    <w:jc w:val="center"/>
                    <w:rPr>
                      <w:rFonts w:hint="default" w:ascii="Times New Roman" w:hAnsi="Times New Roman" w:cs="Times New Roman"/>
                      <w:color w:val="auto"/>
                      <w:kern w:val="0"/>
                      <w:sz w:val="21"/>
                      <w:szCs w:val="20"/>
                      <w:lang w:val="en-US" w:eastAsia="zh-CN" w:bidi="ar-SA"/>
                    </w:rPr>
                  </w:pPr>
                  <w:r>
                    <w:rPr>
                      <w:rFonts w:hint="eastAsia" w:cs="Times New Roman"/>
                      <w:color w:val="auto"/>
                      <w:kern w:val="0"/>
                      <w:sz w:val="21"/>
                      <w:szCs w:val="20"/>
                      <w:lang w:val="en-US" w:eastAsia="zh-CN" w:bidi="ar-SA"/>
                    </w:rPr>
                    <w:t>1</w:t>
                  </w:r>
                </w:p>
              </w:tc>
              <w:tc>
                <w:tcPr>
                  <w:tcW w:w="324" w:type="dxa"/>
                  <w:noWrap w:val="0"/>
                  <w:vAlign w:val="center"/>
                </w:tcPr>
                <w:p w14:paraId="37509C1A">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1</w:t>
                  </w:r>
                </w:p>
              </w:tc>
              <w:tc>
                <w:tcPr>
                  <w:tcW w:w="587" w:type="dxa"/>
                  <w:noWrap w:val="0"/>
                  <w:vAlign w:val="center"/>
                </w:tcPr>
                <w:p w14:paraId="03214FDD">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66.02</w:t>
                  </w:r>
                </w:p>
              </w:tc>
              <w:tc>
                <w:tcPr>
                  <w:tcW w:w="0" w:type="auto"/>
                  <w:noWrap w:val="0"/>
                  <w:vAlign w:val="center"/>
                </w:tcPr>
                <w:p w14:paraId="6BBFE1A0">
                  <w:pPr>
                    <w:widowControl w:val="0"/>
                    <w:adjustRightInd w:val="0"/>
                    <w:snapToGrid w:val="0"/>
                    <w:spacing w:line="240" w:lineRule="auto"/>
                    <w:ind w:firstLine="0" w:firstLineChars="0"/>
                    <w:jc w:val="center"/>
                    <w:rPr>
                      <w:rFonts w:hint="eastAsia" w:cs="Times New Roman"/>
                      <w:color w:val="auto"/>
                      <w:kern w:val="0"/>
                      <w:sz w:val="21"/>
                      <w:szCs w:val="20"/>
                      <w:lang w:val="en-US" w:eastAsia="zh-CN" w:bidi="ar-SA"/>
                    </w:rPr>
                  </w:pPr>
                  <w:r>
                    <w:rPr>
                      <w:rFonts w:hint="eastAsia" w:cs="Times New Roman"/>
                      <w:color w:val="auto"/>
                      <w:kern w:val="0"/>
                      <w:sz w:val="21"/>
                      <w:szCs w:val="20"/>
                      <w:lang w:val="en-US" w:eastAsia="zh-CN" w:bidi="ar-SA"/>
                    </w:rPr>
                    <w:t>66.02</w:t>
                  </w:r>
                </w:p>
              </w:tc>
              <w:tc>
                <w:tcPr>
                  <w:tcW w:w="0" w:type="auto"/>
                  <w:noWrap w:val="0"/>
                  <w:vAlign w:val="center"/>
                </w:tcPr>
                <w:p w14:paraId="4E046EB1">
                  <w:pPr>
                    <w:widowControl w:val="0"/>
                    <w:adjustRightInd w:val="0"/>
                    <w:snapToGrid w:val="0"/>
                    <w:spacing w:line="240" w:lineRule="auto"/>
                    <w:ind w:firstLine="0" w:firstLineChars="0"/>
                    <w:jc w:val="center"/>
                    <w:rPr>
                      <w:rFonts w:hint="eastAsia" w:cs="Times New Roman"/>
                      <w:color w:val="auto"/>
                      <w:kern w:val="0"/>
                      <w:sz w:val="21"/>
                      <w:szCs w:val="20"/>
                      <w:lang w:val="en-US" w:eastAsia="zh-CN" w:bidi="ar-SA"/>
                    </w:rPr>
                  </w:pPr>
                  <w:r>
                    <w:rPr>
                      <w:rFonts w:hint="eastAsia" w:cs="Times New Roman"/>
                      <w:color w:val="auto"/>
                      <w:kern w:val="0"/>
                      <w:sz w:val="21"/>
                      <w:szCs w:val="20"/>
                      <w:lang w:val="en-US" w:eastAsia="zh-CN" w:bidi="ar-SA"/>
                    </w:rPr>
                    <w:t>66.02</w:t>
                  </w:r>
                </w:p>
              </w:tc>
              <w:tc>
                <w:tcPr>
                  <w:tcW w:w="0" w:type="auto"/>
                  <w:noWrap w:val="0"/>
                  <w:vAlign w:val="center"/>
                </w:tcPr>
                <w:p w14:paraId="1A4E1E31">
                  <w:pPr>
                    <w:widowControl w:val="0"/>
                    <w:adjustRightInd w:val="0"/>
                    <w:snapToGrid w:val="0"/>
                    <w:spacing w:line="240" w:lineRule="auto"/>
                    <w:ind w:firstLine="0" w:firstLineChars="0"/>
                    <w:jc w:val="center"/>
                    <w:rPr>
                      <w:rFonts w:hint="eastAsia" w:cs="Times New Roman"/>
                      <w:color w:val="auto"/>
                      <w:kern w:val="0"/>
                      <w:sz w:val="21"/>
                      <w:szCs w:val="20"/>
                      <w:lang w:val="en-US" w:eastAsia="zh-CN" w:bidi="ar-SA"/>
                    </w:rPr>
                  </w:pPr>
                  <w:r>
                    <w:rPr>
                      <w:rFonts w:hint="eastAsia" w:cs="Times New Roman"/>
                      <w:color w:val="auto"/>
                      <w:kern w:val="0"/>
                      <w:sz w:val="21"/>
                      <w:szCs w:val="20"/>
                      <w:lang w:val="en-US" w:eastAsia="zh-CN" w:bidi="ar-SA"/>
                    </w:rPr>
                    <w:t>66.02</w:t>
                  </w:r>
                </w:p>
              </w:tc>
              <w:tc>
                <w:tcPr>
                  <w:tcW w:w="324" w:type="dxa"/>
                  <w:noWrap w:val="0"/>
                  <w:vAlign w:val="center"/>
                </w:tcPr>
                <w:p w14:paraId="5EE6EF7E">
                  <w:pPr>
                    <w:spacing w:line="240" w:lineRule="auto"/>
                    <w:ind w:firstLine="0" w:firstLineChars="0"/>
                    <w:jc w:val="center"/>
                    <w:rPr>
                      <w:rFonts w:hint="eastAsia" w:ascii="Times New Roman" w:hAnsi="Times New Roman" w:eastAsia="宋体" w:cs="Times New Roman"/>
                      <w:color w:val="auto"/>
                      <w:szCs w:val="24"/>
                      <w:lang w:val="en-US" w:eastAsia="zh-CN"/>
                    </w:rPr>
                  </w:pPr>
                  <w:r>
                    <w:rPr>
                      <w:rFonts w:hint="eastAsia" w:cs="Times New Roman"/>
                      <w:color w:val="auto"/>
                      <w:szCs w:val="24"/>
                      <w:lang w:val="en-US" w:eastAsia="zh-CN"/>
                    </w:rPr>
                    <w:t>昼夜</w:t>
                  </w:r>
                </w:p>
              </w:tc>
              <w:tc>
                <w:tcPr>
                  <w:tcW w:w="0" w:type="auto"/>
                  <w:noWrap w:val="0"/>
                  <w:vAlign w:val="center"/>
                </w:tcPr>
                <w:p w14:paraId="29C810D7">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15</w:t>
                  </w:r>
                </w:p>
              </w:tc>
              <w:tc>
                <w:tcPr>
                  <w:tcW w:w="0" w:type="auto"/>
                  <w:noWrap w:val="0"/>
                  <w:vAlign w:val="center"/>
                </w:tcPr>
                <w:p w14:paraId="6593C124">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51.02</w:t>
                  </w:r>
                </w:p>
              </w:tc>
              <w:tc>
                <w:tcPr>
                  <w:tcW w:w="0" w:type="auto"/>
                  <w:noWrap w:val="0"/>
                  <w:vAlign w:val="center"/>
                </w:tcPr>
                <w:p w14:paraId="2A40A961">
                  <w:pPr>
                    <w:widowControl w:val="0"/>
                    <w:adjustRightInd w:val="0"/>
                    <w:snapToGrid w:val="0"/>
                    <w:spacing w:line="240" w:lineRule="auto"/>
                    <w:ind w:firstLine="0" w:firstLineChars="0"/>
                    <w:jc w:val="center"/>
                    <w:rPr>
                      <w:rFonts w:hint="eastAsia" w:cs="Times New Roman"/>
                      <w:color w:val="auto"/>
                      <w:kern w:val="0"/>
                      <w:sz w:val="21"/>
                      <w:szCs w:val="20"/>
                      <w:lang w:val="en-US" w:eastAsia="zh-CN" w:bidi="ar-SA"/>
                    </w:rPr>
                  </w:pPr>
                  <w:r>
                    <w:rPr>
                      <w:rFonts w:hint="eastAsia" w:cs="Times New Roman"/>
                      <w:color w:val="auto"/>
                      <w:kern w:val="0"/>
                      <w:sz w:val="21"/>
                      <w:szCs w:val="20"/>
                      <w:lang w:val="en-US" w:eastAsia="zh-CN" w:bidi="ar-SA"/>
                    </w:rPr>
                    <w:t>51.02</w:t>
                  </w:r>
                </w:p>
              </w:tc>
              <w:tc>
                <w:tcPr>
                  <w:tcW w:w="0" w:type="auto"/>
                  <w:noWrap w:val="0"/>
                  <w:vAlign w:val="center"/>
                </w:tcPr>
                <w:p w14:paraId="28D655CA">
                  <w:pPr>
                    <w:widowControl w:val="0"/>
                    <w:adjustRightInd w:val="0"/>
                    <w:snapToGrid w:val="0"/>
                    <w:spacing w:line="240" w:lineRule="auto"/>
                    <w:ind w:firstLine="0" w:firstLineChars="0"/>
                    <w:jc w:val="center"/>
                    <w:rPr>
                      <w:rFonts w:hint="eastAsia" w:cs="Times New Roman"/>
                      <w:color w:val="auto"/>
                      <w:kern w:val="0"/>
                      <w:sz w:val="21"/>
                      <w:szCs w:val="20"/>
                      <w:lang w:val="en-US" w:eastAsia="zh-CN" w:bidi="ar-SA"/>
                    </w:rPr>
                  </w:pPr>
                  <w:r>
                    <w:rPr>
                      <w:rFonts w:hint="eastAsia" w:cs="Times New Roman"/>
                      <w:color w:val="auto"/>
                      <w:kern w:val="0"/>
                      <w:sz w:val="21"/>
                      <w:szCs w:val="20"/>
                      <w:lang w:val="en-US" w:eastAsia="zh-CN" w:bidi="ar-SA"/>
                    </w:rPr>
                    <w:t>51.02</w:t>
                  </w:r>
                </w:p>
              </w:tc>
              <w:tc>
                <w:tcPr>
                  <w:tcW w:w="0" w:type="auto"/>
                  <w:noWrap w:val="0"/>
                  <w:vAlign w:val="center"/>
                </w:tcPr>
                <w:p w14:paraId="1376019F">
                  <w:pPr>
                    <w:widowControl w:val="0"/>
                    <w:adjustRightInd w:val="0"/>
                    <w:snapToGrid w:val="0"/>
                    <w:spacing w:line="240" w:lineRule="auto"/>
                    <w:ind w:firstLine="0" w:firstLineChars="0"/>
                    <w:jc w:val="center"/>
                    <w:rPr>
                      <w:rFonts w:hint="eastAsia" w:cs="Times New Roman"/>
                      <w:color w:val="auto"/>
                      <w:kern w:val="0"/>
                      <w:sz w:val="21"/>
                      <w:szCs w:val="20"/>
                      <w:lang w:val="en-US" w:eastAsia="zh-CN" w:bidi="ar-SA"/>
                    </w:rPr>
                  </w:pPr>
                  <w:r>
                    <w:rPr>
                      <w:rFonts w:hint="eastAsia" w:cs="Times New Roman"/>
                      <w:color w:val="auto"/>
                      <w:kern w:val="0"/>
                      <w:sz w:val="21"/>
                      <w:szCs w:val="20"/>
                      <w:lang w:val="en-US" w:eastAsia="zh-CN" w:bidi="ar-SA"/>
                    </w:rPr>
                    <w:t>51.02</w:t>
                  </w:r>
                </w:p>
              </w:tc>
            </w:tr>
            <w:tr w14:paraId="0D1A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5" w:hRule="atLeast"/>
                <w:jc w:val="center"/>
              </w:trPr>
              <w:tc>
                <w:tcPr>
                  <w:tcW w:w="0" w:type="auto"/>
                  <w:gridSpan w:val="21"/>
                  <w:noWrap w:val="0"/>
                  <w:vAlign w:val="center"/>
                </w:tcPr>
                <w:p w14:paraId="4F4DA78B">
                  <w:pPr>
                    <w:widowControl w:val="0"/>
                    <w:adjustRightInd w:val="0"/>
                    <w:snapToGrid w:val="0"/>
                    <w:spacing w:line="240" w:lineRule="auto"/>
                    <w:ind w:firstLine="0" w:firstLineChars="0"/>
                    <w:jc w:val="center"/>
                    <w:rPr>
                      <w:rFonts w:hint="default" w:cs="Times New Roman"/>
                      <w:color w:val="auto"/>
                      <w:kern w:val="0"/>
                      <w:sz w:val="21"/>
                      <w:szCs w:val="20"/>
                      <w:lang w:val="en-US" w:eastAsia="zh-CN" w:bidi="ar-SA"/>
                    </w:rPr>
                  </w:pPr>
                  <w:r>
                    <w:rPr>
                      <w:rFonts w:hint="eastAsia" w:cs="Times New Roman"/>
                      <w:color w:val="auto"/>
                      <w:kern w:val="0"/>
                      <w:sz w:val="21"/>
                      <w:szCs w:val="20"/>
                      <w:lang w:val="en-US" w:eastAsia="zh-CN" w:bidi="ar-SA"/>
                    </w:rPr>
                    <w:t>注：空间相对位置是以厂界左下角（经度</w:t>
                  </w:r>
                  <w:r>
                    <w:rPr>
                      <w:rFonts w:hint="default" w:cs="Times New Roman"/>
                      <w:color w:val="auto"/>
                      <w:kern w:val="0"/>
                      <w:sz w:val="21"/>
                      <w:szCs w:val="20"/>
                      <w:lang w:val="en-US" w:eastAsia="zh-CN" w:bidi="ar-SA"/>
                    </w:rPr>
                    <w:t>E</w:t>
                  </w:r>
                  <w:r>
                    <w:rPr>
                      <w:rFonts w:hint="eastAsia" w:cs="Times New Roman"/>
                      <w:color w:val="auto"/>
                      <w:kern w:val="0"/>
                      <w:sz w:val="21"/>
                      <w:szCs w:val="20"/>
                      <w:lang w:val="en-US" w:eastAsia="zh-CN" w:bidi="ar-SA"/>
                    </w:rPr>
                    <w:t>113.600418810纬度</w:t>
                  </w:r>
                  <w:r>
                    <w:rPr>
                      <w:rFonts w:hint="default" w:cs="Times New Roman"/>
                      <w:color w:val="auto"/>
                      <w:kern w:val="0"/>
                      <w:sz w:val="21"/>
                      <w:szCs w:val="20"/>
                      <w:lang w:val="en-US" w:eastAsia="zh-CN" w:bidi="ar-SA"/>
                    </w:rPr>
                    <w:t>N</w:t>
                  </w:r>
                  <w:r>
                    <w:rPr>
                      <w:rFonts w:hint="eastAsia" w:cs="Times New Roman"/>
                      <w:color w:val="auto"/>
                      <w:kern w:val="0"/>
                      <w:sz w:val="21"/>
                      <w:szCs w:val="20"/>
                      <w:lang w:val="en-US" w:eastAsia="zh-CN" w:bidi="ar-SA"/>
                    </w:rPr>
                    <w:t>26.564323061）为原点，正东向为 X 轴正方向，正北向为 Y 轴正方向。</w:t>
                  </w:r>
                </w:p>
              </w:tc>
            </w:tr>
          </w:tbl>
          <w:p w14:paraId="6BC8E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imes New Roman" w:hAnsi="Times New Roman" w:eastAsia="宋体"/>
                <w:color w:val="auto"/>
                <w:sz w:val="24"/>
                <w:szCs w:val="24"/>
                <w:u w:val="none" w:color="auto"/>
                <w:lang w:eastAsia="zh-CN"/>
              </w:rPr>
            </w:pPr>
            <w:r>
              <w:rPr>
                <w:rFonts w:hint="eastAsia"/>
                <w:color w:val="auto"/>
                <w:sz w:val="24"/>
                <w:szCs w:val="24"/>
                <w:u w:val="none" w:color="auto"/>
                <w:lang w:eastAsia="zh-CN"/>
              </w:rPr>
              <w:t>（</w:t>
            </w:r>
            <w:r>
              <w:rPr>
                <w:rFonts w:hint="eastAsia"/>
                <w:color w:val="auto"/>
                <w:sz w:val="24"/>
                <w:szCs w:val="24"/>
                <w:u w:val="none" w:color="auto"/>
                <w:lang w:val="en-US" w:eastAsia="zh-CN"/>
              </w:rPr>
              <w:t>2）</w:t>
            </w:r>
            <w:r>
              <w:rPr>
                <w:rFonts w:hint="eastAsia" w:ascii="Times New Roman" w:hAnsi="Times New Roman" w:eastAsia="宋体"/>
                <w:color w:val="auto"/>
                <w:sz w:val="24"/>
                <w:szCs w:val="24"/>
                <w:u w:val="none" w:color="auto"/>
                <w:lang w:eastAsia="zh-CN"/>
              </w:rPr>
              <w:t>声达标分析</w:t>
            </w:r>
          </w:p>
          <w:p w14:paraId="40722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color w:val="auto"/>
                <w:spacing w:val="-1"/>
                <w:sz w:val="24"/>
                <w:szCs w:val="24"/>
              </w:rPr>
            </w:pPr>
            <w:r>
              <w:rPr>
                <w:color w:val="auto"/>
                <w:sz w:val="24"/>
                <w:szCs w:val="24"/>
              </w:rPr>
              <w:t>参照《环境影响评价技术导则声环境》（</w:t>
            </w:r>
            <w:r>
              <w:rPr>
                <w:rFonts w:ascii="Times New Roman" w:hAnsi="Times New Roman" w:eastAsia="Times New Roman" w:cs="Times New Roman"/>
                <w:color w:val="auto"/>
                <w:sz w:val="24"/>
                <w:szCs w:val="24"/>
              </w:rPr>
              <w:t>HJ2.4-2021</w:t>
            </w:r>
            <w:r>
              <w:rPr>
                <w:color w:val="auto"/>
                <w:sz w:val="24"/>
                <w:szCs w:val="24"/>
              </w:rPr>
              <w:t>）推荐的公式。选择点源预测模式预测项目声源产生的噪声</w:t>
            </w:r>
            <w:r>
              <w:rPr>
                <w:color w:val="auto"/>
                <w:spacing w:val="-1"/>
                <w:sz w:val="24"/>
                <w:szCs w:val="24"/>
              </w:rPr>
              <w:t>随距离衰减变化规律。</w:t>
            </w:r>
          </w:p>
          <w:p w14:paraId="20DEF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76" w:firstLineChars="200"/>
              <w:jc w:val="left"/>
              <w:textAlignment w:val="auto"/>
              <w:rPr>
                <w:color w:val="auto"/>
                <w:sz w:val="24"/>
                <w:szCs w:val="24"/>
              </w:rPr>
            </w:pPr>
            <w:r>
              <w:rPr>
                <w:color w:val="auto"/>
                <w:spacing w:val="-1"/>
                <w:sz w:val="24"/>
                <w:szCs w:val="24"/>
              </w:rPr>
              <w:t>计算某一室内声源靠近围护结构处产生的倍频带声压级或</w:t>
            </w:r>
            <w:r>
              <w:rPr>
                <w:color w:val="auto"/>
                <w:spacing w:val="-56"/>
                <w:sz w:val="24"/>
                <w:szCs w:val="24"/>
              </w:rPr>
              <w:t xml:space="preserve"> </w:t>
            </w:r>
            <w:r>
              <w:rPr>
                <w:rFonts w:ascii="Times New Roman" w:hAnsi="Times New Roman" w:eastAsia="Times New Roman" w:cs="Times New Roman"/>
                <w:color w:val="auto"/>
                <w:spacing w:val="-1"/>
                <w:sz w:val="24"/>
                <w:szCs w:val="24"/>
              </w:rPr>
              <w:t>A</w:t>
            </w:r>
            <w:r>
              <w:rPr>
                <w:color w:val="auto"/>
                <w:spacing w:val="-1"/>
                <w:sz w:val="24"/>
                <w:szCs w:val="24"/>
              </w:rPr>
              <w:t>声级：</w:t>
            </w:r>
          </w:p>
          <w:p w14:paraId="7D1EF1D6">
            <w:pPr>
              <w:spacing w:before="181" w:line="710" w:lineRule="exact"/>
              <w:ind w:left="2691"/>
              <w:jc w:val="both"/>
              <w:rPr>
                <w:color w:val="auto"/>
              </w:rPr>
            </w:pPr>
            <w:r>
              <w:rPr>
                <w:color w:val="auto"/>
                <w:position w:val="-14"/>
              </w:rPr>
              <w:drawing>
                <wp:inline distT="0" distB="0" distL="0" distR="0">
                  <wp:extent cx="1567180" cy="450215"/>
                  <wp:effectExtent l="0" t="0" r="7620" b="6985"/>
                  <wp:docPr id="151" name="IM 2"/>
                  <wp:cNvGraphicFramePr/>
                  <a:graphic xmlns:a="http://schemas.openxmlformats.org/drawingml/2006/main">
                    <a:graphicData uri="http://schemas.openxmlformats.org/drawingml/2006/picture">
                      <pic:pic xmlns:pic="http://schemas.openxmlformats.org/drawingml/2006/picture">
                        <pic:nvPicPr>
                          <pic:cNvPr id="151" name="IM 2"/>
                          <pic:cNvPicPr/>
                        </pic:nvPicPr>
                        <pic:blipFill>
                          <a:blip r:embed="rId8"/>
                          <a:stretch>
                            <a:fillRect/>
                          </a:stretch>
                        </pic:blipFill>
                        <pic:spPr>
                          <a:xfrm>
                            <a:off x="0" y="0"/>
                            <a:ext cx="1567399" cy="450653"/>
                          </a:xfrm>
                          <a:prstGeom prst="rect">
                            <a:avLst/>
                          </a:prstGeom>
                        </pic:spPr>
                      </pic:pic>
                    </a:graphicData>
                  </a:graphic>
                </wp:inline>
              </w:drawing>
            </w:r>
          </w:p>
          <w:p w14:paraId="598FB2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式中：Lp1——靠近开口处（或窗户）室内某倍频带的声压级或A声级， dB；</w:t>
            </w:r>
          </w:p>
          <w:p w14:paraId="0E332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Lw ——点声源声功率级（A  计权或倍频带），dB；</w:t>
            </w:r>
          </w:p>
          <w:p w14:paraId="4C78E1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Q——指向性因数；通常对无指向性声源，当声源放在房间中 心时，Q=1；当放在一面墙的中心时，Q=2；当放在两面墙夹角处时，Q=4； 当放在三面墙夹角处时，Q=8；</w:t>
            </w:r>
          </w:p>
          <w:p w14:paraId="3A43A9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R——房间常数；R=Sα/（1-α) , S 为房间内表面面积，m</w:t>
            </w:r>
            <w:r>
              <w:rPr>
                <w:rFonts w:hint="eastAsia" w:ascii="Times New Roman" w:hAnsi="Times New Roman" w:eastAsia="宋体" w:cs="Times New Roman"/>
                <w:color w:val="auto"/>
                <w:sz w:val="24"/>
                <w:szCs w:val="24"/>
                <w:u w:val="none" w:color="auto"/>
                <w:vertAlign w:val="superscript"/>
              </w:rPr>
              <w:t>2</w:t>
            </w:r>
            <w:r>
              <w:rPr>
                <w:rFonts w:hint="eastAsia" w:ascii="Times New Roman" w:hAnsi="Times New Roman" w:eastAsia="宋体" w:cs="Times New Roman"/>
                <w:color w:val="auto"/>
                <w:sz w:val="24"/>
                <w:szCs w:val="24"/>
                <w:u w:val="none" w:color="auto"/>
              </w:rPr>
              <w:t xml:space="preserve"> ；α为平均吸声系数；</w:t>
            </w:r>
          </w:p>
          <w:p w14:paraId="25F47D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γ——声源到靠近围护结构某点处的距离，m。</w:t>
            </w:r>
          </w:p>
          <w:p w14:paraId="1A45E2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然后按式（B.3）计算出所有室内声源在围护结构处产生的i 倍频带</w:t>
            </w:r>
          </w:p>
          <w:p w14:paraId="5278E9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p>
          <w:p w14:paraId="239E3D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式中：Lpli（T）—靠近围护结构处室内N个声源i倍频带的叠加声压级， dB；</w:t>
            </w:r>
          </w:p>
          <w:p w14:paraId="1AF3A0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Lplij（T）—室内j声源i倍频带的声压级，dB； N—室内声源</w:t>
            </w:r>
            <w:r>
              <w:rPr>
                <w:rFonts w:hint="eastAsia" w:ascii="Times New Roman" w:hAnsi="Times New Roman" w:eastAsia="宋体" w:cs="Times New Roman"/>
                <w:color w:val="auto"/>
                <w:sz w:val="24"/>
                <w:szCs w:val="24"/>
                <w:u w:val="none" w:color="auto"/>
                <w:lang w:val="en-US" w:eastAsia="zh-CN"/>
              </w:rPr>
              <w:t>总</w:t>
            </w:r>
            <w:r>
              <w:rPr>
                <w:rFonts w:hint="eastAsia" w:ascii="Times New Roman" w:hAnsi="Times New Roman" w:eastAsia="宋体" w:cs="Times New Roman"/>
                <w:color w:val="auto"/>
                <w:sz w:val="24"/>
                <w:szCs w:val="24"/>
                <w:u w:val="none" w:color="auto"/>
              </w:rPr>
              <w:t>数。</w:t>
            </w:r>
          </w:p>
          <w:p w14:paraId="4C9714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在室内近似为扩散声场时，按下式计算出靠近室外围护结构处的声压级：</w:t>
            </w:r>
          </w:p>
          <w:p w14:paraId="52C46B57">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LP2i（T）=Lpli（T）-（TLi+6）</w:t>
            </w:r>
          </w:p>
          <w:p w14:paraId="56779D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式中：</w:t>
            </w:r>
          </w:p>
          <w:p w14:paraId="1F5679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LP2i（T）—靠近围护结构处室外N个声源i倍频带的叠加声压级，dB；</w:t>
            </w:r>
          </w:p>
          <w:p w14:paraId="3CC8CE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Lpli（T）—靠近围护结构处室内N个声源i倍频带的叠加声压级，dB； TLi —围护结构i 倍频带的隔声量，dB。</w:t>
            </w:r>
          </w:p>
          <w:p w14:paraId="651EDC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然后按式将室外声源的声压级和透过面积换算成等效的室外声源，计算出中心位置位于透声面积（S）处的等效声源的倍频带声功率级。</w:t>
            </w:r>
          </w:p>
          <w:p w14:paraId="663BEB8A">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Lw=Lp2（T）+10lgS</w:t>
            </w:r>
          </w:p>
          <w:p w14:paraId="0BEC55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式中：Lw —中心位置位于透声面积（S）处的等效声源的倍频带声功 率级，dB；</w:t>
            </w:r>
          </w:p>
          <w:p w14:paraId="600111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Lp2(T)—靠近围护结构处室外声源的声压级，dB； S—透声面积，m</w:t>
            </w:r>
            <w:r>
              <w:rPr>
                <w:rFonts w:hint="eastAsia" w:ascii="Times New Roman" w:hAnsi="Times New Roman" w:eastAsia="宋体" w:cs="Times New Roman"/>
                <w:color w:val="auto"/>
                <w:sz w:val="24"/>
                <w:szCs w:val="24"/>
                <w:u w:val="none" w:color="auto"/>
                <w:vertAlign w:val="superscript"/>
              </w:rPr>
              <w:t>2</w:t>
            </w:r>
            <w:r>
              <w:rPr>
                <w:rFonts w:hint="eastAsia" w:ascii="Times New Roman" w:hAnsi="Times New Roman" w:eastAsia="宋体" w:cs="Times New Roman"/>
                <w:color w:val="auto"/>
                <w:sz w:val="24"/>
                <w:szCs w:val="24"/>
                <w:u w:val="none" w:color="auto"/>
              </w:rPr>
              <w:t>。</w:t>
            </w:r>
          </w:p>
          <w:p w14:paraId="34633E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然后按室外声源预测方法计算预测点处的 A 声级。</w:t>
            </w:r>
          </w:p>
          <w:p w14:paraId="4DCCAF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sz w:val="24"/>
                <w:szCs w:val="24"/>
                <w:u w:val="none" w:color="auto"/>
                <w:lang w:eastAsia="zh-CN"/>
              </w:rPr>
            </w:pPr>
            <w:r>
              <w:rPr>
                <w:rFonts w:hint="eastAsia" w:ascii="Times New Roman" w:hAnsi="Times New Roman" w:eastAsia="宋体" w:cs="Times New Roman"/>
                <w:color w:val="auto"/>
                <w:sz w:val="24"/>
                <w:szCs w:val="24"/>
                <w:u w:val="none" w:color="auto"/>
              </w:rPr>
              <w:t>设第 i 个室外声源在预测点产生的 A 声级为 LAi，在 T 时间内该声源 工作时间为 ti；第j 个等效室外声源在预测点产生的 A 声级为 LAj ，在 T 时间内该声源工作时间为 Tj ，则项目工程声源对预测点产生的贡献值</w:t>
            </w:r>
            <w:r>
              <w:rPr>
                <w:rFonts w:hint="eastAsia" w:ascii="Times New Roman" w:hAnsi="Times New Roman" w:eastAsia="宋体" w:cs="Times New Roman"/>
                <w:color w:val="auto"/>
                <w:sz w:val="24"/>
                <w:szCs w:val="24"/>
                <w:u w:val="none" w:color="auto"/>
                <w:lang w:eastAsia="zh-CN"/>
              </w:rPr>
              <w:t>。</w:t>
            </w:r>
          </w:p>
          <w:p w14:paraId="6E0981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position w:val="-18"/>
              </w:rPr>
            </w:pPr>
            <w:r>
              <w:rPr>
                <w:color w:val="auto"/>
                <w:position w:val="-18"/>
              </w:rPr>
              <w:drawing>
                <wp:inline distT="0" distB="0" distL="0" distR="0">
                  <wp:extent cx="3039745" cy="572770"/>
                  <wp:effectExtent l="0" t="0" r="8255" b="11430"/>
                  <wp:docPr id="154" name="IM 2"/>
                  <wp:cNvGraphicFramePr/>
                  <a:graphic xmlns:a="http://schemas.openxmlformats.org/drawingml/2006/main">
                    <a:graphicData uri="http://schemas.openxmlformats.org/drawingml/2006/picture">
                      <pic:pic xmlns:pic="http://schemas.openxmlformats.org/drawingml/2006/picture">
                        <pic:nvPicPr>
                          <pic:cNvPr id="154" name="IM 2"/>
                          <pic:cNvPicPr/>
                        </pic:nvPicPr>
                        <pic:blipFill>
                          <a:blip r:embed="rId9"/>
                          <a:stretch>
                            <a:fillRect/>
                          </a:stretch>
                        </pic:blipFill>
                        <pic:spPr>
                          <a:xfrm>
                            <a:off x="0" y="0"/>
                            <a:ext cx="3040379" cy="573023"/>
                          </a:xfrm>
                          <a:prstGeom prst="rect">
                            <a:avLst/>
                          </a:prstGeom>
                        </pic:spPr>
                      </pic:pic>
                    </a:graphicData>
                  </a:graphic>
                </wp:inline>
              </w:drawing>
            </w:r>
          </w:p>
          <w:p w14:paraId="2AC5376B">
            <w:pPr>
              <w:pStyle w:val="23"/>
              <w:spacing w:before="94" w:line="332" w:lineRule="exact"/>
              <w:ind w:left="595"/>
              <w:rPr>
                <w:color w:val="auto"/>
              </w:rPr>
            </w:pPr>
            <w:r>
              <w:rPr>
                <w:color w:val="auto"/>
                <w:spacing w:val="-1"/>
                <w:position w:val="3"/>
              </w:rPr>
              <w:t>式中：</w:t>
            </w:r>
            <w:r>
              <w:rPr>
                <w:rFonts w:ascii="Times New Roman" w:hAnsi="Times New Roman" w:eastAsia="Times New Roman" w:cs="Times New Roman"/>
                <w:color w:val="auto"/>
                <w:spacing w:val="-1"/>
                <w:position w:val="3"/>
              </w:rPr>
              <w:t>Leqg—</w:t>
            </w:r>
            <w:r>
              <w:rPr>
                <w:color w:val="auto"/>
                <w:spacing w:val="-1"/>
                <w:position w:val="3"/>
              </w:rPr>
              <w:t>建设项目声源在预测点产生的噪声贡献值，</w:t>
            </w:r>
            <w:r>
              <w:rPr>
                <w:rFonts w:ascii="Times New Roman" w:hAnsi="Times New Roman" w:eastAsia="Times New Roman" w:cs="Times New Roman"/>
                <w:color w:val="auto"/>
                <w:spacing w:val="-1"/>
                <w:position w:val="3"/>
              </w:rPr>
              <w:t>dB</w:t>
            </w:r>
            <w:r>
              <w:rPr>
                <w:color w:val="auto"/>
                <w:spacing w:val="-1"/>
                <w:position w:val="3"/>
              </w:rPr>
              <w:t>；</w:t>
            </w:r>
          </w:p>
          <w:p w14:paraId="32538521">
            <w:pPr>
              <w:pStyle w:val="23"/>
              <w:spacing w:before="166" w:line="346" w:lineRule="auto"/>
              <w:ind w:left="578" w:right="3591" w:firstLine="10"/>
              <w:rPr>
                <w:color w:val="auto"/>
              </w:rPr>
            </w:pPr>
            <w:r>
              <w:rPr>
                <w:rFonts w:ascii="Times New Roman" w:hAnsi="Times New Roman" w:eastAsia="Times New Roman" w:cs="Times New Roman"/>
                <w:color w:val="auto"/>
                <w:spacing w:val="-4"/>
              </w:rPr>
              <w:t>T —</w:t>
            </w:r>
            <w:r>
              <w:rPr>
                <w:color w:val="auto"/>
                <w:spacing w:val="-4"/>
              </w:rPr>
              <w:t>用于计算等效声级的时间，</w:t>
            </w:r>
            <w:r>
              <w:rPr>
                <w:rFonts w:ascii="Times New Roman" w:hAnsi="Times New Roman" w:eastAsia="Times New Roman" w:cs="Times New Roman"/>
                <w:color w:val="auto"/>
                <w:spacing w:val="-4"/>
              </w:rPr>
              <w:t>s</w:t>
            </w:r>
            <w:r>
              <w:rPr>
                <w:color w:val="auto"/>
                <w:spacing w:val="-4"/>
              </w:rPr>
              <w:t>；</w:t>
            </w:r>
            <w:r>
              <w:rPr>
                <w:color w:val="auto"/>
              </w:rPr>
              <w:t xml:space="preserve"> </w:t>
            </w:r>
            <w:r>
              <w:rPr>
                <w:rFonts w:ascii="Times New Roman" w:hAnsi="Times New Roman" w:eastAsia="Times New Roman" w:cs="Times New Roman"/>
                <w:color w:val="auto"/>
              </w:rPr>
              <w:t>N —</w:t>
            </w:r>
            <w:r>
              <w:rPr>
                <w:color w:val="auto"/>
              </w:rPr>
              <w:t>室外声源个数；</w:t>
            </w:r>
          </w:p>
          <w:p w14:paraId="67E5784A">
            <w:pPr>
              <w:pStyle w:val="23"/>
              <w:spacing w:before="2" w:line="331" w:lineRule="auto"/>
              <w:ind w:left="585" w:right="3451" w:firstLine="2"/>
              <w:rPr>
                <w:color w:val="auto"/>
              </w:rPr>
            </w:pPr>
            <w:r>
              <w:rPr>
                <w:rFonts w:ascii="Times New Roman" w:hAnsi="Times New Roman" w:eastAsia="Times New Roman" w:cs="Times New Roman"/>
                <w:color w:val="auto"/>
                <w:spacing w:val="-3"/>
              </w:rPr>
              <w:t>i t —</w:t>
            </w:r>
            <w:r>
              <w:rPr>
                <w:color w:val="auto"/>
                <w:spacing w:val="-3"/>
              </w:rPr>
              <w:t>在</w:t>
            </w:r>
            <w:r>
              <w:rPr>
                <w:rFonts w:ascii="Times New Roman" w:hAnsi="Times New Roman" w:eastAsia="Times New Roman" w:cs="Times New Roman"/>
                <w:color w:val="auto"/>
                <w:spacing w:val="-3"/>
              </w:rPr>
              <w:t>T</w:t>
            </w:r>
            <w:r>
              <w:rPr>
                <w:color w:val="auto"/>
                <w:spacing w:val="-3"/>
              </w:rPr>
              <w:t>时间内</w:t>
            </w:r>
            <w:r>
              <w:rPr>
                <w:rFonts w:ascii="Times New Roman" w:hAnsi="Times New Roman" w:eastAsia="Times New Roman" w:cs="Times New Roman"/>
                <w:color w:val="auto"/>
                <w:spacing w:val="-3"/>
              </w:rPr>
              <w:t xml:space="preserve">i  </w:t>
            </w:r>
            <w:r>
              <w:rPr>
                <w:color w:val="auto"/>
                <w:spacing w:val="-3"/>
              </w:rPr>
              <w:t>声源工作时</w:t>
            </w:r>
            <w:r>
              <w:rPr>
                <w:color w:val="auto"/>
                <w:spacing w:val="-4"/>
              </w:rPr>
              <w:t>间，</w:t>
            </w:r>
            <w:r>
              <w:rPr>
                <w:rFonts w:ascii="Times New Roman" w:hAnsi="Times New Roman" w:eastAsia="Times New Roman" w:cs="Times New Roman"/>
                <w:color w:val="auto"/>
                <w:spacing w:val="-4"/>
              </w:rPr>
              <w:t>s</w:t>
            </w:r>
            <w:r>
              <w:rPr>
                <w:color w:val="auto"/>
                <w:spacing w:val="-4"/>
              </w:rPr>
              <w:t>；</w:t>
            </w:r>
            <w:r>
              <w:rPr>
                <w:color w:val="auto"/>
              </w:rPr>
              <w:t xml:space="preserve"> </w:t>
            </w:r>
            <w:r>
              <w:rPr>
                <w:rFonts w:ascii="Times New Roman" w:hAnsi="Times New Roman" w:eastAsia="Times New Roman" w:cs="Times New Roman"/>
                <w:color w:val="auto"/>
                <w:spacing w:val="-1"/>
              </w:rPr>
              <w:t>M —</w:t>
            </w:r>
            <w:r>
              <w:rPr>
                <w:color w:val="auto"/>
                <w:spacing w:val="-1"/>
              </w:rPr>
              <w:t>等效室外声源个数；</w:t>
            </w:r>
          </w:p>
          <w:p w14:paraId="56BD2845">
            <w:pPr>
              <w:pStyle w:val="23"/>
              <w:spacing w:before="70" w:line="333" w:lineRule="exact"/>
              <w:ind w:left="562"/>
              <w:rPr>
                <w:rFonts w:hint="eastAsia" w:eastAsia="宋体"/>
                <w:color w:val="auto"/>
                <w:position w:val="-18"/>
                <w:lang w:eastAsia="zh-CN"/>
              </w:rPr>
            </w:pPr>
            <w:r>
              <w:rPr>
                <w:rFonts w:ascii="Times New Roman" w:hAnsi="Times New Roman" w:eastAsia="Times New Roman" w:cs="Times New Roman"/>
                <w:color w:val="auto"/>
                <w:position w:val="3"/>
              </w:rPr>
              <w:t>j</w:t>
            </w:r>
            <w:r>
              <w:rPr>
                <w:rFonts w:ascii="Times New Roman" w:hAnsi="Times New Roman" w:eastAsia="Times New Roman" w:cs="Times New Roman"/>
                <w:color w:val="auto"/>
                <w:spacing w:val="2"/>
                <w:position w:val="3"/>
              </w:rPr>
              <w:t xml:space="preserve"> </w:t>
            </w:r>
            <w:r>
              <w:rPr>
                <w:rFonts w:ascii="Times New Roman" w:hAnsi="Times New Roman" w:eastAsia="Times New Roman" w:cs="Times New Roman"/>
                <w:color w:val="auto"/>
                <w:position w:val="3"/>
              </w:rPr>
              <w:t>t</w:t>
            </w:r>
            <w:r>
              <w:rPr>
                <w:rFonts w:ascii="Times New Roman" w:hAnsi="Times New Roman" w:eastAsia="Times New Roman" w:cs="Times New Roman"/>
                <w:color w:val="auto"/>
                <w:spacing w:val="2"/>
                <w:position w:val="3"/>
              </w:rPr>
              <w:t xml:space="preserve"> —</w:t>
            </w:r>
            <w:r>
              <w:rPr>
                <w:color w:val="auto"/>
                <w:spacing w:val="2"/>
                <w:position w:val="3"/>
              </w:rPr>
              <w:t>在</w:t>
            </w:r>
            <w:r>
              <w:rPr>
                <w:color w:val="auto"/>
                <w:spacing w:val="-43"/>
                <w:position w:val="3"/>
              </w:rPr>
              <w:t xml:space="preserve"> </w:t>
            </w:r>
            <w:r>
              <w:rPr>
                <w:rFonts w:ascii="Times New Roman" w:hAnsi="Times New Roman" w:eastAsia="Times New Roman" w:cs="Times New Roman"/>
                <w:color w:val="auto"/>
                <w:spacing w:val="2"/>
                <w:position w:val="3"/>
              </w:rPr>
              <w:t>T</w:t>
            </w:r>
            <w:r>
              <w:rPr>
                <w:rFonts w:ascii="Times New Roman" w:hAnsi="Times New Roman" w:eastAsia="Times New Roman" w:cs="Times New Roman"/>
                <w:color w:val="auto"/>
                <w:spacing w:val="21"/>
                <w:position w:val="3"/>
              </w:rPr>
              <w:t xml:space="preserve"> </w:t>
            </w:r>
            <w:r>
              <w:rPr>
                <w:color w:val="auto"/>
                <w:spacing w:val="2"/>
                <w:position w:val="3"/>
              </w:rPr>
              <w:t>时间内</w:t>
            </w:r>
            <w:r>
              <w:rPr>
                <w:rFonts w:ascii="Times New Roman" w:hAnsi="Times New Roman" w:eastAsia="Times New Roman" w:cs="Times New Roman"/>
                <w:color w:val="auto"/>
                <w:spacing w:val="2"/>
                <w:position w:val="3"/>
              </w:rPr>
              <w:t xml:space="preserve">j </w:t>
            </w:r>
            <w:r>
              <w:rPr>
                <w:color w:val="auto"/>
                <w:spacing w:val="2"/>
                <w:position w:val="3"/>
              </w:rPr>
              <w:t>声源工作时间，</w:t>
            </w:r>
            <w:r>
              <w:rPr>
                <w:rFonts w:ascii="Times New Roman" w:hAnsi="Times New Roman" w:eastAsia="Times New Roman" w:cs="Times New Roman"/>
                <w:color w:val="auto"/>
                <w:spacing w:val="2"/>
                <w:position w:val="3"/>
              </w:rPr>
              <w:t>s</w:t>
            </w:r>
            <w:r>
              <w:rPr>
                <w:color w:val="auto"/>
                <w:spacing w:val="2"/>
                <w:position w:val="3"/>
              </w:rPr>
              <w:t>。</w:t>
            </w:r>
          </w:p>
          <w:p w14:paraId="29858E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根据 HJ2.4-2021</w:t>
            </w:r>
            <w:r>
              <w:rPr>
                <w:color w:val="auto"/>
                <w:sz w:val="24"/>
                <w:szCs w:val="24"/>
              </w:rPr>
              <w:t>《环境影响评价技术导则声环境》</w:t>
            </w:r>
            <w:r>
              <w:rPr>
                <w:rFonts w:hint="eastAsia" w:ascii="Times New Roman" w:hAnsi="Times New Roman" w:eastAsia="宋体" w:cs="Times New Roman"/>
                <w:color w:val="auto"/>
                <w:sz w:val="24"/>
                <w:szCs w:val="24"/>
                <w:u w:val="none" w:color="auto"/>
              </w:rPr>
              <w:t>对本次噪声影响进行预测，根据项目平面布局，综合考虑距离衰减、地面吸收、空气吸收以及医院墙体的阻隔，利用上述噪声预测公式，可预测出多个噪声源强经降噪措施削减后，在建筑围护结构处的声级，然后计算场界的噪声级。预测结果计算结果见下表。</w:t>
            </w:r>
          </w:p>
          <w:p w14:paraId="21D8B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12</w:t>
            </w:r>
            <w:r>
              <w:rPr>
                <w:rFonts w:hint="eastAsia" w:ascii="Times New Roman" w:hAnsi="Times New Roman" w:eastAsia="宋体" w:cs="Times New Roman"/>
                <w:b/>
                <w:bCs/>
                <w:color w:val="auto"/>
                <w:sz w:val="21"/>
                <w:szCs w:val="21"/>
                <w:u w:val="none" w:color="auto"/>
                <w:lang w:val="en-US" w:eastAsia="zh-CN"/>
              </w:rPr>
              <w:t>噪声预测结果d</w:t>
            </w:r>
            <w:r>
              <w:rPr>
                <w:rFonts w:hint="default" w:ascii="Times New Roman" w:hAnsi="Times New Roman" w:eastAsia="宋体" w:cs="Times New Roman"/>
                <w:b/>
                <w:bCs/>
                <w:color w:val="auto"/>
                <w:sz w:val="21"/>
                <w:szCs w:val="21"/>
                <w:u w:val="none" w:color="auto"/>
                <w:lang w:val="en-US" w:eastAsia="zh-CN"/>
              </w:rPr>
              <w:t>B</w:t>
            </w:r>
            <w:r>
              <w:rPr>
                <w:rFonts w:hint="eastAsia" w:ascii="Times New Roman" w:hAnsi="Times New Roman" w:eastAsia="宋体" w:cs="Times New Roman"/>
                <w:b/>
                <w:bCs/>
                <w:color w:val="auto"/>
                <w:sz w:val="21"/>
                <w:szCs w:val="21"/>
                <w:u w:val="none" w:color="auto"/>
                <w:lang w:val="en-US" w:eastAsia="zh-CN"/>
              </w:rPr>
              <w:t>（</w:t>
            </w:r>
            <w:r>
              <w:rPr>
                <w:rFonts w:hint="default" w:ascii="Times New Roman" w:hAnsi="Times New Roman" w:eastAsia="宋体" w:cs="Times New Roman"/>
                <w:b/>
                <w:bCs/>
                <w:color w:val="auto"/>
                <w:sz w:val="21"/>
                <w:szCs w:val="21"/>
                <w:u w:val="none" w:color="auto"/>
                <w:lang w:val="en-US" w:eastAsia="zh-CN"/>
              </w:rPr>
              <w:t>A</w:t>
            </w:r>
            <w:r>
              <w:rPr>
                <w:rFonts w:hint="eastAsia" w:ascii="Times New Roman" w:hAnsi="Times New Roman" w:eastAsia="宋体" w:cs="Times New Roman"/>
                <w:b/>
                <w:bCs/>
                <w:color w:val="auto"/>
                <w:sz w:val="21"/>
                <w:szCs w:val="21"/>
                <w:u w:val="none" w:color="auto"/>
                <w:lang w:val="en-US" w:eastAsia="zh-CN"/>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756"/>
              <w:gridCol w:w="756"/>
              <w:gridCol w:w="467"/>
              <w:gridCol w:w="777"/>
              <w:gridCol w:w="1746"/>
              <w:gridCol w:w="1921"/>
              <w:gridCol w:w="1184"/>
            </w:tblGrid>
            <w:tr w14:paraId="1636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pct"/>
                  <w:vMerge w:val="restart"/>
                </w:tcPr>
                <w:p w14:paraId="7DD881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预测范围</w:t>
                  </w:r>
                </w:p>
              </w:tc>
              <w:tc>
                <w:tcPr>
                  <w:tcW w:w="1021" w:type="pct"/>
                  <w:gridSpan w:val="3"/>
                </w:tcPr>
                <w:p w14:paraId="6D761FF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空间相对位置</w:t>
                  </w:r>
                </w:p>
              </w:tc>
              <w:tc>
                <w:tcPr>
                  <w:tcW w:w="401" w:type="pct"/>
                  <w:vMerge w:val="restart"/>
                </w:tcPr>
                <w:p w14:paraId="741E043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时段</w:t>
                  </w:r>
                </w:p>
              </w:tc>
              <w:tc>
                <w:tcPr>
                  <w:tcW w:w="901" w:type="pct"/>
                  <w:vMerge w:val="restart"/>
                </w:tcPr>
                <w:p w14:paraId="283D12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预测值/d</w:t>
                  </w:r>
                  <w:r>
                    <w:rPr>
                      <w:rFonts w:hint="default" w:ascii="宋体" w:hAnsi="宋体" w:eastAsia="宋体" w:cs="宋体"/>
                      <w:b/>
                      <w:bCs/>
                      <w:color w:val="auto"/>
                      <w:sz w:val="21"/>
                      <w:szCs w:val="21"/>
                      <w:highlight w:val="none"/>
                      <w:vertAlign w:val="baseline"/>
                      <w:lang w:val="en-US" w:eastAsia="zh-CN"/>
                    </w:rPr>
                    <w:t>B</w:t>
                  </w:r>
                  <w:r>
                    <w:rPr>
                      <w:rFonts w:hint="eastAsia" w:ascii="宋体" w:hAnsi="宋体" w:eastAsia="宋体" w:cs="宋体"/>
                      <w:b/>
                      <w:bCs/>
                      <w:color w:val="auto"/>
                      <w:sz w:val="21"/>
                      <w:szCs w:val="21"/>
                      <w:highlight w:val="none"/>
                      <w:vertAlign w:val="baseline"/>
                      <w:lang w:val="en-US" w:eastAsia="zh-CN"/>
                    </w:rPr>
                    <w:t>（</w:t>
                  </w:r>
                  <w:r>
                    <w:rPr>
                      <w:rFonts w:hint="default" w:ascii="宋体" w:hAnsi="宋体" w:eastAsia="宋体" w:cs="宋体"/>
                      <w:b/>
                      <w:bCs/>
                      <w:color w:val="auto"/>
                      <w:sz w:val="21"/>
                      <w:szCs w:val="21"/>
                      <w:highlight w:val="none"/>
                      <w:vertAlign w:val="baseline"/>
                      <w:lang w:val="en-US" w:eastAsia="zh-CN"/>
                    </w:rPr>
                    <w:t>A)</w:t>
                  </w:r>
                </w:p>
              </w:tc>
              <w:tc>
                <w:tcPr>
                  <w:tcW w:w="991" w:type="pct"/>
                  <w:vMerge w:val="restart"/>
                </w:tcPr>
                <w:p w14:paraId="5C521C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评价标准/d</w:t>
                  </w:r>
                  <w:r>
                    <w:rPr>
                      <w:rFonts w:hint="default" w:ascii="宋体" w:hAnsi="宋体" w:eastAsia="宋体" w:cs="宋体"/>
                      <w:b/>
                      <w:bCs/>
                      <w:color w:val="auto"/>
                      <w:sz w:val="21"/>
                      <w:szCs w:val="21"/>
                      <w:highlight w:val="none"/>
                      <w:vertAlign w:val="baseline"/>
                      <w:lang w:val="en-US" w:eastAsia="zh-CN"/>
                    </w:rPr>
                    <w:t>B</w:t>
                  </w:r>
                  <w:r>
                    <w:rPr>
                      <w:rFonts w:hint="eastAsia" w:ascii="宋体" w:hAnsi="宋体" w:eastAsia="宋体" w:cs="宋体"/>
                      <w:b/>
                      <w:bCs/>
                      <w:color w:val="auto"/>
                      <w:sz w:val="21"/>
                      <w:szCs w:val="21"/>
                      <w:highlight w:val="none"/>
                      <w:vertAlign w:val="baseline"/>
                      <w:lang w:val="en-US" w:eastAsia="zh-CN"/>
                    </w:rPr>
                    <w:t>（</w:t>
                  </w:r>
                  <w:r>
                    <w:rPr>
                      <w:rFonts w:hint="default" w:ascii="宋体" w:hAnsi="宋体" w:eastAsia="宋体" w:cs="宋体"/>
                      <w:b/>
                      <w:bCs/>
                      <w:color w:val="auto"/>
                      <w:sz w:val="21"/>
                      <w:szCs w:val="21"/>
                      <w:highlight w:val="none"/>
                      <w:vertAlign w:val="baseline"/>
                      <w:lang w:val="en-US" w:eastAsia="zh-CN"/>
                    </w:rPr>
                    <w:t>A)</w:t>
                  </w:r>
                </w:p>
              </w:tc>
              <w:tc>
                <w:tcPr>
                  <w:tcW w:w="607" w:type="pct"/>
                  <w:vMerge w:val="restart"/>
                </w:tcPr>
                <w:p w14:paraId="74F43AA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达标情况</w:t>
                  </w:r>
                </w:p>
              </w:tc>
            </w:tr>
            <w:tr w14:paraId="6976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75" w:type="pct"/>
                  <w:vMerge w:val="continue"/>
                </w:tcPr>
                <w:p w14:paraId="1F3FA81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vertAlign w:val="baseline"/>
                      <w:lang w:val="en-US" w:eastAsia="zh-CN"/>
                    </w:rPr>
                  </w:pPr>
                </w:p>
              </w:tc>
              <w:tc>
                <w:tcPr>
                  <w:tcW w:w="390" w:type="pct"/>
                </w:tcPr>
                <w:p w14:paraId="597BCEC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color w:val="auto"/>
                      <w:sz w:val="21"/>
                      <w:szCs w:val="21"/>
                      <w:highlight w:val="none"/>
                      <w:vertAlign w:val="baseline"/>
                      <w:lang w:val="en-US" w:eastAsia="zh-CN"/>
                    </w:rPr>
                  </w:pPr>
                  <w:r>
                    <w:rPr>
                      <w:rFonts w:hint="default" w:ascii="宋体" w:hAnsi="宋体" w:eastAsia="宋体" w:cs="宋体"/>
                      <w:b/>
                      <w:bCs/>
                      <w:color w:val="auto"/>
                      <w:sz w:val="21"/>
                      <w:szCs w:val="21"/>
                      <w:highlight w:val="none"/>
                      <w:vertAlign w:val="baseline"/>
                      <w:lang w:val="en-US" w:eastAsia="zh-CN"/>
                    </w:rPr>
                    <w:t>X</w:t>
                  </w:r>
                </w:p>
              </w:tc>
              <w:tc>
                <w:tcPr>
                  <w:tcW w:w="390" w:type="pct"/>
                </w:tcPr>
                <w:p w14:paraId="17722C0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color w:val="auto"/>
                      <w:sz w:val="21"/>
                      <w:szCs w:val="21"/>
                      <w:highlight w:val="none"/>
                      <w:vertAlign w:val="baseline"/>
                      <w:lang w:val="en-US" w:eastAsia="zh-CN"/>
                    </w:rPr>
                  </w:pPr>
                  <w:r>
                    <w:rPr>
                      <w:rFonts w:hint="default" w:ascii="宋体" w:hAnsi="宋体" w:eastAsia="宋体" w:cs="宋体"/>
                      <w:b/>
                      <w:bCs/>
                      <w:color w:val="auto"/>
                      <w:sz w:val="21"/>
                      <w:szCs w:val="21"/>
                      <w:highlight w:val="none"/>
                      <w:vertAlign w:val="baseline"/>
                      <w:lang w:val="en-US" w:eastAsia="zh-CN"/>
                    </w:rPr>
                    <w:t>Y</w:t>
                  </w:r>
                </w:p>
              </w:tc>
              <w:tc>
                <w:tcPr>
                  <w:tcW w:w="240" w:type="pct"/>
                </w:tcPr>
                <w:p w14:paraId="3A2BA1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bCs/>
                      <w:color w:val="auto"/>
                      <w:sz w:val="21"/>
                      <w:szCs w:val="21"/>
                      <w:highlight w:val="none"/>
                      <w:vertAlign w:val="baseline"/>
                      <w:lang w:val="en-US" w:eastAsia="zh-CN"/>
                    </w:rPr>
                  </w:pPr>
                  <w:r>
                    <w:rPr>
                      <w:rFonts w:hint="default" w:ascii="宋体" w:hAnsi="宋体" w:eastAsia="宋体" w:cs="宋体"/>
                      <w:b/>
                      <w:bCs/>
                      <w:color w:val="auto"/>
                      <w:sz w:val="21"/>
                      <w:szCs w:val="21"/>
                      <w:highlight w:val="none"/>
                      <w:vertAlign w:val="baseline"/>
                      <w:lang w:val="en-US" w:eastAsia="zh-CN"/>
                    </w:rPr>
                    <w:t>Z</w:t>
                  </w:r>
                </w:p>
              </w:tc>
              <w:tc>
                <w:tcPr>
                  <w:tcW w:w="401" w:type="pct"/>
                  <w:vMerge w:val="continue"/>
                </w:tcPr>
                <w:p w14:paraId="3363772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vertAlign w:val="baseline"/>
                      <w:lang w:val="en-US" w:eastAsia="zh-CN"/>
                    </w:rPr>
                  </w:pPr>
                </w:p>
              </w:tc>
              <w:tc>
                <w:tcPr>
                  <w:tcW w:w="901" w:type="pct"/>
                  <w:vMerge w:val="continue"/>
                </w:tcPr>
                <w:p w14:paraId="6F9BED7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vertAlign w:val="baseline"/>
                      <w:lang w:val="en-US" w:eastAsia="zh-CN"/>
                    </w:rPr>
                  </w:pPr>
                </w:p>
              </w:tc>
              <w:tc>
                <w:tcPr>
                  <w:tcW w:w="991" w:type="pct"/>
                  <w:vMerge w:val="continue"/>
                </w:tcPr>
                <w:p w14:paraId="641738E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vertAlign w:val="baseline"/>
                      <w:lang w:val="en-US" w:eastAsia="zh-CN"/>
                    </w:rPr>
                  </w:pPr>
                </w:p>
              </w:tc>
              <w:tc>
                <w:tcPr>
                  <w:tcW w:w="607" w:type="pct"/>
                  <w:vMerge w:val="continue"/>
                </w:tcPr>
                <w:p w14:paraId="4DF953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color w:val="auto"/>
                      <w:sz w:val="21"/>
                      <w:szCs w:val="21"/>
                      <w:highlight w:val="none"/>
                      <w:vertAlign w:val="baseline"/>
                      <w:lang w:val="en-US" w:eastAsia="zh-CN"/>
                    </w:rPr>
                  </w:pPr>
                </w:p>
              </w:tc>
            </w:tr>
            <w:tr w14:paraId="58A6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5" w:type="pct"/>
                  <w:vMerge w:val="restart"/>
                </w:tcPr>
                <w:p w14:paraId="2855285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18"/>
                      <w:szCs w:val="18"/>
                      <w:highlight w:val="none"/>
                      <w:vertAlign w:val="baseline"/>
                      <w:lang w:val="en-US" w:eastAsia="zh-CN"/>
                    </w:rPr>
                  </w:pPr>
                  <w:r>
                    <w:rPr>
                      <w:rFonts w:hint="eastAsia" w:ascii="宋体" w:hAnsi="宋体" w:eastAsia="宋体" w:cs="宋体"/>
                      <w:b w:val="0"/>
                      <w:color w:val="auto"/>
                      <w:sz w:val="18"/>
                      <w:szCs w:val="18"/>
                      <w:highlight w:val="none"/>
                      <w:vertAlign w:val="baseline"/>
                      <w:lang w:val="en-US" w:eastAsia="zh-CN"/>
                    </w:rPr>
                    <w:t>卫生院北侧</w:t>
                  </w:r>
                </w:p>
              </w:tc>
              <w:tc>
                <w:tcPr>
                  <w:tcW w:w="390" w:type="pct"/>
                  <w:vMerge w:val="restart"/>
                </w:tcPr>
                <w:p w14:paraId="69B6B9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0</w:t>
                  </w:r>
                </w:p>
              </w:tc>
              <w:tc>
                <w:tcPr>
                  <w:tcW w:w="390" w:type="pct"/>
                  <w:vMerge w:val="restart"/>
                </w:tcPr>
                <w:p w14:paraId="0A55A9B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27</w:t>
                  </w:r>
                </w:p>
              </w:tc>
              <w:tc>
                <w:tcPr>
                  <w:tcW w:w="240" w:type="pct"/>
                  <w:vMerge w:val="restart"/>
                </w:tcPr>
                <w:p w14:paraId="0F2A0B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tcPr>
                <w:p w14:paraId="4E83632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4A5272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rPr>
                  </w:pPr>
                  <w:r>
                    <w:rPr>
                      <w:rFonts w:hint="eastAsia" w:ascii="宋体" w:hAnsi="宋体" w:cs="宋体"/>
                      <w:color w:val="auto"/>
                      <w:kern w:val="0"/>
                      <w:sz w:val="21"/>
                      <w:szCs w:val="21"/>
                      <w:lang w:val="en-US" w:eastAsia="zh-CN" w:bidi="ar-SA"/>
                    </w:rPr>
                    <w:t>57.27</w:t>
                  </w:r>
                </w:p>
              </w:tc>
              <w:tc>
                <w:tcPr>
                  <w:tcW w:w="991" w:type="pct"/>
                </w:tcPr>
                <w:p w14:paraId="1E266B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60</w:t>
                  </w:r>
                </w:p>
              </w:tc>
              <w:tc>
                <w:tcPr>
                  <w:tcW w:w="607" w:type="pct"/>
                  <w:vMerge w:val="restart"/>
                </w:tcPr>
                <w:p w14:paraId="133BB7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达标</w:t>
                  </w:r>
                </w:p>
              </w:tc>
            </w:tr>
            <w:tr w14:paraId="7D50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75" w:type="pct"/>
                  <w:vMerge w:val="continue"/>
                </w:tcPr>
                <w:p w14:paraId="41A6FBC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tcPr>
                <w:p w14:paraId="326E70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tcPr>
                <w:p w14:paraId="741474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tcPr>
                <w:p w14:paraId="6C470B0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tcPr>
                <w:p w14:paraId="30EC9C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4BF99E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47.77</w:t>
                  </w:r>
                </w:p>
              </w:tc>
              <w:tc>
                <w:tcPr>
                  <w:tcW w:w="991" w:type="pct"/>
                </w:tcPr>
                <w:p w14:paraId="7E5824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50</w:t>
                  </w:r>
                </w:p>
              </w:tc>
              <w:tc>
                <w:tcPr>
                  <w:tcW w:w="607" w:type="pct"/>
                  <w:vMerge w:val="continue"/>
                </w:tcPr>
                <w:p w14:paraId="7EEF14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3069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75" w:type="pct"/>
                  <w:vMerge w:val="restart"/>
                </w:tcPr>
                <w:p w14:paraId="4592C51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18"/>
                      <w:szCs w:val="18"/>
                      <w:highlight w:val="none"/>
                      <w:vertAlign w:val="baseline"/>
                    </w:rPr>
                  </w:pPr>
                  <w:r>
                    <w:rPr>
                      <w:rFonts w:hint="eastAsia" w:ascii="宋体" w:hAnsi="宋体" w:eastAsia="宋体" w:cs="宋体"/>
                      <w:b w:val="0"/>
                      <w:color w:val="auto"/>
                      <w:sz w:val="18"/>
                      <w:szCs w:val="18"/>
                      <w:highlight w:val="none"/>
                      <w:vertAlign w:val="baseline"/>
                      <w:lang w:val="en-US" w:eastAsia="zh-CN"/>
                    </w:rPr>
                    <w:t>卫生院南侧</w:t>
                  </w:r>
                </w:p>
              </w:tc>
              <w:tc>
                <w:tcPr>
                  <w:tcW w:w="390" w:type="pct"/>
                  <w:vMerge w:val="restart"/>
                  <w:vAlign w:val="top"/>
                </w:tcPr>
                <w:p w14:paraId="1264A4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0</w:t>
                  </w:r>
                </w:p>
              </w:tc>
              <w:tc>
                <w:tcPr>
                  <w:tcW w:w="390" w:type="pct"/>
                  <w:vMerge w:val="restart"/>
                  <w:vAlign w:val="top"/>
                </w:tcPr>
                <w:p w14:paraId="16716A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-27</w:t>
                  </w:r>
                </w:p>
              </w:tc>
              <w:tc>
                <w:tcPr>
                  <w:tcW w:w="240" w:type="pct"/>
                  <w:vMerge w:val="restart"/>
                  <w:vAlign w:val="top"/>
                </w:tcPr>
                <w:p w14:paraId="5C3B002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4BA673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31495E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rPr>
                  </w:pPr>
                  <w:r>
                    <w:rPr>
                      <w:rFonts w:hint="eastAsia" w:ascii="宋体" w:hAnsi="宋体" w:cs="宋体"/>
                      <w:color w:val="auto"/>
                      <w:kern w:val="0"/>
                      <w:sz w:val="21"/>
                      <w:szCs w:val="21"/>
                      <w:lang w:val="en-US" w:eastAsia="zh-CN" w:bidi="ar-SA"/>
                    </w:rPr>
                    <w:t>58.64</w:t>
                  </w:r>
                </w:p>
              </w:tc>
              <w:tc>
                <w:tcPr>
                  <w:tcW w:w="991" w:type="pct"/>
                </w:tcPr>
                <w:p w14:paraId="3728E8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60</w:t>
                  </w:r>
                </w:p>
              </w:tc>
              <w:tc>
                <w:tcPr>
                  <w:tcW w:w="607" w:type="pct"/>
                  <w:vMerge w:val="restart"/>
                </w:tcPr>
                <w:p w14:paraId="7E525B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rPr>
                  </w:pPr>
                  <w:r>
                    <w:rPr>
                      <w:rFonts w:hint="eastAsia" w:ascii="宋体" w:hAnsi="宋体" w:eastAsia="宋体" w:cs="宋体"/>
                      <w:b w:val="0"/>
                      <w:color w:val="auto"/>
                      <w:sz w:val="21"/>
                      <w:szCs w:val="21"/>
                      <w:highlight w:val="none"/>
                      <w:vertAlign w:val="baseline"/>
                      <w:lang w:val="en-US" w:eastAsia="zh-CN"/>
                    </w:rPr>
                    <w:t>达标</w:t>
                  </w:r>
                </w:p>
              </w:tc>
            </w:tr>
            <w:tr w14:paraId="4207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75" w:type="pct"/>
                  <w:vMerge w:val="continue"/>
                </w:tcPr>
                <w:p w14:paraId="3E4D1FA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755964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274DFE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7EEB2B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1109504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30700B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45.82</w:t>
                  </w:r>
                </w:p>
              </w:tc>
              <w:tc>
                <w:tcPr>
                  <w:tcW w:w="991" w:type="pct"/>
                </w:tcPr>
                <w:p w14:paraId="6E32FD5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50</w:t>
                  </w:r>
                </w:p>
              </w:tc>
              <w:tc>
                <w:tcPr>
                  <w:tcW w:w="607" w:type="pct"/>
                  <w:vMerge w:val="continue"/>
                </w:tcPr>
                <w:p w14:paraId="0B087A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36BB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restart"/>
                </w:tcPr>
                <w:p w14:paraId="0E2010F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18"/>
                      <w:szCs w:val="18"/>
                      <w:highlight w:val="none"/>
                      <w:vertAlign w:val="baseline"/>
                    </w:rPr>
                  </w:pPr>
                  <w:r>
                    <w:rPr>
                      <w:rFonts w:hint="eastAsia" w:ascii="宋体" w:hAnsi="宋体" w:eastAsia="宋体" w:cs="宋体"/>
                      <w:b w:val="0"/>
                      <w:color w:val="auto"/>
                      <w:sz w:val="18"/>
                      <w:szCs w:val="18"/>
                      <w:highlight w:val="none"/>
                      <w:vertAlign w:val="baseline"/>
                      <w:lang w:val="en-US" w:eastAsia="zh-CN"/>
                    </w:rPr>
                    <w:t>卫生院西侧</w:t>
                  </w:r>
                </w:p>
              </w:tc>
              <w:tc>
                <w:tcPr>
                  <w:tcW w:w="390" w:type="pct"/>
                  <w:vMerge w:val="restart"/>
                  <w:vAlign w:val="top"/>
                </w:tcPr>
                <w:p w14:paraId="33ED612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-37</w:t>
                  </w:r>
                </w:p>
              </w:tc>
              <w:tc>
                <w:tcPr>
                  <w:tcW w:w="390" w:type="pct"/>
                  <w:vMerge w:val="restart"/>
                  <w:vAlign w:val="top"/>
                </w:tcPr>
                <w:p w14:paraId="682765E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0</w:t>
                  </w:r>
                </w:p>
              </w:tc>
              <w:tc>
                <w:tcPr>
                  <w:tcW w:w="240" w:type="pct"/>
                  <w:vMerge w:val="restart"/>
                  <w:vAlign w:val="top"/>
                </w:tcPr>
                <w:p w14:paraId="4F907A5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53BE1B1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6C4D0B6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rPr>
                  </w:pPr>
                  <w:r>
                    <w:rPr>
                      <w:rFonts w:hint="eastAsia" w:ascii="宋体" w:hAnsi="宋体" w:cs="宋体"/>
                      <w:color w:val="auto"/>
                      <w:kern w:val="0"/>
                      <w:sz w:val="21"/>
                      <w:szCs w:val="21"/>
                      <w:lang w:val="en-US" w:eastAsia="zh-CN" w:bidi="ar-SA"/>
                    </w:rPr>
                    <w:t>63.52</w:t>
                  </w:r>
                </w:p>
              </w:tc>
              <w:tc>
                <w:tcPr>
                  <w:tcW w:w="991" w:type="pct"/>
                </w:tcPr>
                <w:p w14:paraId="0BC27A6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70</w:t>
                  </w:r>
                </w:p>
              </w:tc>
              <w:tc>
                <w:tcPr>
                  <w:tcW w:w="607" w:type="pct"/>
                  <w:vMerge w:val="restart"/>
                </w:tcPr>
                <w:p w14:paraId="43480C7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rPr>
                  </w:pPr>
                  <w:r>
                    <w:rPr>
                      <w:rFonts w:hint="eastAsia" w:ascii="宋体" w:hAnsi="宋体" w:eastAsia="宋体" w:cs="宋体"/>
                      <w:b w:val="0"/>
                      <w:color w:val="auto"/>
                      <w:sz w:val="21"/>
                      <w:szCs w:val="21"/>
                      <w:highlight w:val="none"/>
                      <w:vertAlign w:val="baseline"/>
                      <w:lang w:val="en-US" w:eastAsia="zh-CN"/>
                    </w:rPr>
                    <w:t>达标</w:t>
                  </w:r>
                </w:p>
              </w:tc>
            </w:tr>
            <w:tr w14:paraId="625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tcPr>
                <w:p w14:paraId="30EE6A1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09B753B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57C9B69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763B217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33AB88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7804DA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49.27</w:t>
                  </w:r>
                </w:p>
              </w:tc>
              <w:tc>
                <w:tcPr>
                  <w:tcW w:w="991" w:type="pct"/>
                </w:tcPr>
                <w:p w14:paraId="0245AE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55</w:t>
                  </w:r>
                </w:p>
              </w:tc>
              <w:tc>
                <w:tcPr>
                  <w:tcW w:w="607" w:type="pct"/>
                  <w:vMerge w:val="continue"/>
                </w:tcPr>
                <w:p w14:paraId="686BDC0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1B6D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restart"/>
                </w:tcPr>
                <w:p w14:paraId="162856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18"/>
                      <w:szCs w:val="18"/>
                      <w:highlight w:val="none"/>
                      <w:vertAlign w:val="baseline"/>
                    </w:rPr>
                  </w:pPr>
                  <w:r>
                    <w:rPr>
                      <w:rFonts w:hint="eastAsia" w:ascii="宋体" w:hAnsi="宋体" w:eastAsia="宋体" w:cs="宋体"/>
                      <w:b w:val="0"/>
                      <w:color w:val="auto"/>
                      <w:sz w:val="18"/>
                      <w:szCs w:val="18"/>
                      <w:highlight w:val="none"/>
                      <w:vertAlign w:val="baseline"/>
                      <w:lang w:val="en-US" w:eastAsia="zh-CN"/>
                    </w:rPr>
                    <w:t>卫生院东侧</w:t>
                  </w:r>
                </w:p>
              </w:tc>
              <w:tc>
                <w:tcPr>
                  <w:tcW w:w="390" w:type="pct"/>
                  <w:vMerge w:val="restart"/>
                  <w:vAlign w:val="top"/>
                </w:tcPr>
                <w:p w14:paraId="6FF036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37</w:t>
                  </w:r>
                </w:p>
              </w:tc>
              <w:tc>
                <w:tcPr>
                  <w:tcW w:w="390" w:type="pct"/>
                  <w:vMerge w:val="restart"/>
                  <w:vAlign w:val="top"/>
                </w:tcPr>
                <w:p w14:paraId="15FA929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0</w:t>
                  </w:r>
                </w:p>
              </w:tc>
              <w:tc>
                <w:tcPr>
                  <w:tcW w:w="240" w:type="pct"/>
                  <w:vMerge w:val="restart"/>
                  <w:vAlign w:val="top"/>
                </w:tcPr>
                <w:p w14:paraId="6CB747E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693AD02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0E6494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rPr>
                  </w:pPr>
                  <w:r>
                    <w:rPr>
                      <w:rFonts w:hint="eastAsia" w:ascii="宋体" w:hAnsi="宋体" w:cs="宋体"/>
                      <w:color w:val="auto"/>
                      <w:kern w:val="0"/>
                      <w:szCs w:val="21"/>
                      <w:lang w:val="en-US" w:eastAsia="zh-CN"/>
                    </w:rPr>
                    <w:t>53.28</w:t>
                  </w:r>
                </w:p>
              </w:tc>
              <w:tc>
                <w:tcPr>
                  <w:tcW w:w="991" w:type="pct"/>
                </w:tcPr>
                <w:p w14:paraId="25ACFA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60</w:t>
                  </w:r>
                </w:p>
              </w:tc>
              <w:tc>
                <w:tcPr>
                  <w:tcW w:w="607" w:type="pct"/>
                  <w:vMerge w:val="restart"/>
                </w:tcPr>
                <w:p w14:paraId="1E78478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rPr>
                  </w:pPr>
                  <w:r>
                    <w:rPr>
                      <w:rFonts w:hint="eastAsia" w:ascii="宋体" w:hAnsi="宋体" w:eastAsia="宋体" w:cs="宋体"/>
                      <w:b w:val="0"/>
                      <w:color w:val="auto"/>
                      <w:sz w:val="21"/>
                      <w:szCs w:val="21"/>
                      <w:highlight w:val="none"/>
                      <w:vertAlign w:val="baseline"/>
                      <w:lang w:val="en-US" w:eastAsia="zh-CN"/>
                    </w:rPr>
                    <w:t>达标</w:t>
                  </w:r>
                </w:p>
              </w:tc>
            </w:tr>
            <w:tr w14:paraId="79CE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tcPr>
                <w:p w14:paraId="600470C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1D36B3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276B9A6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088313B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0A21021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35D267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45.41</w:t>
                  </w:r>
                </w:p>
              </w:tc>
              <w:tc>
                <w:tcPr>
                  <w:tcW w:w="991" w:type="pct"/>
                </w:tcPr>
                <w:p w14:paraId="5C23CE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50</w:t>
                  </w:r>
                </w:p>
              </w:tc>
              <w:tc>
                <w:tcPr>
                  <w:tcW w:w="607" w:type="pct"/>
                  <w:vMerge w:val="continue"/>
                </w:tcPr>
                <w:p w14:paraId="6444C7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4EE1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restart"/>
                  <w:vAlign w:val="center"/>
                </w:tcPr>
                <w:p w14:paraId="61BA0A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项目</w:t>
                  </w:r>
                  <w:r>
                    <w:rPr>
                      <w:rFonts w:hint="eastAsia" w:ascii="宋体" w:hAnsi="宋体" w:cs="宋体"/>
                      <w:color w:val="auto"/>
                      <w:kern w:val="0"/>
                      <w:sz w:val="18"/>
                      <w:szCs w:val="18"/>
                      <w:lang w:val="de-DE" w:eastAsia="zh-CN" w:bidi="ar-SA"/>
                    </w:rPr>
                    <w:t>厂界东侧敏感点</w:t>
                  </w:r>
                </w:p>
              </w:tc>
              <w:tc>
                <w:tcPr>
                  <w:tcW w:w="390" w:type="pct"/>
                  <w:vMerge w:val="restart"/>
                  <w:vAlign w:val="top"/>
                </w:tcPr>
                <w:p w14:paraId="1B0F8B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33</w:t>
                  </w:r>
                </w:p>
              </w:tc>
              <w:tc>
                <w:tcPr>
                  <w:tcW w:w="390" w:type="pct"/>
                  <w:vMerge w:val="restart"/>
                  <w:vAlign w:val="top"/>
                </w:tcPr>
                <w:p w14:paraId="45691EE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-13</w:t>
                  </w:r>
                </w:p>
              </w:tc>
              <w:tc>
                <w:tcPr>
                  <w:tcW w:w="240" w:type="pct"/>
                  <w:vMerge w:val="restart"/>
                  <w:vAlign w:val="top"/>
                </w:tcPr>
                <w:p w14:paraId="60DA676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6B93702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451419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highlight w:val="none"/>
                      <w:vertAlign w:val="baseline"/>
                      <w:lang w:val="en-US"/>
                    </w:rPr>
                  </w:pPr>
                  <w:r>
                    <w:rPr>
                      <w:rFonts w:hint="eastAsia" w:ascii="宋体" w:hAnsi="宋体" w:cs="宋体"/>
                      <w:color w:val="auto"/>
                      <w:kern w:val="0"/>
                      <w:szCs w:val="21"/>
                      <w:lang w:val="en-US" w:eastAsia="zh-CN"/>
                    </w:rPr>
                    <w:t>55.64</w:t>
                  </w:r>
                </w:p>
              </w:tc>
              <w:tc>
                <w:tcPr>
                  <w:tcW w:w="991" w:type="pct"/>
                </w:tcPr>
                <w:p w14:paraId="254EB50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60</w:t>
                  </w:r>
                </w:p>
              </w:tc>
              <w:tc>
                <w:tcPr>
                  <w:tcW w:w="607" w:type="pct"/>
                  <w:vMerge w:val="restart"/>
                </w:tcPr>
                <w:p w14:paraId="0BBF89D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达标</w:t>
                  </w:r>
                </w:p>
              </w:tc>
            </w:tr>
            <w:tr w14:paraId="365D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vAlign w:val="center"/>
                </w:tcPr>
                <w:p w14:paraId="2ACA12A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2EC1F59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354242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2FB3B4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42C6420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3FAB81A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47.22</w:t>
                  </w:r>
                </w:p>
              </w:tc>
              <w:tc>
                <w:tcPr>
                  <w:tcW w:w="991" w:type="pct"/>
                </w:tcPr>
                <w:p w14:paraId="4BB57EE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50</w:t>
                  </w:r>
                </w:p>
              </w:tc>
              <w:tc>
                <w:tcPr>
                  <w:tcW w:w="607" w:type="pct"/>
                  <w:vMerge w:val="continue"/>
                </w:tcPr>
                <w:p w14:paraId="3AF92BB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07AA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restart"/>
                  <w:vAlign w:val="center"/>
                </w:tcPr>
                <w:p w14:paraId="39E48E1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项目</w:t>
                  </w:r>
                  <w:r>
                    <w:rPr>
                      <w:rFonts w:hint="eastAsia" w:ascii="宋体" w:hAnsi="宋体" w:cs="宋体"/>
                      <w:color w:val="auto"/>
                      <w:kern w:val="0"/>
                      <w:sz w:val="18"/>
                      <w:szCs w:val="18"/>
                      <w:lang w:val="de-DE" w:eastAsia="zh-CN" w:bidi="ar-SA"/>
                    </w:rPr>
                    <w:t>厂界南侧敏感点</w:t>
                  </w:r>
                </w:p>
              </w:tc>
              <w:tc>
                <w:tcPr>
                  <w:tcW w:w="390" w:type="pct"/>
                  <w:vMerge w:val="restart"/>
                  <w:vAlign w:val="top"/>
                </w:tcPr>
                <w:p w14:paraId="270E12F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w:t>
                  </w:r>
                </w:p>
              </w:tc>
              <w:tc>
                <w:tcPr>
                  <w:tcW w:w="390" w:type="pct"/>
                  <w:vMerge w:val="restart"/>
                  <w:vAlign w:val="top"/>
                </w:tcPr>
                <w:p w14:paraId="79863A8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-27</w:t>
                  </w:r>
                </w:p>
              </w:tc>
              <w:tc>
                <w:tcPr>
                  <w:tcW w:w="240" w:type="pct"/>
                  <w:vMerge w:val="restart"/>
                  <w:vAlign w:val="top"/>
                </w:tcPr>
                <w:p w14:paraId="34035AA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799621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72CDED2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highlight w:val="none"/>
                      <w:vertAlign w:val="baseline"/>
                      <w:lang w:val="en-US"/>
                    </w:rPr>
                  </w:pPr>
                  <w:r>
                    <w:rPr>
                      <w:rFonts w:hint="eastAsia" w:ascii="宋体" w:hAnsi="宋体" w:cs="宋体"/>
                      <w:color w:val="auto"/>
                      <w:kern w:val="0"/>
                      <w:szCs w:val="21"/>
                      <w:lang w:val="en-US" w:eastAsia="zh-CN"/>
                    </w:rPr>
                    <w:t>57.32</w:t>
                  </w:r>
                </w:p>
              </w:tc>
              <w:tc>
                <w:tcPr>
                  <w:tcW w:w="991" w:type="pct"/>
                </w:tcPr>
                <w:p w14:paraId="5F3CFF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60</w:t>
                  </w:r>
                </w:p>
              </w:tc>
              <w:tc>
                <w:tcPr>
                  <w:tcW w:w="607" w:type="pct"/>
                  <w:vMerge w:val="restart"/>
                </w:tcPr>
                <w:p w14:paraId="69DE24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达标</w:t>
                  </w:r>
                </w:p>
              </w:tc>
            </w:tr>
            <w:tr w14:paraId="1FF4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vAlign w:val="center"/>
                </w:tcPr>
                <w:p w14:paraId="50B8878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6FE151D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05601A8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296C91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3B92252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1CF28A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47.27</w:t>
                  </w:r>
                </w:p>
              </w:tc>
              <w:tc>
                <w:tcPr>
                  <w:tcW w:w="991" w:type="pct"/>
                </w:tcPr>
                <w:p w14:paraId="620F12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50</w:t>
                  </w:r>
                </w:p>
              </w:tc>
              <w:tc>
                <w:tcPr>
                  <w:tcW w:w="607" w:type="pct"/>
                  <w:vMerge w:val="continue"/>
                </w:tcPr>
                <w:p w14:paraId="585B63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25EB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restart"/>
                  <w:vAlign w:val="center"/>
                </w:tcPr>
                <w:p w14:paraId="21626B7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项目</w:t>
                  </w:r>
                  <w:r>
                    <w:rPr>
                      <w:rFonts w:hint="eastAsia" w:ascii="宋体" w:hAnsi="宋体" w:cs="宋体"/>
                      <w:color w:val="auto"/>
                      <w:kern w:val="0"/>
                      <w:sz w:val="18"/>
                      <w:szCs w:val="18"/>
                      <w:lang w:val="de-DE" w:eastAsia="zh-CN" w:bidi="ar-SA"/>
                    </w:rPr>
                    <w:t>厂界西南侧敏感点</w:t>
                  </w:r>
                </w:p>
              </w:tc>
              <w:tc>
                <w:tcPr>
                  <w:tcW w:w="390" w:type="pct"/>
                  <w:vMerge w:val="restart"/>
                  <w:vAlign w:val="top"/>
                </w:tcPr>
                <w:p w14:paraId="20B007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-15</w:t>
                  </w:r>
                </w:p>
              </w:tc>
              <w:tc>
                <w:tcPr>
                  <w:tcW w:w="390" w:type="pct"/>
                  <w:vMerge w:val="restart"/>
                  <w:vAlign w:val="top"/>
                </w:tcPr>
                <w:p w14:paraId="73BD171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-27</w:t>
                  </w:r>
                </w:p>
              </w:tc>
              <w:tc>
                <w:tcPr>
                  <w:tcW w:w="240" w:type="pct"/>
                  <w:vMerge w:val="restart"/>
                  <w:vAlign w:val="top"/>
                </w:tcPr>
                <w:p w14:paraId="17DB8E9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21D6329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09E19F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highlight w:val="none"/>
                      <w:vertAlign w:val="baseline"/>
                      <w:lang w:val="en-US"/>
                    </w:rPr>
                  </w:pPr>
                  <w:r>
                    <w:rPr>
                      <w:rFonts w:hint="eastAsia" w:ascii="宋体" w:hAnsi="宋体" w:cs="宋体"/>
                      <w:color w:val="auto"/>
                      <w:kern w:val="0"/>
                      <w:szCs w:val="21"/>
                      <w:lang w:val="en-US" w:eastAsia="zh-CN"/>
                    </w:rPr>
                    <w:t>63.52</w:t>
                  </w:r>
                </w:p>
              </w:tc>
              <w:tc>
                <w:tcPr>
                  <w:tcW w:w="991" w:type="pct"/>
                </w:tcPr>
                <w:p w14:paraId="08892C5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70</w:t>
                  </w:r>
                </w:p>
              </w:tc>
              <w:tc>
                <w:tcPr>
                  <w:tcW w:w="607" w:type="pct"/>
                  <w:vMerge w:val="restart"/>
                </w:tcPr>
                <w:p w14:paraId="7D57CFB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达标</w:t>
                  </w:r>
                </w:p>
              </w:tc>
            </w:tr>
            <w:tr w14:paraId="5ABC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vAlign w:val="center"/>
                </w:tcPr>
                <w:p w14:paraId="66EF20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040B0D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4A998C5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37A5F8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27653C1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3F8E214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50.12</w:t>
                  </w:r>
                </w:p>
              </w:tc>
              <w:tc>
                <w:tcPr>
                  <w:tcW w:w="991" w:type="pct"/>
                </w:tcPr>
                <w:p w14:paraId="64D21E5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55</w:t>
                  </w:r>
                </w:p>
              </w:tc>
              <w:tc>
                <w:tcPr>
                  <w:tcW w:w="607" w:type="pct"/>
                  <w:vMerge w:val="continue"/>
                </w:tcPr>
                <w:p w14:paraId="114198D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66D6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 w:hRule="atLeast"/>
                <w:jc w:val="center"/>
              </w:trPr>
              <w:tc>
                <w:tcPr>
                  <w:tcW w:w="1075" w:type="pct"/>
                  <w:vMerge w:val="restart"/>
                  <w:vAlign w:val="center"/>
                </w:tcPr>
                <w:p w14:paraId="62B2D5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项目</w:t>
                  </w:r>
                  <w:r>
                    <w:rPr>
                      <w:rFonts w:hint="eastAsia" w:ascii="宋体" w:hAnsi="宋体" w:cs="宋体"/>
                      <w:color w:val="auto"/>
                      <w:kern w:val="0"/>
                      <w:sz w:val="18"/>
                      <w:szCs w:val="18"/>
                      <w:lang w:val="de-DE" w:eastAsia="zh-CN" w:bidi="ar-SA"/>
                    </w:rPr>
                    <w:t>厂界西侧敏感点</w:t>
                  </w:r>
                </w:p>
              </w:tc>
              <w:tc>
                <w:tcPr>
                  <w:tcW w:w="390" w:type="pct"/>
                  <w:vMerge w:val="restart"/>
                  <w:vAlign w:val="top"/>
                </w:tcPr>
                <w:p w14:paraId="195F8C5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-37</w:t>
                  </w:r>
                </w:p>
              </w:tc>
              <w:tc>
                <w:tcPr>
                  <w:tcW w:w="390" w:type="pct"/>
                  <w:vMerge w:val="restart"/>
                  <w:vAlign w:val="top"/>
                </w:tcPr>
                <w:p w14:paraId="149CD3D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w:t>
                  </w:r>
                </w:p>
              </w:tc>
              <w:tc>
                <w:tcPr>
                  <w:tcW w:w="240" w:type="pct"/>
                  <w:vMerge w:val="restart"/>
                  <w:vAlign w:val="top"/>
                </w:tcPr>
                <w:p w14:paraId="4EEC6D0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633245B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2D1F516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highlight w:val="none"/>
                      <w:vertAlign w:val="baseline"/>
                      <w:lang w:val="en-US"/>
                    </w:rPr>
                  </w:pPr>
                  <w:r>
                    <w:rPr>
                      <w:rFonts w:hint="eastAsia" w:ascii="宋体" w:hAnsi="宋体" w:cs="宋体"/>
                      <w:color w:val="auto"/>
                      <w:kern w:val="0"/>
                      <w:szCs w:val="21"/>
                      <w:lang w:val="en-US" w:eastAsia="zh-CN"/>
                    </w:rPr>
                    <w:t>64.12</w:t>
                  </w:r>
                </w:p>
              </w:tc>
              <w:tc>
                <w:tcPr>
                  <w:tcW w:w="991" w:type="pct"/>
                </w:tcPr>
                <w:p w14:paraId="66C5549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70</w:t>
                  </w:r>
                </w:p>
              </w:tc>
              <w:tc>
                <w:tcPr>
                  <w:tcW w:w="607" w:type="pct"/>
                  <w:vMerge w:val="restart"/>
                </w:tcPr>
                <w:p w14:paraId="1EF80D9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达标</w:t>
                  </w:r>
                </w:p>
              </w:tc>
            </w:tr>
            <w:tr w14:paraId="6C71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vAlign w:val="center"/>
                </w:tcPr>
                <w:p w14:paraId="18AC1D6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6241B0D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242F86B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0104A5D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3334737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73ACACA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52.47</w:t>
                  </w:r>
                </w:p>
              </w:tc>
              <w:tc>
                <w:tcPr>
                  <w:tcW w:w="991" w:type="pct"/>
                </w:tcPr>
                <w:p w14:paraId="14ACB5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55</w:t>
                  </w:r>
                </w:p>
              </w:tc>
              <w:tc>
                <w:tcPr>
                  <w:tcW w:w="607" w:type="pct"/>
                  <w:vMerge w:val="continue"/>
                </w:tcPr>
                <w:p w14:paraId="7CC391C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302B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restart"/>
                  <w:vAlign w:val="center"/>
                </w:tcPr>
                <w:p w14:paraId="0F71CD4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项目</w:t>
                  </w:r>
                  <w:r>
                    <w:rPr>
                      <w:rFonts w:hint="eastAsia" w:ascii="宋体" w:hAnsi="宋体" w:cs="宋体"/>
                      <w:color w:val="auto"/>
                      <w:kern w:val="0"/>
                      <w:sz w:val="18"/>
                      <w:szCs w:val="18"/>
                      <w:lang w:val="de-DE" w:eastAsia="zh-CN" w:bidi="ar-SA"/>
                    </w:rPr>
                    <w:t>厂界西北侧敏感点</w:t>
                  </w:r>
                </w:p>
              </w:tc>
              <w:tc>
                <w:tcPr>
                  <w:tcW w:w="390" w:type="pct"/>
                  <w:vMerge w:val="restart"/>
                  <w:vAlign w:val="top"/>
                </w:tcPr>
                <w:p w14:paraId="49270D9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-15</w:t>
                  </w:r>
                </w:p>
              </w:tc>
              <w:tc>
                <w:tcPr>
                  <w:tcW w:w="390" w:type="pct"/>
                  <w:vMerge w:val="restart"/>
                  <w:vAlign w:val="top"/>
                </w:tcPr>
                <w:p w14:paraId="596325C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35</w:t>
                  </w:r>
                </w:p>
              </w:tc>
              <w:tc>
                <w:tcPr>
                  <w:tcW w:w="240" w:type="pct"/>
                  <w:vMerge w:val="restart"/>
                  <w:vAlign w:val="top"/>
                </w:tcPr>
                <w:p w14:paraId="0C6278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7D63D1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7714B9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highlight w:val="none"/>
                      <w:vertAlign w:val="baseline"/>
                      <w:lang w:val="en-US"/>
                    </w:rPr>
                  </w:pPr>
                  <w:r>
                    <w:rPr>
                      <w:rFonts w:hint="eastAsia" w:ascii="宋体" w:hAnsi="宋体" w:cs="宋体"/>
                      <w:color w:val="auto"/>
                      <w:kern w:val="0"/>
                      <w:szCs w:val="21"/>
                      <w:lang w:val="en-US" w:eastAsia="zh-CN"/>
                    </w:rPr>
                    <w:t>65.45</w:t>
                  </w:r>
                </w:p>
              </w:tc>
              <w:tc>
                <w:tcPr>
                  <w:tcW w:w="991" w:type="pct"/>
                </w:tcPr>
                <w:p w14:paraId="6A0CB76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70</w:t>
                  </w:r>
                </w:p>
              </w:tc>
              <w:tc>
                <w:tcPr>
                  <w:tcW w:w="607" w:type="pct"/>
                  <w:vMerge w:val="restart"/>
                </w:tcPr>
                <w:p w14:paraId="6C63F26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达标</w:t>
                  </w:r>
                </w:p>
              </w:tc>
            </w:tr>
            <w:tr w14:paraId="1BC8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vAlign w:val="center"/>
                </w:tcPr>
                <w:p w14:paraId="14B73B1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0E0B786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7DBD543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6A21810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27C0194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4EC43AB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53.44</w:t>
                  </w:r>
                </w:p>
              </w:tc>
              <w:tc>
                <w:tcPr>
                  <w:tcW w:w="991" w:type="pct"/>
                </w:tcPr>
                <w:p w14:paraId="45883B6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55</w:t>
                  </w:r>
                </w:p>
              </w:tc>
              <w:tc>
                <w:tcPr>
                  <w:tcW w:w="607" w:type="pct"/>
                  <w:vMerge w:val="continue"/>
                </w:tcPr>
                <w:p w14:paraId="2D6D803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0C48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restart"/>
                  <w:vAlign w:val="center"/>
                </w:tcPr>
                <w:p w14:paraId="294F8E6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项目</w:t>
                  </w:r>
                  <w:r>
                    <w:rPr>
                      <w:rFonts w:hint="eastAsia" w:ascii="宋体" w:hAnsi="宋体" w:cs="宋体"/>
                      <w:color w:val="auto"/>
                      <w:kern w:val="0"/>
                      <w:sz w:val="18"/>
                      <w:szCs w:val="18"/>
                      <w:lang w:val="de-DE" w:eastAsia="zh-CN" w:bidi="ar-SA"/>
                    </w:rPr>
                    <w:t>厂界北侧敏感点</w:t>
                  </w:r>
                </w:p>
              </w:tc>
              <w:tc>
                <w:tcPr>
                  <w:tcW w:w="390" w:type="pct"/>
                  <w:vMerge w:val="restart"/>
                  <w:vAlign w:val="top"/>
                </w:tcPr>
                <w:p w14:paraId="0112898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w:t>
                  </w:r>
                </w:p>
              </w:tc>
              <w:tc>
                <w:tcPr>
                  <w:tcW w:w="390" w:type="pct"/>
                  <w:vMerge w:val="restart"/>
                  <w:vAlign w:val="top"/>
                </w:tcPr>
                <w:p w14:paraId="5C6C2A6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30</w:t>
                  </w:r>
                </w:p>
              </w:tc>
              <w:tc>
                <w:tcPr>
                  <w:tcW w:w="240" w:type="pct"/>
                  <w:vMerge w:val="restart"/>
                  <w:vAlign w:val="top"/>
                </w:tcPr>
                <w:p w14:paraId="147C368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1</w:t>
                  </w:r>
                </w:p>
              </w:tc>
              <w:tc>
                <w:tcPr>
                  <w:tcW w:w="401" w:type="pct"/>
                  <w:vAlign w:val="top"/>
                </w:tcPr>
                <w:p w14:paraId="5A4857B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昼间</w:t>
                  </w:r>
                </w:p>
              </w:tc>
              <w:tc>
                <w:tcPr>
                  <w:tcW w:w="901" w:type="pct"/>
                  <w:vAlign w:val="center"/>
                </w:tcPr>
                <w:p w14:paraId="443886C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4"/>
                      <w:szCs w:val="24"/>
                      <w:highlight w:val="none"/>
                      <w:vertAlign w:val="baseline"/>
                      <w:lang w:val="en-US"/>
                    </w:rPr>
                  </w:pPr>
                  <w:r>
                    <w:rPr>
                      <w:rFonts w:hint="eastAsia" w:ascii="宋体" w:hAnsi="宋体" w:cs="宋体"/>
                      <w:color w:val="auto"/>
                      <w:kern w:val="0"/>
                      <w:szCs w:val="21"/>
                      <w:lang w:val="en-US" w:eastAsia="zh-CN"/>
                    </w:rPr>
                    <w:t>56.12</w:t>
                  </w:r>
                </w:p>
              </w:tc>
              <w:tc>
                <w:tcPr>
                  <w:tcW w:w="991" w:type="pct"/>
                </w:tcPr>
                <w:p w14:paraId="02BBFB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60</w:t>
                  </w:r>
                </w:p>
              </w:tc>
              <w:tc>
                <w:tcPr>
                  <w:tcW w:w="607" w:type="pct"/>
                  <w:vMerge w:val="restart"/>
                </w:tcPr>
                <w:p w14:paraId="290F0634">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达标</w:t>
                  </w:r>
                </w:p>
              </w:tc>
            </w:tr>
            <w:tr w14:paraId="5535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75" w:type="pct"/>
                  <w:vMerge w:val="continue"/>
                  <w:vAlign w:val="center"/>
                </w:tcPr>
                <w:p w14:paraId="78A6E9C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572A3B2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390" w:type="pct"/>
                  <w:vMerge w:val="continue"/>
                  <w:vAlign w:val="top"/>
                </w:tcPr>
                <w:p w14:paraId="0AC9C7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240" w:type="pct"/>
                  <w:vMerge w:val="continue"/>
                  <w:vAlign w:val="top"/>
                </w:tcPr>
                <w:p w14:paraId="6236527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color w:val="auto"/>
                    </w:rPr>
                  </w:pPr>
                </w:p>
              </w:tc>
              <w:tc>
                <w:tcPr>
                  <w:tcW w:w="401" w:type="pct"/>
                  <w:vAlign w:val="top"/>
                </w:tcPr>
                <w:p w14:paraId="0CE06E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夜间</w:t>
                  </w:r>
                </w:p>
              </w:tc>
              <w:tc>
                <w:tcPr>
                  <w:tcW w:w="901" w:type="pct"/>
                  <w:vAlign w:val="center"/>
                </w:tcPr>
                <w:p w14:paraId="457483F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45.17</w:t>
                  </w:r>
                </w:p>
              </w:tc>
              <w:tc>
                <w:tcPr>
                  <w:tcW w:w="991" w:type="pct"/>
                </w:tcPr>
                <w:p w14:paraId="02A6E22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b w:val="0"/>
                      <w:color w:val="auto"/>
                      <w:sz w:val="21"/>
                      <w:szCs w:val="21"/>
                      <w:highlight w:val="none"/>
                      <w:vertAlign w:val="baseline"/>
                      <w:lang w:val="en-US" w:eastAsia="zh-CN"/>
                    </w:rPr>
                  </w:pPr>
                  <w:r>
                    <w:rPr>
                      <w:rFonts w:hint="eastAsia" w:ascii="宋体" w:hAnsi="宋体" w:eastAsia="宋体" w:cs="宋体"/>
                      <w:b w:val="0"/>
                      <w:color w:val="auto"/>
                      <w:sz w:val="21"/>
                      <w:szCs w:val="21"/>
                      <w:highlight w:val="none"/>
                      <w:vertAlign w:val="baseline"/>
                      <w:lang w:val="en-US" w:eastAsia="zh-CN"/>
                    </w:rPr>
                    <w:t>50</w:t>
                  </w:r>
                </w:p>
              </w:tc>
              <w:tc>
                <w:tcPr>
                  <w:tcW w:w="607" w:type="pct"/>
                  <w:vMerge w:val="continue"/>
                </w:tcPr>
                <w:p w14:paraId="037DB9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p>
              </w:tc>
            </w:tr>
            <w:tr w14:paraId="7185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D818B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1"/>
                      <w:szCs w:val="21"/>
                      <w:highlight w:val="none"/>
                      <w:vertAlign w:val="baseline"/>
                      <w:lang w:val="en-US" w:eastAsia="zh-CN"/>
                    </w:rPr>
                  </w:pPr>
                  <w:r>
                    <w:rPr>
                      <w:rFonts w:hint="eastAsia"/>
                      <w:color w:val="auto"/>
                    </w:rPr>
                    <w:t>注：表中坐标以厂界中心（</w:t>
                  </w:r>
                  <w:r>
                    <w:rPr>
                      <w:rFonts w:hint="eastAsia" w:cs="宋体"/>
                      <w:color w:val="auto"/>
                      <w:szCs w:val="21"/>
                      <w:u w:val="none"/>
                    </w:rPr>
                    <w:t>东经</w:t>
                  </w:r>
                  <w:r>
                    <w:rPr>
                      <w:color w:val="auto"/>
                      <w:szCs w:val="21"/>
                      <w:u w:val="none"/>
                    </w:rPr>
                    <w:t>11</w:t>
                  </w:r>
                  <w:r>
                    <w:rPr>
                      <w:rFonts w:hint="eastAsia"/>
                      <w:color w:val="auto"/>
                      <w:szCs w:val="21"/>
                      <w:u w:val="none"/>
                      <w:lang w:val="en-US" w:eastAsia="zh-CN"/>
                    </w:rPr>
                    <w:t>3</w:t>
                  </w:r>
                  <w:r>
                    <w:rPr>
                      <w:rFonts w:hint="eastAsia" w:cs="宋体"/>
                      <w:color w:val="auto"/>
                      <w:szCs w:val="21"/>
                      <w:u w:val="none"/>
                    </w:rPr>
                    <w:t>度</w:t>
                  </w:r>
                  <w:r>
                    <w:rPr>
                      <w:rFonts w:hint="eastAsia"/>
                      <w:color w:val="auto"/>
                      <w:szCs w:val="21"/>
                      <w:u w:val="none"/>
                      <w:lang w:val="en-US" w:eastAsia="zh-CN"/>
                    </w:rPr>
                    <w:t>36</w:t>
                  </w:r>
                  <w:r>
                    <w:rPr>
                      <w:rFonts w:hint="eastAsia" w:cs="宋体"/>
                      <w:color w:val="auto"/>
                      <w:szCs w:val="21"/>
                      <w:u w:val="none"/>
                    </w:rPr>
                    <w:t>分</w:t>
                  </w:r>
                  <w:r>
                    <w:rPr>
                      <w:rFonts w:hint="eastAsia"/>
                      <w:color w:val="auto"/>
                      <w:szCs w:val="21"/>
                      <w:u w:val="none"/>
                      <w:lang w:val="en-US" w:eastAsia="zh-CN"/>
                    </w:rPr>
                    <w:t>2.526</w:t>
                  </w:r>
                  <w:r>
                    <w:rPr>
                      <w:rFonts w:hint="eastAsia" w:cs="宋体"/>
                      <w:color w:val="auto"/>
                      <w:szCs w:val="21"/>
                      <w:u w:val="none"/>
                    </w:rPr>
                    <w:t>秒，北纬</w:t>
                  </w:r>
                  <w:r>
                    <w:rPr>
                      <w:rFonts w:hint="eastAsia"/>
                      <w:color w:val="auto"/>
                      <w:szCs w:val="21"/>
                      <w:u w:val="none"/>
                      <w:lang w:val="en-US" w:eastAsia="zh-CN"/>
                    </w:rPr>
                    <w:t>26</w:t>
                  </w:r>
                  <w:r>
                    <w:rPr>
                      <w:rFonts w:hint="eastAsia" w:cs="宋体"/>
                      <w:color w:val="auto"/>
                      <w:szCs w:val="21"/>
                      <w:u w:val="none"/>
                    </w:rPr>
                    <w:t>度</w:t>
                  </w:r>
                  <w:r>
                    <w:rPr>
                      <w:rFonts w:hint="eastAsia"/>
                      <w:color w:val="auto"/>
                      <w:szCs w:val="21"/>
                      <w:u w:val="none"/>
                      <w:lang w:val="en-US" w:eastAsia="zh-CN"/>
                    </w:rPr>
                    <w:t>33</w:t>
                  </w:r>
                  <w:r>
                    <w:rPr>
                      <w:rFonts w:hint="eastAsia" w:cs="宋体"/>
                      <w:color w:val="auto"/>
                      <w:szCs w:val="21"/>
                      <w:u w:val="none"/>
                    </w:rPr>
                    <w:t>分</w:t>
                  </w:r>
                  <w:r>
                    <w:rPr>
                      <w:rFonts w:hint="eastAsia"/>
                      <w:color w:val="auto"/>
                      <w:szCs w:val="21"/>
                      <w:u w:val="none"/>
                      <w:lang w:val="en-US" w:eastAsia="zh-CN"/>
                    </w:rPr>
                    <w:t>51.957</w:t>
                  </w:r>
                  <w:r>
                    <w:rPr>
                      <w:rFonts w:hint="eastAsia" w:cs="宋体"/>
                      <w:color w:val="auto"/>
                      <w:szCs w:val="21"/>
                      <w:u w:val="none"/>
                    </w:rPr>
                    <w:t>秒</w:t>
                  </w:r>
                  <w:r>
                    <w:rPr>
                      <w:rFonts w:hint="eastAsia"/>
                      <w:color w:val="auto"/>
                    </w:rPr>
                    <w:t>）为坐标原点，正东向为 X 轴正方向，正北向为 Y 轴正方向。</w:t>
                  </w:r>
                </w:p>
              </w:tc>
            </w:tr>
          </w:tbl>
          <w:p w14:paraId="7F0116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auto"/>
                <w:sz w:val="24"/>
                <w:szCs w:val="24"/>
                <w:highlight w:val="none"/>
              </w:rPr>
            </w:pPr>
          </w:p>
          <w:p w14:paraId="532D6F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u w:val="none" w:color="auto"/>
              </w:rPr>
            </w:pPr>
            <w:r>
              <w:rPr>
                <w:rFonts w:hint="eastAsia" w:ascii="宋体" w:hAnsi="宋体" w:eastAsia="宋体" w:cs="宋体"/>
                <w:b w:val="0"/>
                <w:color w:val="auto"/>
                <w:sz w:val="24"/>
                <w:szCs w:val="24"/>
                <w:highlight w:val="none"/>
              </w:rPr>
              <w:t>为进一步降低噪声对周围环境的影响，应该从声源和传播途径上采取一定的噪声防治措施。为降低噪声源对本项目边界噪声的影响，本项目已</w:t>
            </w:r>
            <w:r>
              <w:rPr>
                <w:rFonts w:ascii="Times New Roman" w:hAnsi="Times New Roman" w:eastAsia="宋体"/>
                <w:color w:val="auto"/>
                <w:sz w:val="24"/>
                <w:szCs w:val="24"/>
                <w:u w:val="none" w:color="auto"/>
              </w:rPr>
              <w:t>采取</w:t>
            </w:r>
            <w:r>
              <w:rPr>
                <w:rFonts w:hint="eastAsia"/>
                <w:color w:val="auto"/>
                <w:sz w:val="24"/>
                <w:szCs w:val="24"/>
                <w:u w:val="none" w:color="auto"/>
                <w:lang w:eastAsia="zh-CN"/>
              </w:rPr>
              <w:t>下列</w:t>
            </w:r>
            <w:r>
              <w:rPr>
                <w:rFonts w:ascii="Times New Roman" w:hAnsi="Times New Roman" w:eastAsia="宋体"/>
                <w:color w:val="auto"/>
                <w:sz w:val="24"/>
                <w:szCs w:val="24"/>
                <w:u w:val="none" w:color="auto"/>
              </w:rPr>
              <w:t>措施：</w:t>
            </w:r>
          </w:p>
          <w:p w14:paraId="5021D47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将空调外机均设置在靠道路的一侧，窗户均采用双层隔音玻璃；</w:t>
            </w:r>
          </w:p>
          <w:p w14:paraId="1A1ED41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设备机房（设备间）采用吸声消声材料处理，所有有振动的设备均设减振基础或吊架，接管设柔性减振接头。</w:t>
            </w:r>
          </w:p>
          <w:p w14:paraId="000144B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对噪声较大的机房拟采用特殊处理以将其与建筑的其他部分隔离，包括采用双层墙夹</w:t>
            </w:r>
            <w:r>
              <w:rPr>
                <w:rFonts w:hint="eastAsia"/>
                <w:color w:val="auto"/>
                <w:sz w:val="24"/>
                <w:szCs w:val="24"/>
                <w:u w:val="none" w:color="auto"/>
                <w:lang w:eastAsia="zh-CN"/>
              </w:rPr>
              <w:t>吸声材料</w:t>
            </w:r>
            <w:r>
              <w:rPr>
                <w:rFonts w:ascii="Times New Roman" w:hAnsi="Times New Roman" w:eastAsia="宋体"/>
                <w:color w:val="auto"/>
                <w:sz w:val="24"/>
                <w:szCs w:val="24"/>
                <w:u w:val="none" w:color="auto"/>
              </w:rPr>
              <w:t>、双道门等。</w:t>
            </w:r>
          </w:p>
          <w:p w14:paraId="70DF4EC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设置封闭</w:t>
            </w:r>
            <w:r>
              <w:rPr>
                <w:rFonts w:hint="eastAsia"/>
                <w:color w:val="auto"/>
                <w:sz w:val="24"/>
                <w:szCs w:val="24"/>
                <w:u w:val="none" w:color="auto"/>
                <w:lang w:eastAsia="zh-CN"/>
              </w:rPr>
              <w:t>地</w:t>
            </w:r>
            <w:r>
              <w:rPr>
                <w:rFonts w:ascii="Times New Roman" w:hAnsi="Times New Roman" w:eastAsia="宋体"/>
                <w:color w:val="auto"/>
                <w:sz w:val="24"/>
                <w:szCs w:val="24"/>
                <w:u w:val="none" w:color="auto"/>
              </w:rPr>
              <w:t>对风机、水泵等高噪声设备进行基础隔声处理。</w:t>
            </w:r>
          </w:p>
          <w:p w14:paraId="4859B45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color w:val="auto"/>
              </w:rPr>
            </w:pPr>
            <w:r>
              <w:rPr>
                <w:rFonts w:ascii="Times New Roman" w:hAnsi="Times New Roman" w:eastAsia="宋体"/>
                <w:color w:val="auto"/>
                <w:sz w:val="24"/>
                <w:szCs w:val="24"/>
                <w:u w:val="none" w:color="auto"/>
              </w:rPr>
              <w:t>社会生活噪声采取加强管理，强化医护人员及病人意识。</w:t>
            </w:r>
          </w:p>
          <w:p w14:paraId="449E45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olor w:val="auto"/>
                <w:sz w:val="24"/>
                <w:szCs w:val="24"/>
                <w:u w:val="none" w:color="auto"/>
              </w:rPr>
            </w:pPr>
            <w:r>
              <w:rPr>
                <w:rFonts w:hint="eastAsia"/>
                <w:color w:val="auto"/>
                <w:sz w:val="24"/>
                <w:szCs w:val="24"/>
                <w:u w:val="none" w:color="auto"/>
                <w:lang w:val="en-US" w:eastAsia="zh-CN"/>
              </w:rPr>
              <w:t>综上</w:t>
            </w:r>
            <w:r>
              <w:rPr>
                <w:rFonts w:ascii="Times New Roman" w:hAnsi="Times New Roman" w:eastAsia="宋体"/>
                <w:color w:val="auto"/>
                <w:sz w:val="24"/>
                <w:szCs w:val="24"/>
                <w:u w:val="none" w:color="auto"/>
              </w:rPr>
              <w:t>厂界噪声能满足《工业企业厂界环境噪声排放标准》（GB12348-2008）中的2类标准限值要求，</w:t>
            </w:r>
            <w:r>
              <w:rPr>
                <w:rFonts w:ascii="Times New Roman" w:hAnsi="Times New Roman" w:eastAsia="宋体"/>
                <w:color w:val="auto"/>
                <w:sz w:val="24"/>
                <w:szCs w:val="24"/>
              </w:rPr>
              <w:t>周边居民</w:t>
            </w:r>
            <w:r>
              <w:rPr>
                <w:rFonts w:hint="eastAsia"/>
                <w:color w:val="auto"/>
                <w:sz w:val="24"/>
                <w:szCs w:val="24"/>
                <w:lang w:val="en-US" w:eastAsia="zh-CN"/>
              </w:rPr>
              <w:t>均</w:t>
            </w:r>
            <w:r>
              <w:rPr>
                <w:rFonts w:ascii="Times New Roman" w:hAnsi="Times New Roman" w:eastAsia="宋体"/>
                <w:color w:val="auto"/>
                <w:sz w:val="24"/>
                <w:szCs w:val="24"/>
              </w:rPr>
              <w:t>能满足《声环境质量标准》（GB3096-2008）中2类标准要求。</w:t>
            </w:r>
            <w:r>
              <w:rPr>
                <w:rFonts w:hint="eastAsia"/>
                <w:color w:val="auto"/>
                <w:sz w:val="24"/>
                <w:szCs w:val="24"/>
                <w:lang w:val="en-US" w:eastAsia="zh-CN"/>
              </w:rPr>
              <w:t>西侧</w:t>
            </w:r>
            <w:r>
              <w:rPr>
                <w:rFonts w:ascii="Times New Roman" w:hAnsi="Times New Roman" w:eastAsia="宋体"/>
                <w:color w:val="auto"/>
                <w:sz w:val="24"/>
                <w:szCs w:val="24"/>
              </w:rPr>
              <w:t>厂界噪</w:t>
            </w:r>
            <w:r>
              <w:rPr>
                <w:rFonts w:hint="eastAsia"/>
                <w:color w:val="auto"/>
                <w:sz w:val="24"/>
                <w:szCs w:val="24"/>
                <w:lang w:val="en-US" w:eastAsia="zh-CN"/>
              </w:rPr>
              <w:t>声，周边居民均能满足</w:t>
            </w:r>
            <w:r>
              <w:rPr>
                <w:rFonts w:hint="eastAsia" w:ascii="Times New Roman" w:hAnsi="Times New Roman" w:eastAsia="宋体"/>
                <w:color w:val="auto"/>
                <w:sz w:val="24"/>
                <w:szCs w:val="24"/>
              </w:rPr>
              <w:t>《声环境质量标准》GB 3096－2008</w:t>
            </w:r>
            <w:r>
              <w:rPr>
                <w:rFonts w:hint="eastAsia" w:ascii="Times New Roman" w:hAnsi="Times New Roman" w:eastAsia="宋体"/>
                <w:color w:val="auto"/>
                <w:sz w:val="24"/>
                <w:szCs w:val="24"/>
                <w:lang w:eastAsia="zh-CN"/>
              </w:rPr>
              <w:t>表</w:t>
            </w: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lang w:eastAsia="zh-CN"/>
              </w:rPr>
              <w:t>中</w:t>
            </w:r>
            <w:r>
              <w:rPr>
                <w:rFonts w:hint="eastAsia" w:ascii="Times New Roman" w:hAnsi="Times New Roman" w:eastAsia="宋体"/>
                <w:color w:val="auto"/>
                <w:sz w:val="24"/>
                <w:szCs w:val="24"/>
                <w:lang w:val="en-US" w:eastAsia="zh-CN"/>
              </w:rPr>
              <w:t>4a</w:t>
            </w:r>
            <w:r>
              <w:rPr>
                <w:rFonts w:hint="eastAsia" w:ascii="Times New Roman" w:hAnsi="Times New Roman" w:eastAsia="宋体"/>
                <w:color w:val="auto"/>
                <w:sz w:val="24"/>
                <w:szCs w:val="24"/>
              </w:rPr>
              <w:t>类标准</w:t>
            </w:r>
            <w:r>
              <w:rPr>
                <w:rFonts w:hint="eastAsia" w:eastAsia="宋体"/>
                <w:color w:val="auto"/>
                <w:sz w:val="24"/>
                <w:szCs w:val="24"/>
                <w:lang w:eastAsia="zh-CN"/>
              </w:rPr>
              <w:t>。</w:t>
            </w:r>
          </w:p>
          <w:p w14:paraId="3DA49C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auto"/>
                <w:sz w:val="24"/>
                <w:szCs w:val="24"/>
                <w:u w:val="none" w:color="auto"/>
                <w:lang w:val="en-US"/>
              </w:rPr>
            </w:pPr>
            <w:r>
              <w:rPr>
                <w:rFonts w:hint="eastAsia" w:ascii="Times New Roman" w:hAnsi="Times New Roman" w:eastAsia="宋体"/>
                <w:color w:val="auto"/>
                <w:sz w:val="24"/>
                <w:szCs w:val="24"/>
                <w:u w:val="none" w:color="auto"/>
                <w:lang w:eastAsia="zh-CN"/>
              </w:rPr>
              <w:t>（</w:t>
            </w:r>
            <w:r>
              <w:rPr>
                <w:rFonts w:hint="eastAsia" w:ascii="Times New Roman" w:hAnsi="Times New Roman" w:eastAsia="宋体"/>
                <w:color w:val="auto"/>
                <w:sz w:val="24"/>
                <w:szCs w:val="24"/>
                <w:u w:val="none" w:color="auto"/>
                <w:lang w:val="en-US" w:eastAsia="zh-CN"/>
              </w:rPr>
              <w:t>3</w:t>
            </w:r>
            <w:r>
              <w:rPr>
                <w:rFonts w:hint="eastAsia" w:ascii="Times New Roman" w:hAnsi="Times New Roman" w:eastAsia="宋体"/>
                <w:color w:val="auto"/>
                <w:sz w:val="24"/>
                <w:szCs w:val="24"/>
                <w:u w:val="none" w:color="auto"/>
                <w:lang w:eastAsia="zh-CN"/>
              </w:rPr>
              <w:t>）噪声污染防治的可行性分析</w:t>
            </w:r>
          </w:p>
          <w:p w14:paraId="27618A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综上所述，在项目选择低噪型设备、合理布局、将高噪声设备置于室内并尽可能远离附近居民点，并采取适当的隔声降噪措施后，可以确保营运期机器设备运转噪声厂界可达《工业企业厂界环境噪声排放标准》（GB12348-2008）2类标准要求。对周围环境影响较小。</w:t>
            </w:r>
          </w:p>
          <w:p w14:paraId="22B8DE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olor w:val="auto"/>
                <w:sz w:val="24"/>
                <w:szCs w:val="24"/>
                <w:highlight w:val="none"/>
                <w:u w:val="none" w:color="auto"/>
                <w:lang w:eastAsia="zh-CN"/>
              </w:rPr>
            </w:pPr>
            <w:r>
              <w:rPr>
                <w:rFonts w:hint="eastAsia" w:ascii="Times New Roman" w:hAnsi="Times New Roman" w:eastAsia="宋体" w:cs="Times New Roman"/>
                <w:color w:val="auto"/>
                <w:kern w:val="2"/>
                <w:sz w:val="24"/>
                <w:szCs w:val="24"/>
                <w:u w:val="none" w:color="auto"/>
                <w:lang w:val="en-US" w:eastAsia="zh-CN" w:bidi="ar-SA"/>
              </w:rPr>
              <w:t>（4）</w:t>
            </w:r>
            <w:r>
              <w:rPr>
                <w:rFonts w:hint="eastAsia" w:ascii="Times New Roman" w:hAnsi="Times New Roman" w:eastAsia="宋体"/>
                <w:color w:val="auto"/>
                <w:sz w:val="24"/>
                <w:szCs w:val="24"/>
                <w:highlight w:val="none"/>
                <w:u w:val="none" w:color="auto"/>
                <w:lang w:eastAsia="zh-CN"/>
              </w:rPr>
              <w:t>监测要求</w:t>
            </w:r>
          </w:p>
          <w:p w14:paraId="741B9FC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color w:val="auto"/>
                <w:sz w:val="24"/>
                <w:szCs w:val="24"/>
                <w:highlight w:val="none"/>
                <w:u w:val="none" w:color="auto"/>
                <w:lang w:val="en-US" w:eastAsia="zh-CN"/>
              </w:rPr>
            </w:pPr>
            <w:r>
              <w:rPr>
                <w:rFonts w:hint="eastAsia" w:ascii="Times New Roman" w:hAnsi="Times New Roman" w:eastAsia="宋体" w:cs="Times New Roman"/>
                <w:b/>
                <w:bCs/>
                <w:color w:val="auto"/>
                <w:sz w:val="21"/>
                <w:szCs w:val="21"/>
                <w:highlight w:val="none"/>
                <w:lang w:val="en-US" w:eastAsia="zh-CN"/>
              </w:rPr>
              <w:t>表4-</w:t>
            </w:r>
            <w:r>
              <w:rPr>
                <w:rFonts w:hint="eastAsia" w:cs="Times New Roman"/>
                <w:b/>
                <w:bCs/>
                <w:color w:val="auto"/>
                <w:sz w:val="21"/>
                <w:szCs w:val="21"/>
                <w:highlight w:val="none"/>
                <w:lang w:val="en-US" w:eastAsia="zh-CN"/>
              </w:rPr>
              <w:t>13</w:t>
            </w:r>
            <w:r>
              <w:rPr>
                <w:rFonts w:hint="eastAsia"/>
                <w:color w:val="auto"/>
                <w:sz w:val="24"/>
                <w:szCs w:val="24"/>
                <w:highlight w:val="none"/>
                <w:u w:val="none" w:color="auto"/>
                <w:lang w:val="en-US" w:eastAsia="zh-CN"/>
              </w:rPr>
              <w:t xml:space="preserve"> </w:t>
            </w:r>
            <w:r>
              <w:rPr>
                <w:rFonts w:hint="eastAsia" w:ascii="Times New Roman" w:hAnsi="Times New Roman" w:eastAsia="宋体"/>
                <w:b/>
                <w:bCs/>
                <w:color w:val="auto"/>
                <w:sz w:val="21"/>
                <w:szCs w:val="21"/>
                <w:highlight w:val="none"/>
                <w:u w:val="none" w:color="auto"/>
                <w:lang w:val="en-US" w:eastAsia="zh-CN"/>
              </w:rPr>
              <w:t>项目废</w:t>
            </w:r>
            <w:r>
              <w:rPr>
                <w:rFonts w:hint="eastAsia"/>
                <w:b/>
                <w:bCs/>
                <w:color w:val="auto"/>
                <w:sz w:val="21"/>
                <w:szCs w:val="21"/>
                <w:highlight w:val="none"/>
                <w:u w:val="none" w:color="auto"/>
                <w:lang w:val="en-US" w:eastAsia="zh-CN"/>
              </w:rPr>
              <w:t>气</w:t>
            </w:r>
            <w:r>
              <w:rPr>
                <w:rFonts w:hint="eastAsia" w:ascii="Times New Roman" w:hAnsi="Times New Roman" w:eastAsia="宋体"/>
                <w:b/>
                <w:bCs/>
                <w:color w:val="auto"/>
                <w:sz w:val="21"/>
                <w:szCs w:val="21"/>
                <w:highlight w:val="none"/>
                <w:u w:val="none" w:color="auto"/>
                <w:lang w:val="en-US" w:eastAsia="zh-CN"/>
              </w:rPr>
              <w:t>监测计划及记录信息表</w:t>
            </w:r>
          </w:p>
          <w:tbl>
            <w:tblPr>
              <w:tblStyle w:val="17"/>
              <w:tblW w:w="7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2625"/>
              <w:gridCol w:w="1884"/>
              <w:gridCol w:w="1884"/>
            </w:tblGrid>
            <w:tr w14:paraId="5FC2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14:paraId="424FE8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类别</w:t>
                  </w:r>
                </w:p>
              </w:tc>
              <w:tc>
                <w:tcPr>
                  <w:tcW w:w="2625" w:type="dxa"/>
                  <w:vAlign w:val="center"/>
                </w:tcPr>
                <w:p w14:paraId="775CDD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监测点位置</w:t>
                  </w:r>
                </w:p>
              </w:tc>
              <w:tc>
                <w:tcPr>
                  <w:tcW w:w="1884" w:type="dxa"/>
                  <w:vAlign w:val="center"/>
                </w:tcPr>
                <w:p w14:paraId="265889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监测项目</w:t>
                  </w:r>
                </w:p>
              </w:tc>
              <w:tc>
                <w:tcPr>
                  <w:tcW w:w="1884" w:type="dxa"/>
                  <w:vAlign w:val="center"/>
                </w:tcPr>
                <w:p w14:paraId="5F1000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监测频次</w:t>
                  </w:r>
                </w:p>
              </w:tc>
            </w:tr>
            <w:tr w14:paraId="0F86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14:paraId="315F14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噪声</w:t>
                  </w:r>
                </w:p>
              </w:tc>
              <w:tc>
                <w:tcPr>
                  <w:tcW w:w="2625" w:type="dxa"/>
                  <w:vAlign w:val="center"/>
                </w:tcPr>
                <w:p w14:paraId="3DD9BD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厂界四周外1m处</w:t>
                  </w:r>
                </w:p>
              </w:tc>
              <w:tc>
                <w:tcPr>
                  <w:tcW w:w="1884" w:type="dxa"/>
                  <w:vAlign w:val="center"/>
                </w:tcPr>
                <w:p w14:paraId="3F102D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olor w:val="auto"/>
                      <w:sz w:val="21"/>
                      <w:szCs w:val="21"/>
                      <w:u w:val="none" w:color="auto"/>
                    </w:rPr>
                  </w:pPr>
                  <w:r>
                    <w:rPr>
                      <w:rFonts w:ascii="Times New Roman" w:hAnsi="Times New Roman" w:eastAsia="宋体"/>
                      <w:color w:val="auto"/>
                      <w:sz w:val="21"/>
                      <w:szCs w:val="21"/>
                      <w:u w:val="none" w:color="auto"/>
                    </w:rPr>
                    <w:t>厂界噪声</w:t>
                  </w:r>
                </w:p>
              </w:tc>
              <w:tc>
                <w:tcPr>
                  <w:tcW w:w="1884" w:type="dxa"/>
                  <w:vAlign w:val="center"/>
                </w:tcPr>
                <w:p w14:paraId="2ACDE9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lang w:eastAsia="zh-CN"/>
                    </w:rPr>
                  </w:pPr>
                  <w:r>
                    <w:rPr>
                      <w:rFonts w:hint="eastAsia" w:cs="Times New Roman"/>
                      <w:color w:val="auto"/>
                      <w:kern w:val="0"/>
                      <w:sz w:val="21"/>
                      <w:szCs w:val="21"/>
                      <w:lang w:val="en-US" w:eastAsia="zh-CN" w:bidi="ar"/>
                    </w:rPr>
                    <w:t>1次/年</w:t>
                  </w:r>
                </w:p>
              </w:tc>
            </w:tr>
          </w:tbl>
          <w:p w14:paraId="06FA05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（5）项目噪声检测结果</w:t>
            </w:r>
          </w:p>
          <w:p w14:paraId="522D0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both"/>
              <w:textAlignment w:val="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项目区内主要的噪声污染源主要为水泵、抽排风噪声等设备噪声及来往医院的人群产生的社会噪声。</w:t>
            </w:r>
            <w:r>
              <w:rPr>
                <w:rFonts w:hint="eastAsia" w:ascii="宋体" w:hAnsi="宋体" w:eastAsia="宋体" w:cs="宋体"/>
                <w:color w:val="auto"/>
                <w:sz w:val="24"/>
                <w:szCs w:val="24"/>
                <w:highlight w:val="none"/>
              </w:rPr>
              <w:t>本次委托</w:t>
            </w:r>
            <w:r>
              <w:rPr>
                <w:rFonts w:hint="eastAsia" w:ascii="宋体" w:hAnsi="宋体" w:eastAsia="宋体" w:cs="宋体"/>
                <w:b w:val="0"/>
                <w:color w:val="auto"/>
                <w:sz w:val="24"/>
                <w:szCs w:val="24"/>
                <w:highlight w:val="none"/>
              </w:rPr>
              <w:t>精威检测（湖南）有限公司</w:t>
            </w:r>
            <w:r>
              <w:rPr>
                <w:rFonts w:hint="eastAsia" w:ascii="宋体" w:hAnsi="宋体" w:eastAsia="宋体" w:cs="宋体"/>
                <w:color w:val="auto"/>
                <w:sz w:val="24"/>
                <w:szCs w:val="24"/>
                <w:highlight w:val="none"/>
              </w:rPr>
              <w:t>于</w:t>
            </w:r>
            <w:r>
              <w:rPr>
                <w:rFonts w:hint="eastAsia" w:eastAsia="宋体"/>
                <w:color w:val="auto"/>
                <w:sz w:val="24"/>
                <w:szCs w:val="24"/>
                <w:highlight w:val="none"/>
                <w:lang w:val="en-US" w:eastAsia="zh-CN"/>
              </w:rPr>
              <w:t>2024年7月1日-7月2日</w:t>
            </w:r>
            <w:r>
              <w:rPr>
                <w:rFonts w:ascii="Times New Roman" w:hAnsi="Times New Roman" w:eastAsia="宋体"/>
                <w:color w:val="auto"/>
                <w:sz w:val="24"/>
                <w:szCs w:val="24"/>
                <w:highlight w:val="none"/>
              </w:rPr>
              <w:t>对厂界噪声进行现状监测，监测结果见表</w:t>
            </w:r>
            <w:r>
              <w:rPr>
                <w:rFonts w:hint="eastAsia" w:eastAsia="宋体"/>
                <w:color w:val="auto"/>
                <w:sz w:val="24"/>
                <w:szCs w:val="24"/>
                <w:highlight w:val="none"/>
                <w:lang w:val="en-US" w:eastAsia="zh-CN"/>
              </w:rPr>
              <w:t>4</w:t>
            </w:r>
            <w:r>
              <w:rPr>
                <w:rFonts w:ascii="Times New Roman" w:hAnsi="Times New Roman" w:eastAsia="宋体"/>
                <w:color w:val="auto"/>
                <w:sz w:val="24"/>
                <w:szCs w:val="24"/>
                <w:highlight w:val="none"/>
              </w:rPr>
              <w:t>-</w:t>
            </w:r>
            <w:r>
              <w:rPr>
                <w:rFonts w:hint="eastAsia"/>
                <w:color w:val="auto"/>
                <w:sz w:val="24"/>
                <w:szCs w:val="24"/>
                <w:highlight w:val="none"/>
                <w:lang w:val="en-US" w:eastAsia="zh-CN"/>
              </w:rPr>
              <w:t>14，噪声监测点位图见附图3</w:t>
            </w:r>
            <w:r>
              <w:rPr>
                <w:rFonts w:ascii="Times New Roman" w:hAnsi="Times New Roman" w:eastAsia="宋体"/>
                <w:color w:val="auto"/>
                <w:sz w:val="24"/>
                <w:szCs w:val="24"/>
                <w:highlight w:val="none"/>
              </w:rPr>
              <w:t>。</w:t>
            </w:r>
          </w:p>
          <w:p w14:paraId="241F02D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eastAsia="宋体"/>
                <w:b/>
                <w:bCs/>
                <w:color w:val="auto"/>
                <w:sz w:val="21"/>
                <w:szCs w:val="21"/>
                <w:lang w:val="en-US" w:eastAsia="zh-CN"/>
              </w:rPr>
              <w:t>4</w:t>
            </w:r>
            <w:r>
              <w:rPr>
                <w:rFonts w:ascii="Times New Roman" w:hAnsi="Times New Roman" w:eastAsia="宋体"/>
                <w:b/>
                <w:bCs/>
                <w:color w:val="auto"/>
                <w:sz w:val="21"/>
                <w:szCs w:val="21"/>
              </w:rPr>
              <w:t>-</w:t>
            </w:r>
            <w:r>
              <w:rPr>
                <w:rFonts w:hint="eastAsia"/>
                <w:b/>
                <w:bCs/>
                <w:color w:val="auto"/>
                <w:sz w:val="21"/>
                <w:szCs w:val="21"/>
                <w:lang w:val="en-US" w:eastAsia="zh-CN"/>
              </w:rPr>
              <w:t>14</w:t>
            </w:r>
            <w:r>
              <w:rPr>
                <w:rFonts w:ascii="Times New Roman" w:hAnsi="Times New Roman" w:eastAsia="宋体"/>
                <w:b/>
                <w:bCs/>
                <w:color w:val="auto"/>
                <w:sz w:val="21"/>
                <w:szCs w:val="21"/>
              </w:rPr>
              <w:t xml:space="preserve"> 噪声检测结果</w:t>
            </w:r>
          </w:p>
          <w:tbl>
            <w:tblPr>
              <w:tblStyle w:val="16"/>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1111"/>
              <w:gridCol w:w="3513"/>
              <w:gridCol w:w="1488"/>
              <w:gridCol w:w="1489"/>
            </w:tblGrid>
            <w:tr w14:paraId="6E4C6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0" w:type="auto"/>
                  <w:vMerge w:val="restart"/>
                  <w:vAlign w:val="center"/>
                </w:tcPr>
                <w:p w14:paraId="1B0FD4B2">
                  <w:pPr>
                    <w:spacing w:line="400" w:lineRule="exact"/>
                    <w:jc w:val="center"/>
                    <w:rPr>
                      <w:rFonts w:hint="eastAsia"/>
                      <w:b/>
                      <w:color w:val="auto"/>
                      <w:sz w:val="21"/>
                      <w:szCs w:val="21"/>
                    </w:rPr>
                  </w:pPr>
                  <w:r>
                    <w:rPr>
                      <w:rFonts w:hint="eastAsia"/>
                      <w:b/>
                      <w:color w:val="auto"/>
                      <w:sz w:val="21"/>
                      <w:szCs w:val="21"/>
                    </w:rPr>
                    <w:t>采样</w:t>
                  </w:r>
                </w:p>
                <w:p w14:paraId="3CBCA8B2">
                  <w:pPr>
                    <w:spacing w:line="400" w:lineRule="exact"/>
                    <w:jc w:val="center"/>
                    <w:rPr>
                      <w:rFonts w:hint="eastAsia" w:ascii="Times New Roman" w:hAnsi="Times New Roman" w:eastAsia="宋体" w:cs="Times New Roman"/>
                      <w:b/>
                      <w:color w:val="auto"/>
                      <w:kern w:val="2"/>
                      <w:sz w:val="21"/>
                      <w:szCs w:val="21"/>
                      <w:lang w:val="en-US" w:eastAsia="zh-CN" w:bidi="ar-SA"/>
                    </w:rPr>
                  </w:pPr>
                  <w:r>
                    <w:rPr>
                      <w:rFonts w:hint="eastAsia"/>
                      <w:b/>
                      <w:color w:val="auto"/>
                      <w:sz w:val="21"/>
                      <w:szCs w:val="21"/>
                    </w:rPr>
                    <w:t>时间</w:t>
                  </w:r>
                </w:p>
              </w:tc>
              <w:tc>
                <w:tcPr>
                  <w:tcW w:w="0" w:type="auto"/>
                  <w:vMerge w:val="restart"/>
                  <w:vAlign w:val="center"/>
                </w:tcPr>
                <w:p w14:paraId="0C5328F8">
                  <w:pPr>
                    <w:spacing w:line="400" w:lineRule="exact"/>
                    <w:jc w:val="center"/>
                    <w:rPr>
                      <w:rFonts w:hint="eastAsia" w:ascii="Times New Roman" w:hAnsi="Times New Roman" w:eastAsia="宋体" w:cs="Times New Roman"/>
                      <w:b/>
                      <w:color w:val="auto"/>
                      <w:kern w:val="2"/>
                      <w:sz w:val="21"/>
                      <w:szCs w:val="21"/>
                      <w:lang w:val="en-US" w:eastAsia="zh-CN" w:bidi="ar-SA"/>
                    </w:rPr>
                  </w:pPr>
                  <w:r>
                    <w:rPr>
                      <w:rFonts w:hint="eastAsia" w:cs="Times New Roman"/>
                      <w:b/>
                      <w:color w:val="auto"/>
                      <w:kern w:val="2"/>
                      <w:sz w:val="21"/>
                      <w:szCs w:val="21"/>
                      <w:lang w:val="en-US" w:eastAsia="zh-CN" w:bidi="ar-SA"/>
                    </w:rPr>
                    <w:t>编号</w:t>
                  </w:r>
                </w:p>
              </w:tc>
              <w:tc>
                <w:tcPr>
                  <w:tcW w:w="0" w:type="auto"/>
                  <w:vMerge w:val="restart"/>
                  <w:vAlign w:val="center"/>
                </w:tcPr>
                <w:p w14:paraId="7E1BBB85">
                  <w:pPr>
                    <w:spacing w:line="400" w:lineRule="exact"/>
                    <w:jc w:val="center"/>
                    <w:rPr>
                      <w:b/>
                      <w:color w:val="auto"/>
                      <w:sz w:val="21"/>
                      <w:szCs w:val="21"/>
                    </w:rPr>
                  </w:pPr>
                  <w:r>
                    <w:rPr>
                      <w:b/>
                      <w:color w:val="auto"/>
                      <w:sz w:val="21"/>
                      <w:szCs w:val="21"/>
                    </w:rPr>
                    <w:t>检测点位</w:t>
                  </w:r>
                </w:p>
              </w:tc>
              <w:tc>
                <w:tcPr>
                  <w:tcW w:w="0" w:type="auto"/>
                  <w:gridSpan w:val="2"/>
                  <w:vAlign w:val="center"/>
                </w:tcPr>
                <w:p w14:paraId="3AF5A3DE">
                  <w:pPr>
                    <w:spacing w:line="400" w:lineRule="exact"/>
                    <w:jc w:val="center"/>
                    <w:rPr>
                      <w:rFonts w:hint="eastAsia" w:ascii="Times New Roman" w:hAnsi="Times New Roman" w:eastAsia="宋体" w:cs="Times New Roman"/>
                      <w:b/>
                      <w:color w:val="auto"/>
                      <w:kern w:val="2"/>
                      <w:sz w:val="21"/>
                      <w:szCs w:val="21"/>
                      <w:lang w:val="en-US" w:eastAsia="zh-CN" w:bidi="ar-SA"/>
                    </w:rPr>
                  </w:pPr>
                  <w:r>
                    <w:rPr>
                      <w:b/>
                      <w:color w:val="auto"/>
                      <w:sz w:val="21"/>
                      <w:szCs w:val="21"/>
                    </w:rPr>
                    <w:t>检测项目</w:t>
                  </w:r>
                  <w:r>
                    <w:rPr>
                      <w:rFonts w:hint="eastAsia"/>
                      <w:b/>
                      <w:color w:val="auto"/>
                      <w:sz w:val="21"/>
                      <w:szCs w:val="21"/>
                      <w:lang w:eastAsia="zh-CN"/>
                    </w:rPr>
                    <w:t>及</w:t>
                  </w:r>
                  <w:r>
                    <w:rPr>
                      <w:b/>
                      <w:color w:val="auto"/>
                      <w:sz w:val="21"/>
                      <w:szCs w:val="21"/>
                    </w:rPr>
                    <w:t>结果</w:t>
                  </w:r>
                </w:p>
              </w:tc>
            </w:tr>
            <w:tr w14:paraId="23CA6A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0" w:type="auto"/>
                  <w:vMerge w:val="continue"/>
                  <w:vAlign w:val="center"/>
                </w:tcPr>
                <w:p w14:paraId="522FC166">
                  <w:pPr>
                    <w:spacing w:line="400" w:lineRule="exact"/>
                    <w:jc w:val="center"/>
                    <w:rPr>
                      <w:rFonts w:hint="eastAsia"/>
                      <w:b/>
                      <w:color w:val="auto"/>
                      <w:sz w:val="21"/>
                      <w:szCs w:val="21"/>
                    </w:rPr>
                  </w:pPr>
                </w:p>
              </w:tc>
              <w:tc>
                <w:tcPr>
                  <w:tcW w:w="0" w:type="auto"/>
                  <w:vMerge w:val="continue"/>
                  <w:vAlign w:val="center"/>
                </w:tcPr>
                <w:p w14:paraId="52E9DECD">
                  <w:pPr>
                    <w:spacing w:line="400" w:lineRule="exact"/>
                    <w:jc w:val="center"/>
                    <w:rPr>
                      <w:rFonts w:hint="eastAsia" w:cs="Times New Roman"/>
                      <w:b/>
                      <w:color w:val="auto"/>
                      <w:kern w:val="2"/>
                      <w:sz w:val="21"/>
                      <w:szCs w:val="21"/>
                      <w:lang w:val="en-US" w:eastAsia="zh-CN" w:bidi="ar-SA"/>
                    </w:rPr>
                  </w:pPr>
                </w:p>
              </w:tc>
              <w:tc>
                <w:tcPr>
                  <w:tcW w:w="0" w:type="auto"/>
                  <w:vMerge w:val="continue"/>
                  <w:vAlign w:val="center"/>
                </w:tcPr>
                <w:p w14:paraId="4A5F32DF">
                  <w:pPr>
                    <w:spacing w:line="400" w:lineRule="exact"/>
                    <w:jc w:val="center"/>
                    <w:rPr>
                      <w:b/>
                      <w:color w:val="auto"/>
                      <w:sz w:val="21"/>
                      <w:szCs w:val="21"/>
                    </w:rPr>
                  </w:pPr>
                </w:p>
              </w:tc>
              <w:tc>
                <w:tcPr>
                  <w:tcW w:w="0" w:type="auto"/>
                  <w:gridSpan w:val="2"/>
                  <w:vAlign w:val="center"/>
                </w:tcPr>
                <w:p w14:paraId="6D6C094F">
                  <w:pPr>
                    <w:spacing w:line="400" w:lineRule="exact"/>
                    <w:jc w:val="center"/>
                    <w:rPr>
                      <w:b/>
                      <w:color w:val="auto"/>
                      <w:sz w:val="21"/>
                      <w:szCs w:val="21"/>
                    </w:rPr>
                  </w:pPr>
                  <w:r>
                    <w:rPr>
                      <w:rFonts w:hint="eastAsia"/>
                      <w:b/>
                      <w:color w:val="auto"/>
                      <w:sz w:val="21"/>
                      <w:szCs w:val="21"/>
                      <w:lang w:eastAsia="zh-CN"/>
                    </w:rPr>
                    <w:t>环境噪声</w:t>
                  </w:r>
                </w:p>
              </w:tc>
            </w:tr>
            <w:tr w14:paraId="308FDF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0" w:type="auto"/>
                  <w:vMerge w:val="continue"/>
                  <w:vAlign w:val="center"/>
                </w:tcPr>
                <w:p w14:paraId="629E7A3A">
                  <w:pPr>
                    <w:spacing w:line="400" w:lineRule="exact"/>
                    <w:jc w:val="center"/>
                    <w:rPr>
                      <w:rFonts w:hint="eastAsia" w:ascii="Times New Roman" w:hAnsi="Times New Roman" w:eastAsia="宋体" w:cs="Times New Roman"/>
                      <w:color w:val="auto"/>
                      <w:kern w:val="2"/>
                      <w:sz w:val="21"/>
                      <w:szCs w:val="21"/>
                      <w:lang w:val="en-US" w:eastAsia="zh-CN" w:bidi="ar-SA"/>
                    </w:rPr>
                  </w:pPr>
                </w:p>
              </w:tc>
              <w:tc>
                <w:tcPr>
                  <w:tcW w:w="0" w:type="auto"/>
                  <w:vMerge w:val="continue"/>
                  <w:vAlign w:val="center"/>
                </w:tcPr>
                <w:p w14:paraId="1DCAC687">
                  <w:pPr>
                    <w:spacing w:line="400" w:lineRule="exact"/>
                    <w:jc w:val="center"/>
                    <w:rPr>
                      <w:rFonts w:hint="eastAsia" w:ascii="Times New Roman" w:hAnsi="Times New Roman" w:eastAsia="宋体" w:cs="Times New Roman"/>
                      <w:color w:val="auto"/>
                      <w:kern w:val="2"/>
                      <w:sz w:val="21"/>
                      <w:szCs w:val="21"/>
                      <w:lang w:val="en-US" w:eastAsia="zh-CN" w:bidi="ar-SA"/>
                    </w:rPr>
                  </w:pPr>
                </w:p>
              </w:tc>
              <w:tc>
                <w:tcPr>
                  <w:tcW w:w="0" w:type="auto"/>
                  <w:vMerge w:val="continue"/>
                  <w:vAlign w:val="center"/>
                </w:tcPr>
                <w:p w14:paraId="2F7CA41C">
                  <w:pPr>
                    <w:spacing w:line="400" w:lineRule="exact"/>
                    <w:jc w:val="center"/>
                    <w:rPr>
                      <w:rFonts w:hint="eastAsia" w:ascii="Times New Roman" w:hAnsi="Times New Roman" w:eastAsia="宋体" w:cs="Times New Roman"/>
                      <w:color w:val="auto"/>
                      <w:kern w:val="2"/>
                      <w:sz w:val="21"/>
                      <w:szCs w:val="21"/>
                      <w:lang w:val="en-US" w:eastAsia="zh-CN" w:bidi="ar-SA"/>
                    </w:rPr>
                  </w:pPr>
                </w:p>
              </w:tc>
              <w:tc>
                <w:tcPr>
                  <w:tcW w:w="0" w:type="auto"/>
                  <w:vAlign w:val="center"/>
                </w:tcPr>
                <w:p w14:paraId="334E6FA3">
                  <w:pPr>
                    <w:spacing w:line="400" w:lineRule="exact"/>
                    <w:jc w:val="center"/>
                    <w:rPr>
                      <w:b/>
                      <w:color w:val="auto"/>
                      <w:sz w:val="21"/>
                      <w:szCs w:val="21"/>
                    </w:rPr>
                  </w:pPr>
                  <w:r>
                    <w:rPr>
                      <w:rFonts w:hint="eastAsia"/>
                      <w:b/>
                      <w:color w:val="auto"/>
                      <w:sz w:val="21"/>
                      <w:szCs w:val="21"/>
                      <w:lang w:eastAsia="zh-CN"/>
                    </w:rPr>
                    <w:t>昼</w:t>
                  </w:r>
                  <w:r>
                    <w:rPr>
                      <w:b/>
                      <w:color w:val="auto"/>
                      <w:sz w:val="21"/>
                      <w:szCs w:val="21"/>
                    </w:rPr>
                    <w:t>间</w:t>
                  </w:r>
                </w:p>
              </w:tc>
              <w:tc>
                <w:tcPr>
                  <w:tcW w:w="0" w:type="auto"/>
                  <w:vAlign w:val="center"/>
                </w:tcPr>
                <w:p w14:paraId="4A9125F8">
                  <w:pPr>
                    <w:spacing w:line="400" w:lineRule="exact"/>
                    <w:jc w:val="center"/>
                    <w:rPr>
                      <w:rFonts w:hint="default" w:ascii="Times New Roman" w:hAnsi="Times New Roman" w:eastAsia="宋体" w:cs="Times New Roman"/>
                      <w:b/>
                      <w:color w:val="auto"/>
                      <w:kern w:val="2"/>
                      <w:sz w:val="21"/>
                      <w:szCs w:val="21"/>
                      <w:lang w:val="en-US" w:eastAsia="zh-CN" w:bidi="ar-SA"/>
                    </w:rPr>
                  </w:pPr>
                  <w:r>
                    <w:rPr>
                      <w:rFonts w:hint="eastAsia"/>
                      <w:b/>
                      <w:color w:val="auto"/>
                      <w:sz w:val="21"/>
                      <w:szCs w:val="21"/>
                      <w:lang w:eastAsia="zh-CN"/>
                    </w:rPr>
                    <w:t>夜</w:t>
                  </w:r>
                  <w:r>
                    <w:rPr>
                      <w:b/>
                      <w:color w:val="auto"/>
                      <w:sz w:val="21"/>
                      <w:szCs w:val="21"/>
                    </w:rPr>
                    <w:t>间</w:t>
                  </w:r>
                </w:p>
              </w:tc>
            </w:tr>
            <w:tr w14:paraId="383FB4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restart"/>
                  <w:vAlign w:val="center"/>
                </w:tcPr>
                <w:p w14:paraId="57A75B1E">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07月01日</w:t>
                  </w:r>
                </w:p>
                <w:p w14:paraId="4712ACA3">
                  <w:pPr>
                    <w:jc w:val="center"/>
                    <w:rPr>
                      <w:rFonts w:hint="eastAsia" w:ascii="宋体" w:hAnsi="宋体" w:eastAsia="宋体" w:cs="宋体"/>
                      <w:color w:val="auto"/>
                      <w:kern w:val="0"/>
                      <w:sz w:val="21"/>
                      <w:szCs w:val="21"/>
                      <w:lang w:val="en-US" w:eastAsia="zh-CN" w:bidi="ar-SA"/>
                    </w:rPr>
                  </w:pPr>
                  <w:r>
                    <w:rPr>
                      <w:rFonts w:hint="eastAsia" w:ascii="宋体" w:hAnsi="宋体" w:cs="宋体"/>
                      <w:color w:val="auto"/>
                      <w:sz w:val="21"/>
                      <w:szCs w:val="21"/>
                      <w:lang w:val="en-US" w:eastAsia="zh-CN"/>
                    </w:rPr>
                    <w:t>-07月02日</w:t>
                  </w:r>
                </w:p>
              </w:tc>
              <w:tc>
                <w:tcPr>
                  <w:tcW w:w="0" w:type="auto"/>
                  <w:vAlign w:val="center"/>
                </w:tcPr>
                <w:p w14:paraId="49941B90">
                  <w:pPr>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N1</w:t>
                  </w:r>
                </w:p>
              </w:tc>
              <w:tc>
                <w:tcPr>
                  <w:tcW w:w="0" w:type="auto"/>
                  <w:vAlign w:val="center"/>
                </w:tcPr>
                <w:p w14:paraId="5EC87877">
                  <w:pPr>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项目厂界东侧1米处</w:t>
                  </w:r>
                </w:p>
              </w:tc>
              <w:tc>
                <w:tcPr>
                  <w:tcW w:w="0" w:type="auto"/>
                  <w:vAlign w:val="center"/>
                </w:tcPr>
                <w:p w14:paraId="5CC9A3D9">
                  <w:pPr>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56</w:t>
                  </w:r>
                </w:p>
              </w:tc>
              <w:tc>
                <w:tcPr>
                  <w:tcW w:w="0" w:type="auto"/>
                  <w:vAlign w:val="center"/>
                </w:tcPr>
                <w:p w14:paraId="2A753089">
                  <w:pPr>
                    <w:spacing w:line="240" w:lineRule="auto"/>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48</w:t>
                  </w:r>
                </w:p>
              </w:tc>
            </w:tr>
            <w:tr w14:paraId="61A1CF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2B5E5792">
                  <w:pPr>
                    <w:spacing w:line="400" w:lineRule="exact"/>
                    <w:jc w:val="center"/>
                    <w:rPr>
                      <w:rFonts w:hint="eastAsia" w:ascii="宋体" w:hAnsi="宋体" w:eastAsia="宋体" w:cs="宋体"/>
                      <w:color w:val="auto"/>
                      <w:kern w:val="0"/>
                      <w:sz w:val="21"/>
                      <w:szCs w:val="21"/>
                      <w:lang w:val="en-US" w:eastAsia="zh-CN" w:bidi="ar-SA"/>
                    </w:rPr>
                  </w:pPr>
                </w:p>
              </w:tc>
              <w:tc>
                <w:tcPr>
                  <w:tcW w:w="0" w:type="auto"/>
                  <w:vAlign w:val="center"/>
                </w:tcPr>
                <w:p w14:paraId="76587EF2">
                  <w:pPr>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N3</w:t>
                  </w:r>
                </w:p>
              </w:tc>
              <w:tc>
                <w:tcPr>
                  <w:tcW w:w="0" w:type="auto"/>
                  <w:vAlign w:val="center"/>
                </w:tcPr>
                <w:p w14:paraId="4802C7E5">
                  <w:pPr>
                    <w:spacing w:line="400" w:lineRule="exact"/>
                    <w:jc w:val="center"/>
                    <w:rPr>
                      <w:rFonts w:hint="eastAsia" w:ascii="宋体" w:hAnsi="宋体" w:eastAsia="宋体" w:cs="宋体"/>
                      <w:color w:val="auto"/>
                      <w:kern w:val="0"/>
                      <w:sz w:val="21"/>
                      <w:szCs w:val="21"/>
                      <w:lang w:val="de-DE" w:eastAsia="zh-CN" w:bidi="ar-SA"/>
                    </w:rPr>
                  </w:pPr>
                  <w:r>
                    <w:rPr>
                      <w:rFonts w:hint="eastAsia" w:ascii="宋体" w:hAnsi="宋体" w:eastAsia="宋体" w:cs="宋体"/>
                      <w:color w:val="auto"/>
                      <w:kern w:val="0"/>
                      <w:sz w:val="21"/>
                      <w:szCs w:val="21"/>
                      <w:lang w:val="en-US" w:eastAsia="zh-CN" w:bidi="ar-SA"/>
                    </w:rPr>
                    <w:t>项目厂界南侧1米处</w:t>
                  </w:r>
                </w:p>
              </w:tc>
              <w:tc>
                <w:tcPr>
                  <w:tcW w:w="0" w:type="auto"/>
                  <w:vAlign w:val="center"/>
                </w:tcPr>
                <w:p w14:paraId="3491C491">
                  <w:pPr>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58</w:t>
                  </w:r>
                </w:p>
              </w:tc>
              <w:tc>
                <w:tcPr>
                  <w:tcW w:w="0" w:type="auto"/>
                  <w:vAlign w:val="center"/>
                </w:tcPr>
                <w:p w14:paraId="23073CB8">
                  <w:pPr>
                    <w:spacing w:line="240" w:lineRule="auto"/>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44</w:t>
                  </w:r>
                </w:p>
              </w:tc>
            </w:tr>
            <w:tr w14:paraId="113B05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4AE985C4">
                  <w:pPr>
                    <w:spacing w:line="400" w:lineRule="exact"/>
                    <w:jc w:val="center"/>
                    <w:rPr>
                      <w:rFonts w:hint="eastAsia" w:ascii="宋体" w:hAnsi="宋体" w:cs="宋体"/>
                      <w:color w:val="auto"/>
                      <w:sz w:val="21"/>
                      <w:szCs w:val="21"/>
                      <w:lang w:val="en-US" w:eastAsia="zh-CN"/>
                    </w:rPr>
                  </w:pPr>
                </w:p>
              </w:tc>
              <w:tc>
                <w:tcPr>
                  <w:tcW w:w="0" w:type="auto"/>
                  <w:vAlign w:val="center"/>
                </w:tcPr>
                <w:p w14:paraId="58C02993">
                  <w:pPr>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N6</w:t>
                  </w:r>
                </w:p>
              </w:tc>
              <w:tc>
                <w:tcPr>
                  <w:tcW w:w="0" w:type="auto"/>
                  <w:vAlign w:val="center"/>
                </w:tcPr>
                <w:p w14:paraId="561469D4">
                  <w:pPr>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项目厂界西侧1米处</w:t>
                  </w:r>
                </w:p>
              </w:tc>
              <w:tc>
                <w:tcPr>
                  <w:tcW w:w="0" w:type="auto"/>
                  <w:vAlign w:val="center"/>
                </w:tcPr>
                <w:p w14:paraId="0E516535">
                  <w:pPr>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64</w:t>
                  </w:r>
                </w:p>
              </w:tc>
              <w:tc>
                <w:tcPr>
                  <w:tcW w:w="0" w:type="auto"/>
                  <w:vAlign w:val="center"/>
                </w:tcPr>
                <w:p w14:paraId="3CD3CABF">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48</w:t>
                  </w:r>
                </w:p>
              </w:tc>
            </w:tr>
            <w:tr w14:paraId="4DE596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68143159">
                  <w:pPr>
                    <w:spacing w:line="400" w:lineRule="exact"/>
                    <w:jc w:val="center"/>
                    <w:rPr>
                      <w:rFonts w:hint="eastAsia" w:ascii="宋体" w:hAnsi="宋体" w:cs="宋体"/>
                      <w:color w:val="auto"/>
                      <w:sz w:val="21"/>
                      <w:szCs w:val="21"/>
                      <w:lang w:val="en-US" w:eastAsia="zh-CN"/>
                    </w:rPr>
                  </w:pPr>
                </w:p>
              </w:tc>
              <w:tc>
                <w:tcPr>
                  <w:tcW w:w="0" w:type="auto"/>
                  <w:vAlign w:val="center"/>
                </w:tcPr>
                <w:p w14:paraId="11134C25">
                  <w:pPr>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N9</w:t>
                  </w:r>
                </w:p>
              </w:tc>
              <w:tc>
                <w:tcPr>
                  <w:tcW w:w="0" w:type="auto"/>
                  <w:vAlign w:val="center"/>
                </w:tcPr>
                <w:p w14:paraId="682FC5E5">
                  <w:pPr>
                    <w:spacing w:line="400" w:lineRule="exact"/>
                    <w:jc w:val="center"/>
                    <w:rPr>
                      <w:rFonts w:hint="eastAsia" w:ascii="宋体" w:hAnsi="宋体" w:eastAsia="宋体" w:cs="宋体"/>
                      <w:color w:val="auto"/>
                      <w:kern w:val="0"/>
                      <w:sz w:val="21"/>
                      <w:szCs w:val="21"/>
                      <w:lang w:val="de-DE" w:eastAsia="zh-CN" w:bidi="ar-SA"/>
                    </w:rPr>
                  </w:pPr>
                  <w:r>
                    <w:rPr>
                      <w:rFonts w:hint="eastAsia" w:ascii="宋体" w:hAnsi="宋体" w:eastAsia="宋体" w:cs="宋体"/>
                      <w:color w:val="auto"/>
                      <w:kern w:val="0"/>
                      <w:sz w:val="21"/>
                      <w:szCs w:val="21"/>
                      <w:lang w:val="en-US" w:eastAsia="zh-CN" w:bidi="ar-SA"/>
                    </w:rPr>
                    <w:t>项目厂界北侧1米处</w:t>
                  </w:r>
                </w:p>
              </w:tc>
              <w:tc>
                <w:tcPr>
                  <w:tcW w:w="0" w:type="auto"/>
                  <w:vAlign w:val="center"/>
                </w:tcPr>
                <w:p w14:paraId="65C42AF9">
                  <w:pPr>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51</w:t>
                  </w:r>
                </w:p>
              </w:tc>
              <w:tc>
                <w:tcPr>
                  <w:tcW w:w="0" w:type="auto"/>
                  <w:vAlign w:val="center"/>
                </w:tcPr>
                <w:p w14:paraId="2EED639E">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43</w:t>
                  </w:r>
                </w:p>
              </w:tc>
            </w:tr>
            <w:tr w14:paraId="6EC45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0251C129">
                  <w:pPr>
                    <w:jc w:val="center"/>
                    <w:rPr>
                      <w:rFonts w:hint="eastAsia" w:ascii="宋体" w:hAnsi="宋体" w:eastAsia="宋体" w:cs="宋体"/>
                      <w:color w:val="auto"/>
                      <w:kern w:val="0"/>
                      <w:sz w:val="21"/>
                      <w:szCs w:val="21"/>
                      <w:lang w:val="en-US" w:eastAsia="zh-CN" w:bidi="ar-SA"/>
                    </w:rPr>
                  </w:pPr>
                </w:p>
              </w:tc>
              <w:tc>
                <w:tcPr>
                  <w:tcW w:w="0" w:type="auto"/>
                  <w:vAlign w:val="center"/>
                </w:tcPr>
                <w:p w14:paraId="7461E8F9">
                  <w:pPr>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N2</w:t>
                  </w:r>
                </w:p>
              </w:tc>
              <w:tc>
                <w:tcPr>
                  <w:tcW w:w="0" w:type="auto"/>
                  <w:vAlign w:val="center"/>
                </w:tcPr>
                <w:p w14:paraId="384AC134">
                  <w:pPr>
                    <w:spacing w:line="400" w:lineRule="exact"/>
                    <w:jc w:val="center"/>
                    <w:rPr>
                      <w:rFonts w:hint="eastAsia" w:ascii="宋体" w:hAnsi="宋体" w:eastAsia="宋体" w:cs="宋体"/>
                      <w:color w:val="auto"/>
                      <w:kern w:val="0"/>
                      <w:sz w:val="21"/>
                      <w:szCs w:val="21"/>
                      <w:lang w:val="de-DE" w:eastAsia="zh-CN" w:bidi="ar-SA"/>
                    </w:rPr>
                  </w:pPr>
                  <w:r>
                    <w:rPr>
                      <w:rFonts w:hint="eastAsia" w:ascii="宋体" w:hAnsi="宋体" w:eastAsia="宋体" w:cs="宋体"/>
                      <w:color w:val="auto"/>
                      <w:kern w:val="0"/>
                      <w:sz w:val="21"/>
                      <w:szCs w:val="21"/>
                      <w:lang w:val="en-US" w:eastAsia="zh-CN" w:bidi="ar-SA"/>
                    </w:rPr>
                    <w:t>项目</w:t>
                  </w:r>
                  <w:r>
                    <w:rPr>
                      <w:rFonts w:hint="eastAsia" w:ascii="宋体" w:hAnsi="宋体" w:cs="宋体"/>
                      <w:color w:val="auto"/>
                      <w:kern w:val="0"/>
                      <w:sz w:val="21"/>
                      <w:szCs w:val="21"/>
                      <w:lang w:val="de-DE" w:eastAsia="zh-CN" w:bidi="ar-SA"/>
                    </w:rPr>
                    <w:t>厂界东侧敏感点</w:t>
                  </w:r>
                </w:p>
              </w:tc>
              <w:tc>
                <w:tcPr>
                  <w:tcW w:w="0" w:type="auto"/>
                  <w:vAlign w:val="center"/>
                </w:tcPr>
                <w:p w14:paraId="148794A7">
                  <w:pPr>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54</w:t>
                  </w:r>
                </w:p>
              </w:tc>
              <w:tc>
                <w:tcPr>
                  <w:tcW w:w="0" w:type="auto"/>
                  <w:vAlign w:val="center"/>
                </w:tcPr>
                <w:p w14:paraId="3E99E0D4">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46</w:t>
                  </w:r>
                </w:p>
              </w:tc>
            </w:tr>
            <w:tr w14:paraId="5FC44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4331C8AA">
                  <w:pPr>
                    <w:spacing w:line="400" w:lineRule="exact"/>
                    <w:jc w:val="center"/>
                    <w:rPr>
                      <w:rFonts w:hint="eastAsia" w:ascii="宋体" w:hAnsi="宋体" w:cs="宋体"/>
                      <w:color w:val="auto"/>
                      <w:sz w:val="21"/>
                      <w:szCs w:val="21"/>
                      <w:lang w:val="en-US" w:eastAsia="zh-CN"/>
                    </w:rPr>
                  </w:pPr>
                </w:p>
              </w:tc>
              <w:tc>
                <w:tcPr>
                  <w:tcW w:w="0" w:type="auto"/>
                  <w:vAlign w:val="center"/>
                </w:tcPr>
                <w:p w14:paraId="608B8E26">
                  <w:pPr>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N4</w:t>
                  </w:r>
                </w:p>
              </w:tc>
              <w:tc>
                <w:tcPr>
                  <w:tcW w:w="0" w:type="auto"/>
                  <w:vAlign w:val="center"/>
                </w:tcPr>
                <w:p w14:paraId="00ABDE50">
                  <w:pPr>
                    <w:spacing w:line="400" w:lineRule="exact"/>
                    <w:jc w:val="center"/>
                    <w:rPr>
                      <w:rFonts w:hint="eastAsia" w:ascii="宋体" w:hAnsi="宋体" w:eastAsia="宋体" w:cs="宋体"/>
                      <w:color w:val="auto"/>
                      <w:kern w:val="0"/>
                      <w:sz w:val="21"/>
                      <w:szCs w:val="21"/>
                      <w:lang w:val="de-DE" w:eastAsia="zh-CN" w:bidi="ar-SA"/>
                    </w:rPr>
                  </w:pPr>
                  <w:r>
                    <w:rPr>
                      <w:rFonts w:hint="eastAsia" w:ascii="宋体" w:hAnsi="宋体" w:eastAsia="宋体" w:cs="宋体"/>
                      <w:color w:val="auto"/>
                      <w:kern w:val="0"/>
                      <w:sz w:val="21"/>
                      <w:szCs w:val="21"/>
                      <w:lang w:val="en-US" w:eastAsia="zh-CN" w:bidi="ar-SA"/>
                    </w:rPr>
                    <w:t>项目</w:t>
                  </w:r>
                  <w:r>
                    <w:rPr>
                      <w:rFonts w:hint="eastAsia" w:ascii="宋体" w:hAnsi="宋体" w:cs="宋体"/>
                      <w:color w:val="auto"/>
                      <w:kern w:val="0"/>
                      <w:sz w:val="21"/>
                      <w:szCs w:val="21"/>
                      <w:lang w:val="de-DE" w:eastAsia="zh-CN" w:bidi="ar-SA"/>
                    </w:rPr>
                    <w:t>厂界南侧敏感点</w:t>
                  </w:r>
                </w:p>
              </w:tc>
              <w:tc>
                <w:tcPr>
                  <w:tcW w:w="0" w:type="auto"/>
                  <w:vAlign w:val="center"/>
                </w:tcPr>
                <w:p w14:paraId="3C70065D">
                  <w:pPr>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55</w:t>
                  </w:r>
                </w:p>
              </w:tc>
              <w:tc>
                <w:tcPr>
                  <w:tcW w:w="0" w:type="auto"/>
                  <w:vAlign w:val="center"/>
                </w:tcPr>
                <w:p w14:paraId="465151A1">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47</w:t>
                  </w:r>
                </w:p>
              </w:tc>
            </w:tr>
            <w:tr w14:paraId="14722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2915AD37">
                  <w:pPr>
                    <w:spacing w:line="400" w:lineRule="exact"/>
                    <w:jc w:val="center"/>
                    <w:rPr>
                      <w:rFonts w:hint="eastAsia" w:ascii="宋体" w:hAnsi="宋体" w:cs="宋体"/>
                      <w:color w:val="auto"/>
                      <w:sz w:val="21"/>
                      <w:szCs w:val="21"/>
                      <w:lang w:val="en-US" w:eastAsia="zh-CN"/>
                    </w:rPr>
                  </w:pPr>
                </w:p>
              </w:tc>
              <w:tc>
                <w:tcPr>
                  <w:tcW w:w="0" w:type="auto"/>
                  <w:vAlign w:val="center"/>
                </w:tcPr>
                <w:p w14:paraId="2F993E03">
                  <w:pPr>
                    <w:jc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N5</w:t>
                  </w:r>
                </w:p>
              </w:tc>
              <w:tc>
                <w:tcPr>
                  <w:tcW w:w="0" w:type="auto"/>
                  <w:vAlign w:val="center"/>
                </w:tcPr>
                <w:p w14:paraId="7958F0FB">
                  <w:pPr>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w:t>
                  </w:r>
                  <w:r>
                    <w:rPr>
                      <w:rFonts w:hint="eastAsia" w:ascii="宋体" w:hAnsi="宋体" w:cs="宋体"/>
                      <w:color w:val="auto"/>
                      <w:kern w:val="0"/>
                      <w:sz w:val="21"/>
                      <w:szCs w:val="21"/>
                      <w:lang w:val="de-DE" w:eastAsia="zh-CN" w:bidi="ar-SA"/>
                    </w:rPr>
                    <w:t>厂界西南侧敏感点</w:t>
                  </w:r>
                </w:p>
              </w:tc>
              <w:tc>
                <w:tcPr>
                  <w:tcW w:w="0" w:type="auto"/>
                  <w:vAlign w:val="center"/>
                </w:tcPr>
                <w:p w14:paraId="6046378B">
                  <w:pPr>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64</w:t>
                  </w:r>
                </w:p>
              </w:tc>
              <w:tc>
                <w:tcPr>
                  <w:tcW w:w="0" w:type="auto"/>
                  <w:vAlign w:val="center"/>
                </w:tcPr>
                <w:p w14:paraId="6F7076F4">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49</w:t>
                  </w:r>
                </w:p>
              </w:tc>
            </w:tr>
            <w:tr w14:paraId="02A5A5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73A91718">
                  <w:pPr>
                    <w:spacing w:line="400" w:lineRule="exact"/>
                    <w:jc w:val="center"/>
                    <w:rPr>
                      <w:rFonts w:hint="eastAsia" w:ascii="宋体" w:hAnsi="宋体" w:cs="宋体"/>
                      <w:color w:val="auto"/>
                      <w:sz w:val="21"/>
                      <w:szCs w:val="21"/>
                      <w:lang w:val="en-US" w:eastAsia="zh-CN"/>
                    </w:rPr>
                  </w:pPr>
                </w:p>
              </w:tc>
              <w:tc>
                <w:tcPr>
                  <w:tcW w:w="0" w:type="auto"/>
                  <w:vAlign w:val="center"/>
                </w:tcPr>
                <w:p w14:paraId="35DF4C78">
                  <w:pPr>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N7</w:t>
                  </w:r>
                </w:p>
              </w:tc>
              <w:tc>
                <w:tcPr>
                  <w:tcW w:w="0" w:type="auto"/>
                  <w:vAlign w:val="center"/>
                </w:tcPr>
                <w:p w14:paraId="32227754">
                  <w:pPr>
                    <w:spacing w:line="400" w:lineRule="exact"/>
                    <w:jc w:val="center"/>
                    <w:rPr>
                      <w:rFonts w:hint="eastAsia" w:ascii="宋体" w:hAnsi="宋体" w:eastAsia="宋体" w:cs="宋体"/>
                      <w:color w:val="auto"/>
                      <w:kern w:val="0"/>
                      <w:sz w:val="21"/>
                      <w:szCs w:val="21"/>
                      <w:lang w:val="de-DE" w:eastAsia="zh-CN" w:bidi="ar-SA"/>
                    </w:rPr>
                  </w:pPr>
                  <w:r>
                    <w:rPr>
                      <w:rFonts w:hint="eastAsia" w:ascii="宋体" w:hAnsi="宋体" w:eastAsia="宋体" w:cs="宋体"/>
                      <w:color w:val="auto"/>
                      <w:kern w:val="0"/>
                      <w:sz w:val="21"/>
                      <w:szCs w:val="21"/>
                      <w:lang w:val="en-US" w:eastAsia="zh-CN" w:bidi="ar-SA"/>
                    </w:rPr>
                    <w:t>项目</w:t>
                  </w:r>
                  <w:r>
                    <w:rPr>
                      <w:rFonts w:hint="eastAsia" w:ascii="宋体" w:hAnsi="宋体" w:cs="宋体"/>
                      <w:color w:val="auto"/>
                      <w:kern w:val="0"/>
                      <w:sz w:val="21"/>
                      <w:szCs w:val="21"/>
                      <w:lang w:val="de-DE" w:eastAsia="zh-CN" w:bidi="ar-SA"/>
                    </w:rPr>
                    <w:t>厂界西侧敏感点</w:t>
                  </w:r>
                </w:p>
              </w:tc>
              <w:tc>
                <w:tcPr>
                  <w:tcW w:w="0" w:type="auto"/>
                  <w:vAlign w:val="center"/>
                </w:tcPr>
                <w:p w14:paraId="2E0B479D">
                  <w:pPr>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63</w:t>
                  </w:r>
                </w:p>
              </w:tc>
              <w:tc>
                <w:tcPr>
                  <w:tcW w:w="0" w:type="auto"/>
                  <w:vAlign w:val="center"/>
                </w:tcPr>
                <w:p w14:paraId="3C2F8541">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51</w:t>
                  </w:r>
                </w:p>
              </w:tc>
            </w:tr>
            <w:tr w14:paraId="2EC872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0C49C87E">
                  <w:pPr>
                    <w:spacing w:line="400" w:lineRule="exact"/>
                    <w:jc w:val="center"/>
                    <w:rPr>
                      <w:rFonts w:hint="eastAsia" w:ascii="宋体" w:hAnsi="宋体" w:cs="宋体"/>
                      <w:color w:val="auto"/>
                      <w:sz w:val="21"/>
                      <w:szCs w:val="21"/>
                      <w:lang w:val="en-US" w:eastAsia="zh-CN"/>
                    </w:rPr>
                  </w:pPr>
                </w:p>
              </w:tc>
              <w:tc>
                <w:tcPr>
                  <w:tcW w:w="0" w:type="auto"/>
                  <w:vAlign w:val="center"/>
                </w:tcPr>
                <w:p w14:paraId="3B84204A">
                  <w:pPr>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N8</w:t>
                  </w:r>
                </w:p>
              </w:tc>
              <w:tc>
                <w:tcPr>
                  <w:tcW w:w="0" w:type="auto"/>
                  <w:vAlign w:val="center"/>
                </w:tcPr>
                <w:p w14:paraId="6B4C9E97">
                  <w:pPr>
                    <w:spacing w:line="400" w:lineRule="exact"/>
                    <w:jc w:val="center"/>
                    <w:rPr>
                      <w:rFonts w:hint="eastAsia" w:ascii="宋体" w:hAnsi="宋体" w:eastAsia="宋体" w:cs="宋体"/>
                      <w:color w:val="auto"/>
                      <w:kern w:val="0"/>
                      <w:sz w:val="21"/>
                      <w:szCs w:val="21"/>
                      <w:lang w:val="de-DE" w:eastAsia="zh-CN" w:bidi="ar-SA"/>
                    </w:rPr>
                  </w:pPr>
                  <w:r>
                    <w:rPr>
                      <w:rFonts w:hint="eastAsia" w:ascii="宋体" w:hAnsi="宋体" w:eastAsia="宋体" w:cs="宋体"/>
                      <w:color w:val="auto"/>
                      <w:kern w:val="0"/>
                      <w:sz w:val="21"/>
                      <w:szCs w:val="21"/>
                      <w:lang w:val="en-US" w:eastAsia="zh-CN" w:bidi="ar-SA"/>
                    </w:rPr>
                    <w:t>项目</w:t>
                  </w:r>
                  <w:r>
                    <w:rPr>
                      <w:rFonts w:hint="eastAsia" w:ascii="宋体" w:hAnsi="宋体" w:cs="宋体"/>
                      <w:color w:val="auto"/>
                      <w:kern w:val="0"/>
                      <w:sz w:val="21"/>
                      <w:szCs w:val="21"/>
                      <w:lang w:val="de-DE" w:eastAsia="zh-CN" w:bidi="ar-SA"/>
                    </w:rPr>
                    <w:t>厂界西北侧敏感点</w:t>
                  </w:r>
                </w:p>
              </w:tc>
              <w:tc>
                <w:tcPr>
                  <w:tcW w:w="0" w:type="auto"/>
                  <w:vAlign w:val="center"/>
                </w:tcPr>
                <w:p w14:paraId="54DA06E5">
                  <w:pPr>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64</w:t>
                  </w:r>
                </w:p>
              </w:tc>
              <w:tc>
                <w:tcPr>
                  <w:tcW w:w="0" w:type="auto"/>
                  <w:vAlign w:val="center"/>
                </w:tcPr>
                <w:p w14:paraId="063166DD">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52</w:t>
                  </w:r>
                </w:p>
              </w:tc>
            </w:tr>
            <w:tr w14:paraId="37E0AD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vAlign w:val="center"/>
                </w:tcPr>
                <w:p w14:paraId="37AD9BC0">
                  <w:pPr>
                    <w:spacing w:line="400" w:lineRule="exact"/>
                    <w:jc w:val="center"/>
                    <w:rPr>
                      <w:rFonts w:hint="eastAsia" w:ascii="宋体" w:hAnsi="宋体" w:cs="宋体"/>
                      <w:color w:val="auto"/>
                      <w:sz w:val="21"/>
                      <w:szCs w:val="21"/>
                      <w:lang w:val="en-US" w:eastAsia="zh-CN"/>
                    </w:rPr>
                  </w:pPr>
                </w:p>
              </w:tc>
              <w:tc>
                <w:tcPr>
                  <w:tcW w:w="0" w:type="auto"/>
                  <w:vAlign w:val="center"/>
                </w:tcPr>
                <w:p w14:paraId="23B00DA1">
                  <w:pPr>
                    <w:jc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N10</w:t>
                  </w:r>
                </w:p>
              </w:tc>
              <w:tc>
                <w:tcPr>
                  <w:tcW w:w="0" w:type="auto"/>
                  <w:vAlign w:val="center"/>
                </w:tcPr>
                <w:p w14:paraId="56CEF66F">
                  <w:pPr>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w:t>
                  </w:r>
                  <w:r>
                    <w:rPr>
                      <w:rFonts w:hint="eastAsia" w:ascii="宋体" w:hAnsi="宋体" w:cs="宋体"/>
                      <w:color w:val="auto"/>
                      <w:kern w:val="0"/>
                      <w:sz w:val="21"/>
                      <w:szCs w:val="21"/>
                      <w:lang w:val="de-DE" w:eastAsia="zh-CN" w:bidi="ar-SA"/>
                    </w:rPr>
                    <w:t>厂界北侧敏感点</w:t>
                  </w:r>
                </w:p>
              </w:tc>
              <w:tc>
                <w:tcPr>
                  <w:tcW w:w="0" w:type="auto"/>
                  <w:vAlign w:val="center"/>
                </w:tcPr>
                <w:p w14:paraId="2A8EB15A">
                  <w:pPr>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54</w:t>
                  </w:r>
                </w:p>
              </w:tc>
              <w:tc>
                <w:tcPr>
                  <w:tcW w:w="0" w:type="auto"/>
                  <w:vAlign w:val="center"/>
                </w:tcPr>
                <w:p w14:paraId="4D3FB5ED">
                  <w:pPr>
                    <w:spacing w:line="240" w:lineRule="auto"/>
                    <w:jc w:val="center"/>
                    <w:rPr>
                      <w:rFonts w:hint="default" w:ascii="宋体" w:hAnsi="宋体" w:cs="宋体"/>
                      <w:color w:val="auto"/>
                      <w:kern w:val="0"/>
                      <w:sz w:val="21"/>
                      <w:szCs w:val="21"/>
                      <w:lang w:val="en-US" w:eastAsia="zh-CN" w:bidi="ar-SA"/>
                    </w:rPr>
                  </w:pPr>
                  <w:r>
                    <w:rPr>
                      <w:rFonts w:hint="eastAsia" w:ascii="宋体" w:hAnsi="宋体" w:cs="宋体"/>
                      <w:color w:val="auto"/>
                      <w:kern w:val="0"/>
                      <w:szCs w:val="21"/>
                      <w:lang w:val="en-US" w:eastAsia="zh-CN"/>
                    </w:rPr>
                    <w:t>43</w:t>
                  </w:r>
                </w:p>
              </w:tc>
            </w:tr>
            <w:tr w14:paraId="25673B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3"/>
                  <w:vAlign w:val="center"/>
                </w:tcPr>
                <w:p w14:paraId="6DC34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kern w:val="0"/>
                      <w:sz w:val="21"/>
                      <w:szCs w:val="21"/>
                      <w:lang w:val="de-DE" w:eastAsia="zh-CN"/>
                    </w:rPr>
                  </w:pPr>
                  <w:r>
                    <w:rPr>
                      <w:rFonts w:hint="eastAsia"/>
                      <w:b/>
                      <w:color w:val="auto"/>
                      <w:sz w:val="21"/>
                      <w:szCs w:val="21"/>
                      <w:lang w:val="en-US" w:eastAsia="zh-CN"/>
                    </w:rPr>
                    <w:t>参考限值</w:t>
                  </w:r>
                </w:p>
              </w:tc>
              <w:tc>
                <w:tcPr>
                  <w:tcW w:w="0" w:type="auto"/>
                  <w:vAlign w:val="center"/>
                </w:tcPr>
                <w:p w14:paraId="3FD1A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60/70</w:t>
                  </w:r>
                </w:p>
              </w:tc>
              <w:tc>
                <w:tcPr>
                  <w:tcW w:w="0" w:type="auto"/>
                  <w:vAlign w:val="center"/>
                </w:tcPr>
                <w:p w14:paraId="4614C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50/55</w:t>
                  </w:r>
                </w:p>
              </w:tc>
            </w:tr>
            <w:tr w14:paraId="0C53CF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0" w:type="auto"/>
                  <w:gridSpan w:val="5"/>
                  <w:vAlign w:val="center"/>
                </w:tcPr>
                <w:p w14:paraId="01E9E32F">
                  <w:pPr>
                    <w:keepNext w:val="0"/>
                    <w:keepLines w:val="0"/>
                    <w:pageBreakBefore w:val="0"/>
                    <w:widowControl w:val="0"/>
                    <w:kinsoku/>
                    <w:wordWrap/>
                    <w:overflowPunct/>
                    <w:topLinePunct w:val="0"/>
                    <w:autoSpaceDE/>
                    <w:autoSpaceDN/>
                    <w:bidi w:val="0"/>
                    <w:adjustRightInd/>
                    <w:snapToGrid/>
                    <w:spacing w:line="240" w:lineRule="auto"/>
                    <w:ind w:left="840" w:hanging="840" w:hangingChars="4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备注：</w:t>
                  </w:r>
                  <w:r>
                    <w:rPr>
                      <w:rFonts w:hint="eastAsia" w:ascii="宋体" w:hAnsi="宋体" w:cs="宋体"/>
                      <w:color w:val="auto"/>
                      <w:sz w:val="21"/>
                      <w:szCs w:val="21"/>
                      <w:lang w:val="en-US" w:eastAsia="zh-CN"/>
                    </w:rPr>
                    <w:t>1、厂界（东、南、北侧）、敏感点（东、南、北）</w:t>
                  </w:r>
                  <w:r>
                    <w:rPr>
                      <w:rFonts w:hint="eastAsia"/>
                      <w:b w:val="0"/>
                      <w:bCs/>
                      <w:color w:val="auto"/>
                      <w:sz w:val="21"/>
                      <w:szCs w:val="21"/>
                      <w:lang w:eastAsia="zh-CN"/>
                    </w:rPr>
                    <w:t>昼</w:t>
                  </w:r>
                  <w:r>
                    <w:rPr>
                      <w:b w:val="0"/>
                      <w:bCs/>
                      <w:color w:val="auto"/>
                      <w:sz w:val="21"/>
                      <w:szCs w:val="21"/>
                    </w:rPr>
                    <w:t>间</w:t>
                  </w:r>
                  <w:r>
                    <w:rPr>
                      <w:rFonts w:hint="eastAsia"/>
                      <w:b w:val="0"/>
                      <w:bCs/>
                      <w:color w:val="auto"/>
                      <w:sz w:val="21"/>
                      <w:szCs w:val="21"/>
                      <w:lang w:val="en-US" w:eastAsia="zh-CN"/>
                    </w:rPr>
                    <w:t>、</w:t>
                  </w:r>
                  <w:r>
                    <w:rPr>
                      <w:rFonts w:hint="eastAsia"/>
                      <w:b w:val="0"/>
                      <w:bCs/>
                      <w:color w:val="auto"/>
                      <w:sz w:val="21"/>
                      <w:szCs w:val="21"/>
                      <w:lang w:eastAsia="zh-CN"/>
                    </w:rPr>
                    <w:t>夜</w:t>
                  </w:r>
                  <w:r>
                    <w:rPr>
                      <w:b w:val="0"/>
                      <w:bCs/>
                      <w:color w:val="auto"/>
                      <w:sz w:val="21"/>
                      <w:szCs w:val="21"/>
                    </w:rPr>
                    <w:t>间</w:t>
                  </w:r>
                  <w:r>
                    <w:rPr>
                      <w:rFonts w:hint="eastAsia"/>
                      <w:b w:val="0"/>
                      <w:bCs/>
                      <w:color w:val="auto"/>
                      <w:sz w:val="21"/>
                      <w:szCs w:val="21"/>
                      <w:lang w:eastAsia="zh-CN"/>
                    </w:rPr>
                    <w:t>噪声</w:t>
                  </w:r>
                  <w:r>
                    <w:rPr>
                      <w:rFonts w:hint="eastAsia" w:ascii="宋体" w:hAnsi="宋体" w:eastAsia="宋体" w:cs="宋体"/>
                      <w:color w:val="auto"/>
                      <w:sz w:val="21"/>
                      <w:szCs w:val="21"/>
                      <w:lang w:val="en-US" w:eastAsia="zh-CN"/>
                    </w:rPr>
                    <w:t>参考限值源于</w:t>
                  </w:r>
                  <w:r>
                    <w:rPr>
                      <w:rFonts w:hint="eastAsia" w:ascii="宋体" w:hAnsi="宋体" w:eastAsia="宋体" w:cs="宋体"/>
                      <w:color w:val="auto"/>
                      <w:sz w:val="21"/>
                      <w:szCs w:val="21"/>
                    </w:rPr>
                    <w:t>《声环境质量标准》GB 3096－2008</w:t>
                  </w:r>
                  <w:r>
                    <w:rPr>
                      <w:rFonts w:hint="eastAsia" w:ascii="宋体" w:hAnsi="宋体" w:cs="宋体"/>
                      <w:color w:val="auto"/>
                      <w:sz w:val="21"/>
                      <w:szCs w:val="21"/>
                      <w:lang w:eastAsia="zh-CN"/>
                    </w:rPr>
                    <w:t>表</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中</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类标准</w:t>
                  </w:r>
                  <w:r>
                    <w:rPr>
                      <w:rFonts w:hint="eastAsia" w:ascii="宋体" w:hAnsi="宋体" w:eastAsia="宋体" w:cs="宋体"/>
                      <w:color w:val="auto"/>
                      <w:sz w:val="21"/>
                      <w:szCs w:val="21"/>
                      <w:lang w:eastAsia="zh-CN"/>
                    </w:rPr>
                    <w:t>；</w:t>
                  </w:r>
                </w:p>
                <w:p w14:paraId="23034F99">
                  <w:pPr>
                    <w:keepNext w:val="0"/>
                    <w:keepLines w:val="0"/>
                    <w:pageBreakBefore w:val="0"/>
                    <w:widowControl w:val="0"/>
                    <w:kinsoku/>
                    <w:wordWrap/>
                    <w:overflowPunct/>
                    <w:topLinePunct w:val="0"/>
                    <w:autoSpaceDE/>
                    <w:autoSpaceDN/>
                    <w:bidi w:val="0"/>
                    <w:adjustRightInd/>
                    <w:snapToGrid/>
                    <w:spacing w:line="240" w:lineRule="auto"/>
                    <w:ind w:left="840" w:leftChars="300" w:hanging="210" w:hangingChars="100"/>
                    <w:jc w:val="both"/>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厂界（西侧）、敏感点（西、西南、西北）</w:t>
                  </w:r>
                  <w:r>
                    <w:rPr>
                      <w:rFonts w:hint="eastAsia"/>
                      <w:b w:val="0"/>
                      <w:bCs/>
                      <w:color w:val="auto"/>
                      <w:sz w:val="21"/>
                      <w:szCs w:val="21"/>
                      <w:lang w:eastAsia="zh-CN"/>
                    </w:rPr>
                    <w:t>昼</w:t>
                  </w:r>
                  <w:r>
                    <w:rPr>
                      <w:b w:val="0"/>
                      <w:bCs/>
                      <w:color w:val="auto"/>
                      <w:sz w:val="21"/>
                      <w:szCs w:val="21"/>
                    </w:rPr>
                    <w:t>间</w:t>
                  </w:r>
                  <w:r>
                    <w:rPr>
                      <w:rFonts w:hint="eastAsia"/>
                      <w:b w:val="0"/>
                      <w:bCs/>
                      <w:color w:val="auto"/>
                      <w:sz w:val="21"/>
                      <w:szCs w:val="21"/>
                      <w:lang w:val="en-US" w:eastAsia="zh-CN"/>
                    </w:rPr>
                    <w:t>、</w:t>
                  </w:r>
                  <w:r>
                    <w:rPr>
                      <w:rFonts w:hint="eastAsia"/>
                      <w:b w:val="0"/>
                      <w:bCs/>
                      <w:color w:val="auto"/>
                      <w:sz w:val="21"/>
                      <w:szCs w:val="21"/>
                      <w:lang w:eastAsia="zh-CN"/>
                    </w:rPr>
                    <w:t>夜</w:t>
                  </w:r>
                  <w:r>
                    <w:rPr>
                      <w:b w:val="0"/>
                      <w:bCs/>
                      <w:color w:val="auto"/>
                      <w:sz w:val="21"/>
                      <w:szCs w:val="21"/>
                    </w:rPr>
                    <w:t>间</w:t>
                  </w:r>
                  <w:r>
                    <w:rPr>
                      <w:rFonts w:hint="eastAsia"/>
                      <w:b w:val="0"/>
                      <w:bCs/>
                      <w:color w:val="auto"/>
                      <w:sz w:val="21"/>
                      <w:szCs w:val="21"/>
                      <w:lang w:eastAsia="zh-CN"/>
                    </w:rPr>
                    <w:t>噪声</w:t>
                  </w:r>
                  <w:r>
                    <w:rPr>
                      <w:rFonts w:hint="eastAsia" w:ascii="宋体" w:hAnsi="宋体" w:eastAsia="宋体" w:cs="宋体"/>
                      <w:color w:val="auto"/>
                      <w:sz w:val="21"/>
                      <w:szCs w:val="21"/>
                      <w:lang w:val="en-US" w:eastAsia="zh-CN"/>
                    </w:rPr>
                    <w:t>参考限值源于</w:t>
                  </w:r>
                  <w:r>
                    <w:rPr>
                      <w:rFonts w:hint="eastAsia" w:ascii="宋体" w:hAnsi="宋体" w:eastAsia="宋体" w:cs="宋体"/>
                      <w:color w:val="auto"/>
                      <w:sz w:val="21"/>
                      <w:szCs w:val="21"/>
                    </w:rPr>
                    <w:t>《声环境质量标准》GB 3096－2008</w:t>
                  </w:r>
                  <w:r>
                    <w:rPr>
                      <w:rFonts w:hint="eastAsia" w:ascii="宋体" w:hAnsi="宋体" w:cs="宋体"/>
                      <w:color w:val="auto"/>
                      <w:sz w:val="21"/>
                      <w:szCs w:val="21"/>
                      <w:lang w:eastAsia="zh-CN"/>
                    </w:rPr>
                    <w:t>表</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eastAsia="zh-CN"/>
                    </w:rPr>
                    <w:t>中</w:t>
                  </w:r>
                  <w:r>
                    <w:rPr>
                      <w:rFonts w:hint="eastAsia" w:ascii="宋体" w:hAnsi="宋体" w:cs="宋体"/>
                      <w:color w:val="auto"/>
                      <w:sz w:val="21"/>
                      <w:szCs w:val="21"/>
                      <w:lang w:val="en-US" w:eastAsia="zh-CN"/>
                    </w:rPr>
                    <w:t>4a</w:t>
                  </w:r>
                  <w:r>
                    <w:rPr>
                      <w:rFonts w:hint="eastAsia" w:ascii="宋体" w:hAnsi="宋体" w:eastAsia="宋体" w:cs="宋体"/>
                      <w:color w:val="auto"/>
                      <w:sz w:val="21"/>
                      <w:szCs w:val="21"/>
                    </w:rPr>
                    <w:t>类标准</w:t>
                  </w:r>
                  <w:r>
                    <w:rPr>
                      <w:rFonts w:hint="eastAsia" w:ascii="宋体" w:hAnsi="宋体" w:cs="宋体"/>
                      <w:color w:val="auto"/>
                      <w:sz w:val="21"/>
                      <w:szCs w:val="21"/>
                      <w:lang w:eastAsia="zh-CN"/>
                    </w:rPr>
                    <w:t>；</w:t>
                  </w:r>
                </w:p>
                <w:p w14:paraId="25BE9543">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eastAsia" w:ascii="宋体" w:hAnsi="Times New Roman"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3、夜间突发噪声参考限值源于</w:t>
                  </w:r>
                  <w:r>
                    <w:rPr>
                      <w:rFonts w:hint="eastAsia" w:ascii="宋体" w:hAnsi="宋体" w:eastAsia="宋体" w:cs="宋体"/>
                      <w:color w:val="auto"/>
                      <w:sz w:val="21"/>
                      <w:szCs w:val="21"/>
                    </w:rPr>
                    <w:t>《声环境质量标准》GB 3096－2008</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lang w:val="en-US" w:eastAsia="zh-CN"/>
                    </w:rPr>
                    <w:t>5.4</w:t>
                  </w:r>
                  <w:r>
                    <w:rPr>
                      <w:rFonts w:hint="eastAsia" w:ascii="宋体" w:hAnsi="宋体" w:cs="宋体"/>
                      <w:color w:val="auto"/>
                      <w:sz w:val="21"/>
                      <w:szCs w:val="21"/>
                      <w:lang w:val="en-US" w:eastAsia="zh-CN"/>
                    </w:rPr>
                    <w:t>条款规定</w:t>
                  </w:r>
                  <w:r>
                    <w:rPr>
                      <w:rFonts w:hint="eastAsia" w:ascii="宋体" w:hAnsi="宋体" w:eastAsia="宋体" w:cs="宋体"/>
                      <w:color w:val="auto"/>
                      <w:sz w:val="21"/>
                      <w:szCs w:val="21"/>
                      <w:lang w:val="en-US" w:eastAsia="zh-CN"/>
                    </w:rPr>
                    <w:t>。</w:t>
                  </w:r>
                </w:p>
              </w:tc>
            </w:tr>
          </w:tbl>
          <w:p w14:paraId="55FB0B81">
            <w:pPr>
              <w:pStyle w:val="3"/>
              <w:jc w:val="both"/>
              <w:rPr>
                <w:color w:val="auto"/>
              </w:rPr>
            </w:pPr>
          </w:p>
          <w:p w14:paraId="11F13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u w:val="none" w:color="auto"/>
                <w:lang w:val="en-US" w:eastAsia="zh-CN"/>
              </w:rPr>
            </w:pPr>
            <w:r>
              <w:rPr>
                <w:rFonts w:ascii="Times New Roman" w:hAnsi="Times New Roman" w:eastAsia="宋体"/>
                <w:color w:val="auto"/>
                <w:sz w:val="24"/>
                <w:szCs w:val="24"/>
              </w:rPr>
              <w:t>根据</w:t>
            </w:r>
            <w:r>
              <w:rPr>
                <w:rFonts w:hint="eastAsia"/>
                <w:color w:val="auto"/>
                <w:sz w:val="24"/>
                <w:szCs w:val="24"/>
                <w:lang w:val="en-US" w:eastAsia="zh-CN"/>
              </w:rPr>
              <w:t>表4-14</w:t>
            </w:r>
            <w:r>
              <w:rPr>
                <w:rFonts w:ascii="Times New Roman" w:hAnsi="Times New Roman" w:eastAsia="宋体"/>
                <w:color w:val="auto"/>
                <w:sz w:val="24"/>
                <w:szCs w:val="24"/>
              </w:rPr>
              <w:t>噪声</w:t>
            </w:r>
            <w:r>
              <w:rPr>
                <w:rFonts w:hint="eastAsia" w:ascii="Times New Roman" w:hAnsi="Times New Roman" w:eastAsia="宋体"/>
                <w:color w:val="auto"/>
                <w:sz w:val="24"/>
                <w:szCs w:val="24"/>
                <w:lang w:eastAsia="zh-CN"/>
              </w:rPr>
              <w:t>污染源</w:t>
            </w:r>
            <w:r>
              <w:rPr>
                <w:rFonts w:hint="eastAsia"/>
                <w:color w:val="auto"/>
                <w:sz w:val="24"/>
                <w:szCs w:val="24"/>
                <w:lang w:val="en-US" w:eastAsia="zh-CN"/>
              </w:rPr>
              <w:t>检测</w:t>
            </w:r>
            <w:r>
              <w:rPr>
                <w:rFonts w:ascii="Times New Roman" w:hAnsi="Times New Roman" w:eastAsia="宋体"/>
                <w:color w:val="auto"/>
                <w:sz w:val="24"/>
                <w:szCs w:val="24"/>
              </w:rPr>
              <w:t>结果</w:t>
            </w:r>
            <w:r>
              <w:rPr>
                <w:rFonts w:hint="eastAsia"/>
                <w:color w:val="auto"/>
                <w:sz w:val="24"/>
                <w:szCs w:val="24"/>
                <w:lang w:val="en-US" w:eastAsia="zh-CN"/>
              </w:rPr>
              <w:t>并将东，南，西，北侧</w:t>
            </w:r>
            <w:r>
              <w:rPr>
                <w:rFonts w:ascii="Times New Roman" w:hAnsi="Times New Roman" w:eastAsia="宋体"/>
                <w:color w:val="auto"/>
                <w:sz w:val="24"/>
                <w:szCs w:val="24"/>
              </w:rPr>
              <w:t>厂界噪</w:t>
            </w:r>
            <w:r>
              <w:rPr>
                <w:rFonts w:hint="eastAsia"/>
                <w:color w:val="auto"/>
                <w:sz w:val="24"/>
                <w:szCs w:val="24"/>
                <w:lang w:val="en-US" w:eastAsia="zh-CN"/>
              </w:rPr>
              <w:t>声与表4-13噪声预测结果相对比可知，</w:t>
            </w:r>
            <w:r>
              <w:rPr>
                <w:rFonts w:ascii="Times New Roman" w:hAnsi="Times New Roman" w:eastAsia="宋体"/>
                <w:color w:val="auto"/>
                <w:sz w:val="24"/>
                <w:szCs w:val="24"/>
              </w:rPr>
              <w:t>周边居民</w:t>
            </w:r>
            <w:r>
              <w:rPr>
                <w:rFonts w:hint="eastAsia"/>
                <w:color w:val="auto"/>
                <w:sz w:val="24"/>
                <w:szCs w:val="24"/>
                <w:lang w:val="en-US" w:eastAsia="zh-CN"/>
              </w:rPr>
              <w:t>均</w:t>
            </w:r>
            <w:r>
              <w:rPr>
                <w:rFonts w:ascii="Times New Roman" w:hAnsi="Times New Roman" w:eastAsia="宋体"/>
                <w:color w:val="auto"/>
                <w:sz w:val="24"/>
                <w:szCs w:val="24"/>
              </w:rPr>
              <w:t>能满足《声环境质量标准》（GB3096-2008）中2类标准要求。</w:t>
            </w:r>
            <w:r>
              <w:rPr>
                <w:rFonts w:hint="eastAsia"/>
                <w:color w:val="auto"/>
                <w:sz w:val="24"/>
                <w:szCs w:val="24"/>
                <w:lang w:val="en-US" w:eastAsia="zh-CN"/>
              </w:rPr>
              <w:t>西侧</w:t>
            </w:r>
            <w:r>
              <w:rPr>
                <w:rFonts w:ascii="Times New Roman" w:hAnsi="Times New Roman" w:eastAsia="宋体"/>
                <w:color w:val="auto"/>
                <w:sz w:val="24"/>
                <w:szCs w:val="24"/>
              </w:rPr>
              <w:t>厂界噪</w:t>
            </w:r>
            <w:r>
              <w:rPr>
                <w:rFonts w:hint="eastAsia"/>
                <w:color w:val="auto"/>
                <w:sz w:val="24"/>
                <w:szCs w:val="24"/>
                <w:lang w:val="en-US" w:eastAsia="zh-CN"/>
              </w:rPr>
              <w:t>声，周边居民均能满足</w:t>
            </w:r>
            <w:r>
              <w:rPr>
                <w:rFonts w:hint="eastAsia" w:ascii="Times New Roman" w:hAnsi="Times New Roman" w:eastAsia="宋体"/>
                <w:color w:val="auto"/>
                <w:sz w:val="24"/>
                <w:szCs w:val="24"/>
              </w:rPr>
              <w:t>《声环境质量标准》GB 3096－2008</w:t>
            </w:r>
            <w:r>
              <w:rPr>
                <w:rFonts w:hint="eastAsia" w:ascii="Times New Roman" w:hAnsi="Times New Roman" w:eastAsia="宋体"/>
                <w:color w:val="auto"/>
                <w:sz w:val="24"/>
                <w:szCs w:val="24"/>
                <w:lang w:eastAsia="zh-CN"/>
              </w:rPr>
              <w:t>表</w:t>
            </w: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lang w:eastAsia="zh-CN"/>
              </w:rPr>
              <w:t>中</w:t>
            </w:r>
            <w:r>
              <w:rPr>
                <w:rFonts w:hint="eastAsia" w:ascii="Times New Roman" w:hAnsi="Times New Roman" w:eastAsia="宋体"/>
                <w:color w:val="auto"/>
                <w:sz w:val="24"/>
                <w:szCs w:val="24"/>
                <w:lang w:val="en-US" w:eastAsia="zh-CN"/>
              </w:rPr>
              <w:t>4a</w:t>
            </w:r>
            <w:r>
              <w:rPr>
                <w:rFonts w:hint="eastAsia" w:ascii="Times New Roman" w:hAnsi="Times New Roman" w:eastAsia="宋体"/>
                <w:color w:val="auto"/>
                <w:sz w:val="24"/>
                <w:szCs w:val="24"/>
              </w:rPr>
              <w:t>类标准</w:t>
            </w:r>
            <w:r>
              <w:rPr>
                <w:rFonts w:hint="eastAsia" w:eastAsia="宋体"/>
                <w:color w:val="auto"/>
                <w:sz w:val="24"/>
                <w:szCs w:val="24"/>
                <w:lang w:eastAsia="zh-CN"/>
              </w:rPr>
              <w:t>。</w:t>
            </w:r>
            <w:r>
              <w:rPr>
                <w:rFonts w:ascii="Times New Roman" w:hAnsi="Times New Roman" w:eastAsia="宋体"/>
                <w:color w:val="auto"/>
                <w:sz w:val="24"/>
                <w:szCs w:val="24"/>
              </w:rPr>
              <w:t>噪声对外界影响较小。</w:t>
            </w:r>
          </w:p>
          <w:p w14:paraId="50C36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u w:val="none" w:color="auto"/>
                <w:lang w:val="en-US" w:eastAsia="zh-CN"/>
              </w:rPr>
            </w:pPr>
          </w:p>
          <w:p w14:paraId="1A05E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b/>
                <w:bCs/>
                <w:color w:val="auto"/>
                <w:lang w:val="en-US" w:eastAsia="zh-CN"/>
              </w:rPr>
            </w:pPr>
            <w:r>
              <w:rPr>
                <w:rFonts w:hint="eastAsia"/>
                <w:b/>
                <w:bCs/>
                <w:color w:val="auto"/>
                <w:sz w:val="24"/>
                <w:szCs w:val="24"/>
                <w:u w:val="none" w:color="auto"/>
                <w:lang w:val="en-US" w:eastAsia="zh-CN"/>
              </w:rPr>
              <w:t>4</w:t>
            </w:r>
            <w:r>
              <w:rPr>
                <w:rFonts w:hint="eastAsia" w:ascii="Times New Roman" w:hAnsi="Times New Roman" w:eastAsia="宋体"/>
                <w:b/>
                <w:bCs/>
                <w:color w:val="auto"/>
                <w:sz w:val="24"/>
                <w:szCs w:val="24"/>
                <w:u w:val="none" w:color="auto"/>
                <w:lang w:val="en-US" w:eastAsia="zh-CN"/>
              </w:rPr>
              <w:t>、</w:t>
            </w:r>
            <w:r>
              <w:rPr>
                <w:rFonts w:hint="eastAsia"/>
                <w:b/>
                <w:bCs/>
                <w:color w:val="auto"/>
                <w:sz w:val="24"/>
                <w:szCs w:val="24"/>
                <w:u w:val="none" w:color="auto"/>
                <w:lang w:val="en-US" w:eastAsia="zh-CN"/>
              </w:rPr>
              <w:t>固废</w:t>
            </w:r>
          </w:p>
          <w:p w14:paraId="1303E15F">
            <w:pPr>
              <w:adjustRightInd w:val="0"/>
              <w:snapToGrid w:val="0"/>
              <w:spacing w:line="360" w:lineRule="auto"/>
              <w:ind w:firstLine="480" w:firstLineChars="200"/>
              <w:rPr>
                <w:rFonts w:hint="eastAsia"/>
                <w:color w:val="auto"/>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
              </w:rPr>
              <w:t>项目运营期固体废物主要</w:t>
            </w:r>
            <w:r>
              <w:rPr>
                <w:rFonts w:hint="eastAsia" w:cs="Times New Roman"/>
                <w:color w:val="auto"/>
                <w:kern w:val="0"/>
                <w:sz w:val="24"/>
                <w:szCs w:val="24"/>
                <w:highlight w:val="none"/>
                <w:u w:val="none" w:color="auto"/>
                <w:lang w:val="en-US" w:eastAsia="zh-CN" w:bidi="ar"/>
              </w:rPr>
              <w:t>有医疗废物（感染性废物，损伤性废物，药物性废物），检验废液，污水处理站污泥，废包</w:t>
            </w:r>
            <w:r>
              <w:rPr>
                <w:rFonts w:hint="eastAsia" w:eastAsia="宋体" w:cs="Times New Roman"/>
                <w:color w:val="auto"/>
                <w:kern w:val="0"/>
                <w:sz w:val="24"/>
                <w:szCs w:val="24"/>
                <w:highlight w:val="none"/>
                <w:u w:val="none" w:color="auto"/>
                <w:lang w:val="en-US" w:eastAsia="zh-CN" w:bidi="ar"/>
              </w:rPr>
              <w:t>装物，</w:t>
            </w:r>
            <w:r>
              <w:rPr>
                <w:rFonts w:hint="default" w:eastAsia="宋体" w:cs="Times New Roman"/>
                <w:color w:val="auto"/>
                <w:kern w:val="0"/>
                <w:sz w:val="24"/>
                <w:szCs w:val="24"/>
                <w:highlight w:val="none"/>
                <w:u w:val="none" w:color="auto"/>
                <w:lang w:val="en-US" w:eastAsia="zh-CN" w:bidi="ar"/>
              </w:rPr>
              <w:t>废一次性输液瓶（袋）</w:t>
            </w:r>
            <w:r>
              <w:rPr>
                <w:rFonts w:hint="eastAsia" w:eastAsia="宋体" w:cs="Times New Roman"/>
                <w:color w:val="auto"/>
                <w:kern w:val="0"/>
                <w:sz w:val="24"/>
                <w:szCs w:val="24"/>
                <w:highlight w:val="none"/>
                <w:u w:val="none" w:color="auto"/>
                <w:lang w:val="en-US" w:eastAsia="zh-CN" w:bidi="ar"/>
              </w:rPr>
              <w:t>，</w:t>
            </w:r>
            <w:r>
              <w:rPr>
                <w:rFonts w:hint="default" w:eastAsia="宋体" w:cs="Times New Roman"/>
                <w:color w:val="auto"/>
                <w:kern w:val="0"/>
                <w:sz w:val="24"/>
                <w:szCs w:val="24"/>
                <w:highlight w:val="none"/>
                <w:u w:val="none" w:color="auto"/>
                <w:lang w:val="en-US" w:eastAsia="zh-CN" w:bidi="ar"/>
              </w:rPr>
              <w:t>生活垃圾</w:t>
            </w:r>
            <w:r>
              <w:rPr>
                <w:rFonts w:hint="eastAsia" w:eastAsia="宋体" w:cs="Times New Roman"/>
                <w:color w:val="auto"/>
                <w:kern w:val="0"/>
                <w:sz w:val="24"/>
                <w:szCs w:val="24"/>
                <w:highlight w:val="none"/>
                <w:u w:val="none" w:color="auto"/>
                <w:lang w:val="en-US" w:eastAsia="zh-CN" w:bidi="ar"/>
              </w:rPr>
              <w:t>。</w:t>
            </w:r>
          </w:p>
          <w:p w14:paraId="3CCF4B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1</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感染性废物</w:t>
            </w:r>
          </w:p>
          <w:p w14:paraId="450DCA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根据医院实际运营，项目产生感染性废物</w:t>
            </w:r>
            <w:r>
              <w:rPr>
                <w:rFonts w:hint="eastAsia" w:cs="Times New Roman"/>
                <w:color w:val="auto"/>
                <w:kern w:val="0"/>
                <w:sz w:val="24"/>
                <w:szCs w:val="24"/>
                <w:highlight w:val="none"/>
                <w:u w:val="none" w:color="auto"/>
                <w:lang w:val="en-US" w:eastAsia="zh-CN" w:bidi="ar"/>
              </w:rPr>
              <w:t>1.481</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eastAsia="宋体" w:cs="Times New Roman"/>
                <w:color w:val="auto"/>
                <w:kern w:val="0"/>
                <w:sz w:val="24"/>
                <w:szCs w:val="24"/>
                <w:highlight w:val="none"/>
                <w:u w:val="none" w:color="auto"/>
                <w:lang w:val="en-US" w:eastAsia="zh-CN" w:bidi="ar"/>
              </w:rPr>
              <w:t>，废物类别为HW01医疗废物，</w:t>
            </w:r>
            <w:r>
              <w:rPr>
                <w:rFonts w:hint="default" w:ascii="Times New Roman" w:hAnsi="Times New Roman" w:eastAsia="宋体" w:cs="Times New Roman"/>
                <w:color w:val="auto"/>
                <w:kern w:val="0"/>
                <w:sz w:val="24"/>
                <w:szCs w:val="24"/>
                <w:highlight w:val="none"/>
                <w:u w:val="none" w:color="auto"/>
                <w:lang w:val="en-US" w:eastAsia="zh-CN" w:bidi="ar"/>
              </w:rPr>
              <w:t>废物代码为</w:t>
            </w:r>
            <w:r>
              <w:rPr>
                <w:rFonts w:hint="eastAsia" w:ascii="Times New Roman" w:hAnsi="Times New Roman" w:eastAsia="宋体" w:cs="Times New Roman"/>
                <w:color w:val="auto"/>
                <w:kern w:val="0"/>
                <w:sz w:val="24"/>
                <w:szCs w:val="24"/>
                <w:highlight w:val="none"/>
                <w:u w:val="none" w:color="auto"/>
                <w:lang w:val="en-US" w:eastAsia="zh-CN" w:bidi="ar"/>
              </w:rPr>
              <w:t>841-001-01 。项目在院区住院楼</w:t>
            </w:r>
            <w:r>
              <w:rPr>
                <w:rFonts w:hint="eastAsia" w:cs="Times New Roman"/>
                <w:color w:val="auto"/>
                <w:kern w:val="0"/>
                <w:sz w:val="24"/>
                <w:szCs w:val="24"/>
                <w:highlight w:val="none"/>
                <w:u w:val="none" w:color="auto"/>
                <w:lang w:val="en-US" w:eastAsia="zh-CN" w:bidi="ar"/>
              </w:rPr>
              <w:t>东</w:t>
            </w:r>
            <w:r>
              <w:rPr>
                <w:rFonts w:hint="eastAsia" w:ascii="Times New Roman" w:hAnsi="Times New Roman" w:eastAsia="宋体" w:cs="Times New Roman"/>
                <w:color w:val="auto"/>
                <w:kern w:val="0"/>
                <w:sz w:val="24"/>
                <w:szCs w:val="24"/>
                <w:highlight w:val="none"/>
                <w:u w:val="none" w:color="auto"/>
                <w:lang w:val="en-US" w:eastAsia="zh-CN" w:bidi="ar"/>
              </w:rPr>
              <w:t>北侧设有建筑面积为</w:t>
            </w:r>
            <w:r>
              <w:rPr>
                <w:rFonts w:hint="eastAsia" w:cs="Times New Roman"/>
                <w:color w:val="auto"/>
                <w:kern w:val="0"/>
                <w:sz w:val="24"/>
                <w:szCs w:val="24"/>
                <w:highlight w:val="none"/>
                <w:u w:val="none" w:color="auto"/>
                <w:lang w:val="en-US" w:eastAsia="zh-CN" w:bidi="ar"/>
              </w:rPr>
              <w:t>10</w:t>
            </w:r>
            <w:r>
              <w:rPr>
                <w:rFonts w:hint="eastAsia" w:ascii="Times New Roman" w:hAnsi="Times New Roman" w:eastAsia="宋体" w:cs="Times New Roman"/>
                <w:color w:val="auto"/>
                <w:kern w:val="0"/>
                <w:sz w:val="24"/>
                <w:szCs w:val="24"/>
                <w:highlight w:val="none"/>
                <w:u w:val="none" w:color="auto"/>
                <w:lang w:val="en-US" w:eastAsia="zh-CN" w:bidi="ar"/>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的医疗废物暂存间。医疗废物经收集后，定期交由株洲市医疗废物集中处置有限公司处置。</w:t>
            </w:r>
          </w:p>
          <w:p w14:paraId="0CD9CC74">
            <w:pPr>
              <w:numPr>
                <w:ilvl w:val="0"/>
                <w:numId w:val="0"/>
              </w:numPr>
              <w:adjustRightInd w:val="0"/>
              <w:snapToGrid w:val="0"/>
              <w:spacing w:line="360" w:lineRule="auto"/>
              <w:ind w:left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）损伤性废物</w:t>
            </w:r>
          </w:p>
          <w:p w14:paraId="2C1C23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根据医院实际运营，项目产生损伤性废物</w:t>
            </w:r>
            <w:r>
              <w:rPr>
                <w:rFonts w:hint="eastAsia" w:cs="Times New Roman"/>
                <w:color w:val="auto"/>
                <w:kern w:val="0"/>
                <w:sz w:val="24"/>
                <w:szCs w:val="24"/>
                <w:highlight w:val="none"/>
                <w:u w:val="none" w:color="auto"/>
                <w:lang w:val="en-US" w:eastAsia="zh-CN" w:bidi="ar"/>
              </w:rPr>
              <w:t>0.822</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cs="Times New Roman"/>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废物类别为HW01医疗废物，</w:t>
            </w:r>
            <w:r>
              <w:rPr>
                <w:rFonts w:hint="default" w:ascii="Times New Roman" w:hAnsi="Times New Roman" w:eastAsia="宋体" w:cs="Times New Roman"/>
                <w:color w:val="auto"/>
                <w:kern w:val="0"/>
                <w:sz w:val="24"/>
                <w:szCs w:val="24"/>
                <w:highlight w:val="none"/>
                <w:u w:val="none" w:color="auto"/>
                <w:lang w:val="en-US" w:eastAsia="zh-CN" w:bidi="ar"/>
              </w:rPr>
              <w:t>废物代码为</w:t>
            </w:r>
            <w:r>
              <w:rPr>
                <w:rFonts w:hint="eastAsia" w:ascii="Times New Roman" w:hAnsi="Times New Roman" w:eastAsia="宋体" w:cs="Times New Roman"/>
                <w:color w:val="auto"/>
                <w:kern w:val="0"/>
                <w:sz w:val="24"/>
                <w:szCs w:val="24"/>
                <w:highlight w:val="none"/>
                <w:u w:val="none" w:color="auto"/>
                <w:lang w:val="en-US" w:eastAsia="zh-CN" w:bidi="ar"/>
              </w:rPr>
              <w:t>841-002-01 。项目在院区住院楼</w:t>
            </w:r>
            <w:r>
              <w:rPr>
                <w:rFonts w:hint="eastAsia" w:cs="Times New Roman"/>
                <w:color w:val="auto"/>
                <w:kern w:val="0"/>
                <w:sz w:val="24"/>
                <w:szCs w:val="24"/>
                <w:highlight w:val="none"/>
                <w:u w:val="none" w:color="auto"/>
                <w:lang w:val="en-US" w:eastAsia="zh-CN" w:bidi="ar"/>
              </w:rPr>
              <w:t>东</w:t>
            </w:r>
            <w:r>
              <w:rPr>
                <w:rFonts w:hint="eastAsia" w:ascii="Times New Roman" w:hAnsi="Times New Roman" w:eastAsia="宋体" w:cs="Times New Roman"/>
                <w:color w:val="auto"/>
                <w:kern w:val="0"/>
                <w:sz w:val="24"/>
                <w:szCs w:val="24"/>
                <w:highlight w:val="none"/>
                <w:u w:val="none" w:color="auto"/>
                <w:lang w:val="en-US" w:eastAsia="zh-CN" w:bidi="ar"/>
              </w:rPr>
              <w:t>北侧设有建筑面积为</w:t>
            </w:r>
            <w:r>
              <w:rPr>
                <w:rFonts w:hint="eastAsia" w:cs="Times New Roman"/>
                <w:color w:val="auto"/>
                <w:kern w:val="0"/>
                <w:sz w:val="24"/>
                <w:szCs w:val="24"/>
                <w:highlight w:val="none"/>
                <w:u w:val="none" w:color="auto"/>
                <w:lang w:val="en-US" w:eastAsia="zh-CN" w:bidi="ar"/>
              </w:rPr>
              <w:t>10</w:t>
            </w:r>
            <w:r>
              <w:rPr>
                <w:rFonts w:hint="eastAsia" w:ascii="Times New Roman" w:hAnsi="Times New Roman" w:eastAsia="宋体" w:cs="Times New Roman"/>
                <w:color w:val="auto"/>
                <w:kern w:val="0"/>
                <w:sz w:val="24"/>
                <w:szCs w:val="24"/>
                <w:highlight w:val="none"/>
                <w:u w:val="none" w:color="auto"/>
                <w:lang w:val="en-US" w:eastAsia="zh-CN" w:bidi="ar"/>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的医疗废物暂存间。医疗废物经收集后，定期交由株洲市医疗废物集中处置有限公司处置。</w:t>
            </w:r>
          </w:p>
          <w:p w14:paraId="5D9943C4">
            <w:pPr>
              <w:pStyle w:val="6"/>
              <w:numPr>
                <w:ilvl w:val="0"/>
                <w:numId w:val="0"/>
              </w:numPr>
              <w:ind w:leftChars="200"/>
              <w:rPr>
                <w:rFonts w:hint="eastAsia" w:cs="Times New Roman"/>
                <w:color w:val="auto"/>
                <w:kern w:val="0"/>
                <w:sz w:val="24"/>
                <w:szCs w:val="24"/>
                <w:highlight w:val="none"/>
                <w:u w:val="none" w:color="auto"/>
                <w:lang w:val="en-US" w:eastAsia="zh-CN" w:bidi="ar"/>
              </w:rPr>
            </w:pPr>
            <w:r>
              <w:rPr>
                <w:rFonts w:hint="eastAsia" w:cs="Times New Roman"/>
                <w:color w:val="auto"/>
                <w:kern w:val="0"/>
                <w:sz w:val="24"/>
                <w:szCs w:val="24"/>
                <w:highlight w:val="none"/>
                <w:u w:val="none" w:color="auto"/>
                <w:lang w:val="en-US" w:eastAsia="zh-CN" w:bidi="ar"/>
              </w:rPr>
              <w:t>（3）药物性废物</w:t>
            </w:r>
          </w:p>
          <w:p w14:paraId="30BC9B0B">
            <w:pPr>
              <w:adjustRightInd w:val="0"/>
              <w:snapToGrid w:val="0"/>
              <w:spacing w:line="360" w:lineRule="auto"/>
              <w:ind w:firstLine="480" w:firstLineChars="200"/>
              <w:rPr>
                <w:rFonts w:hint="eastAsia"/>
                <w:color w:val="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
              </w:rPr>
              <w:t>根据医院实际运营，项目产生药物性废物</w:t>
            </w:r>
            <w:r>
              <w:rPr>
                <w:rFonts w:hint="eastAsia" w:cs="Times New Roman"/>
                <w:color w:val="auto"/>
                <w:kern w:val="0"/>
                <w:sz w:val="24"/>
                <w:szCs w:val="24"/>
                <w:highlight w:val="none"/>
                <w:u w:val="none" w:color="auto"/>
                <w:lang w:val="en-US" w:eastAsia="zh-CN" w:bidi="ar"/>
              </w:rPr>
              <w:t>0.005</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cs="Times New Roman"/>
                <w:color w:val="auto"/>
                <w:kern w:val="0"/>
                <w:sz w:val="24"/>
                <w:szCs w:val="24"/>
                <w:highlight w:val="none"/>
                <w:u w:val="none" w:color="auto"/>
                <w:lang w:val="en-US" w:eastAsia="zh-CN" w:bidi="ar"/>
              </w:rPr>
              <w:t>，</w:t>
            </w:r>
            <w:r>
              <w:rPr>
                <w:rFonts w:hint="eastAsia" w:ascii="Times New Roman" w:hAnsi="Times New Roman" w:eastAsia="宋体" w:cs="Times New Roman"/>
                <w:color w:val="auto"/>
                <w:kern w:val="0"/>
                <w:sz w:val="24"/>
                <w:szCs w:val="24"/>
                <w:highlight w:val="none"/>
                <w:u w:val="none" w:color="auto"/>
                <w:lang w:val="en-US" w:eastAsia="zh-CN" w:bidi="ar"/>
              </w:rPr>
              <w:t>废物类别为HW01医疗废物，</w:t>
            </w:r>
            <w:r>
              <w:rPr>
                <w:rFonts w:hint="default" w:ascii="Times New Roman" w:hAnsi="Times New Roman" w:eastAsia="宋体" w:cs="Times New Roman"/>
                <w:color w:val="auto"/>
                <w:kern w:val="0"/>
                <w:sz w:val="24"/>
                <w:szCs w:val="24"/>
                <w:highlight w:val="none"/>
                <w:u w:val="none" w:color="auto"/>
                <w:lang w:val="en-US" w:eastAsia="zh-CN" w:bidi="ar"/>
              </w:rPr>
              <w:t>废物代码为</w:t>
            </w:r>
            <w:r>
              <w:rPr>
                <w:rFonts w:hint="eastAsia" w:ascii="Times New Roman" w:hAnsi="Times New Roman" w:eastAsia="宋体" w:cs="Times New Roman"/>
                <w:color w:val="auto"/>
                <w:kern w:val="0"/>
                <w:sz w:val="24"/>
                <w:szCs w:val="24"/>
                <w:highlight w:val="none"/>
                <w:u w:val="none" w:color="auto"/>
                <w:lang w:val="en-US" w:eastAsia="zh-CN" w:bidi="ar"/>
              </w:rPr>
              <w:t>841-005-01 。项目在院区住院楼</w:t>
            </w:r>
            <w:r>
              <w:rPr>
                <w:rFonts w:hint="eastAsia" w:cs="Times New Roman"/>
                <w:color w:val="auto"/>
                <w:kern w:val="0"/>
                <w:sz w:val="24"/>
                <w:szCs w:val="24"/>
                <w:highlight w:val="none"/>
                <w:u w:val="none" w:color="auto"/>
                <w:lang w:val="en-US" w:eastAsia="zh-CN" w:bidi="ar"/>
              </w:rPr>
              <w:t>东</w:t>
            </w:r>
            <w:r>
              <w:rPr>
                <w:rFonts w:hint="eastAsia" w:ascii="Times New Roman" w:hAnsi="Times New Roman" w:eastAsia="宋体" w:cs="Times New Roman"/>
                <w:color w:val="auto"/>
                <w:kern w:val="0"/>
                <w:sz w:val="24"/>
                <w:szCs w:val="24"/>
                <w:highlight w:val="none"/>
                <w:u w:val="none" w:color="auto"/>
                <w:lang w:val="en-US" w:eastAsia="zh-CN" w:bidi="ar"/>
              </w:rPr>
              <w:t>北侧设有建筑面积为</w:t>
            </w:r>
            <w:r>
              <w:rPr>
                <w:rFonts w:hint="eastAsia" w:cs="Times New Roman"/>
                <w:color w:val="auto"/>
                <w:kern w:val="0"/>
                <w:sz w:val="24"/>
                <w:szCs w:val="24"/>
                <w:highlight w:val="none"/>
                <w:u w:val="none" w:color="auto"/>
                <w:lang w:val="en-US" w:eastAsia="zh-CN" w:bidi="ar"/>
              </w:rPr>
              <w:t>10</w:t>
            </w:r>
            <w:r>
              <w:rPr>
                <w:rFonts w:hint="eastAsia" w:ascii="Times New Roman" w:hAnsi="Times New Roman" w:eastAsia="宋体" w:cs="Times New Roman"/>
                <w:color w:val="auto"/>
                <w:kern w:val="0"/>
                <w:sz w:val="24"/>
                <w:szCs w:val="24"/>
                <w:highlight w:val="none"/>
                <w:u w:val="none" w:color="auto"/>
                <w:lang w:val="en-US" w:eastAsia="zh-CN" w:bidi="ar"/>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
              </w:rPr>
              <w:t>2</w:t>
            </w:r>
            <w:r>
              <w:rPr>
                <w:rFonts w:hint="eastAsia" w:ascii="Times New Roman" w:hAnsi="Times New Roman" w:eastAsia="宋体" w:cs="Times New Roman"/>
                <w:color w:val="auto"/>
                <w:kern w:val="0"/>
                <w:sz w:val="24"/>
                <w:szCs w:val="24"/>
                <w:highlight w:val="none"/>
                <w:u w:val="none" w:color="auto"/>
                <w:lang w:val="en-US" w:eastAsia="zh-CN" w:bidi="ar"/>
              </w:rPr>
              <w:t>的医疗废物暂存间。医疗废物经收集后，定期交由株洲市医疗废物集中处置有限公司处置。</w:t>
            </w:r>
          </w:p>
          <w:p w14:paraId="2AAD90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4</w:t>
            </w:r>
            <w:r>
              <w:rPr>
                <w:rFonts w:hint="eastAsia" w:ascii="Times New Roman" w:hAnsi="Times New Roman" w:eastAsia="宋体" w:cs="Times New Roman"/>
                <w:color w:val="auto"/>
                <w:kern w:val="0"/>
                <w:sz w:val="24"/>
                <w:szCs w:val="24"/>
                <w:highlight w:val="none"/>
                <w:u w:val="none" w:color="auto"/>
                <w:lang w:val="en-US" w:eastAsia="zh-CN" w:bidi="ar"/>
              </w:rPr>
              <w:t>）检验废液</w:t>
            </w:r>
          </w:p>
          <w:p w14:paraId="522992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项目使用试剂均单独分装，使用时按需取出。项目主要使用试剂盒进行检测，不使用含重金属的药剂，简单化验时使用药剂量较少，且化验时间短，药剂每次使用后立即封盖，可避免药剂挥发和受污染。化验后会有少量的废液（主要成分为血液、体液、排泄物、废弃化学剂等，项目检测内容较为简单，多采用试剂盒进行检测）产生，根据医院实际运营其产生量约</w:t>
            </w:r>
            <w:r>
              <w:rPr>
                <w:rFonts w:hint="eastAsia" w:cs="Times New Roman"/>
                <w:color w:val="auto"/>
                <w:kern w:val="0"/>
                <w:sz w:val="24"/>
                <w:szCs w:val="24"/>
                <w:highlight w:val="none"/>
                <w:u w:val="none" w:color="auto"/>
                <w:lang w:val="en-US" w:eastAsia="zh-CN" w:bidi="ar"/>
              </w:rPr>
              <w:t>0.876</w:t>
            </w:r>
            <w:r>
              <w:rPr>
                <w:rFonts w:hint="eastAsia" w:ascii="Times New Roman" w:hAnsi="Times New Roman" w:eastAsia="宋体" w:cs="Times New Roman"/>
                <w:color w:val="auto"/>
                <w:kern w:val="0"/>
                <w:sz w:val="24"/>
                <w:szCs w:val="24"/>
                <w:highlight w:val="none"/>
                <w:u w:val="none" w:color="auto"/>
                <w:lang w:val="en-US" w:eastAsia="zh-CN" w:bidi="ar"/>
              </w:rPr>
              <w:t>t/a，其中废弃的化学剂属于“HW01 医疗废物中 831-004-01 化学性废物”类危险废物，化验过的血液、体液、排泄物、未被使用废弃的血液、体液和排泄物属于“HW01医疗废物中 831-001-01 感染性废物”类危险废物，建设单位应采用密封桶进行收集，并暂存于医疗废物间内，定期交由株洲市医疗废物集中处置有限公司处置。</w:t>
            </w:r>
          </w:p>
          <w:p w14:paraId="7275DAB0">
            <w:pPr>
              <w:pStyle w:val="3"/>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u w:val="none" w:color="auto"/>
                <w:lang w:val="en-US" w:eastAsia="zh-CN"/>
              </w:rPr>
            </w:pPr>
            <w:r>
              <w:rPr>
                <w:rFonts w:ascii="宋体" w:hAnsi="宋体" w:eastAsia="宋体" w:cs="宋体"/>
                <w:color w:val="auto"/>
                <w:sz w:val="24"/>
                <w:szCs w:val="24"/>
                <w:u w:val="none" w:color="auto"/>
              </w:rPr>
              <w:t xml:space="preserve"> 项目</w:t>
            </w:r>
            <w:r>
              <w:rPr>
                <w:rFonts w:hint="eastAsia" w:ascii="宋体" w:hAnsi="宋体" w:eastAsia="宋体" w:cs="宋体"/>
                <w:color w:val="auto"/>
                <w:sz w:val="24"/>
                <w:szCs w:val="24"/>
                <w:u w:val="none" w:color="auto"/>
                <w:lang w:eastAsia="zh-CN"/>
              </w:rPr>
              <w:t>检验</w:t>
            </w:r>
            <w:r>
              <w:rPr>
                <w:rFonts w:ascii="宋体" w:hAnsi="宋体" w:eastAsia="宋体" w:cs="宋体"/>
                <w:color w:val="auto"/>
                <w:sz w:val="24"/>
                <w:szCs w:val="24"/>
                <w:u w:val="none" w:color="auto"/>
              </w:rPr>
              <w:t>过程，</w:t>
            </w:r>
            <w:r>
              <w:rPr>
                <w:rFonts w:hint="eastAsia" w:ascii="宋体" w:hAnsi="宋体" w:eastAsia="宋体" w:cs="宋体"/>
                <w:color w:val="auto"/>
                <w:sz w:val="24"/>
                <w:szCs w:val="24"/>
                <w:u w:val="none" w:color="auto"/>
                <w:lang w:eastAsia="zh-CN"/>
              </w:rPr>
              <w:t>检</w:t>
            </w:r>
            <w:r>
              <w:rPr>
                <w:rFonts w:ascii="宋体" w:hAnsi="宋体" w:eastAsia="宋体" w:cs="宋体"/>
                <w:color w:val="auto"/>
                <w:sz w:val="24"/>
                <w:szCs w:val="24"/>
                <w:u w:val="none" w:color="auto"/>
              </w:rPr>
              <w:t>验员需佩戴口罩、手套进行操作，</w:t>
            </w:r>
            <w:r>
              <w:rPr>
                <w:rFonts w:hint="eastAsia" w:ascii="宋体" w:hAnsi="宋体" w:eastAsia="宋体" w:cs="宋体"/>
                <w:color w:val="auto"/>
                <w:sz w:val="24"/>
                <w:szCs w:val="24"/>
                <w:u w:val="none" w:color="auto"/>
                <w:lang w:eastAsia="zh-CN"/>
              </w:rPr>
              <w:t>检验</w:t>
            </w:r>
            <w:r>
              <w:rPr>
                <w:rFonts w:ascii="宋体" w:hAnsi="宋体" w:eastAsia="宋体" w:cs="宋体"/>
                <w:color w:val="auto"/>
                <w:sz w:val="24"/>
                <w:szCs w:val="24"/>
                <w:u w:val="none" w:color="auto"/>
              </w:rPr>
              <w:t>物品采用</w:t>
            </w:r>
            <w:r>
              <w:rPr>
                <w:rFonts w:hint="eastAsia" w:ascii="宋体" w:hAnsi="宋体" w:eastAsia="宋体" w:cs="宋体"/>
                <w:color w:val="auto"/>
                <w:sz w:val="24"/>
                <w:szCs w:val="24"/>
                <w:u w:val="none" w:color="auto"/>
                <w:lang w:eastAsia="zh-CN"/>
              </w:rPr>
              <w:t>检验</w:t>
            </w:r>
            <w:r>
              <w:rPr>
                <w:rFonts w:ascii="宋体" w:hAnsi="宋体" w:eastAsia="宋体" w:cs="宋体"/>
                <w:color w:val="auto"/>
                <w:sz w:val="24"/>
                <w:szCs w:val="24"/>
                <w:u w:val="none" w:color="auto"/>
              </w:rPr>
              <w:t>器皿盛装，手套、口罩和部分器皿均为一次性用品，类比同类型医院其产生量约</w:t>
            </w:r>
            <w:r>
              <w:rPr>
                <w:rFonts w:hint="eastAsia" w:ascii="Times New Roman" w:hAnsi="Times New Roman" w:eastAsia="宋体" w:cs="Times New Roman"/>
                <w:color w:val="auto"/>
                <w:kern w:val="0"/>
                <w:sz w:val="24"/>
                <w:szCs w:val="24"/>
                <w:highlight w:val="none"/>
                <w:u w:val="none" w:color="auto"/>
                <w:lang w:val="en-US" w:eastAsia="zh-CN" w:bidi="ar"/>
              </w:rPr>
              <w:t>0.057</w:t>
            </w:r>
            <w:r>
              <w:rPr>
                <w:rFonts w:ascii="宋体" w:hAnsi="宋体" w:eastAsia="宋体" w:cs="宋体"/>
                <w:color w:val="auto"/>
                <w:sz w:val="24"/>
                <w:szCs w:val="24"/>
                <w:u w:val="none" w:color="auto"/>
              </w:rPr>
              <w:t>t/a，此类废液属于“HW01 医疗废物中 831-001-01 感染性废物”类危险废物，建设单位应采用密封袋进行收集，并暂存于医疗废物间内，定期交由有资质单位清运处置。</w:t>
            </w:r>
          </w:p>
          <w:p w14:paraId="4D1548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5</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sz w:val="24"/>
                <w:szCs w:val="24"/>
                <w:u w:val="none" w:color="auto"/>
                <w:lang w:val="en-US" w:eastAsia="zh-CN"/>
              </w:rPr>
              <w:t>污水处理站污泥</w:t>
            </w:r>
            <w:r>
              <w:rPr>
                <w:rFonts w:hint="eastAsia" w:ascii="Times New Roman" w:hAnsi="Times New Roman" w:eastAsia="宋体" w:cs="Times New Roman"/>
                <w:color w:val="auto"/>
                <w:sz w:val="24"/>
                <w:szCs w:val="24"/>
                <w:u w:val="none" w:color="auto"/>
                <w:lang w:val="en-US" w:eastAsia="zh-CN"/>
              </w:rPr>
              <w:t>（包括栅渣）</w:t>
            </w:r>
          </w:p>
          <w:p w14:paraId="17923C18">
            <w:pPr>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项目污水处理过程产生的栅渣和污泥量与原水的悬浮固体及处理工艺有关。按照《医院污水处理技术指南》中的推荐数据，栅渣和污泥量产生系数类比初沉池，见表4-</w:t>
            </w:r>
            <w:r>
              <w:rPr>
                <w:rFonts w:hint="eastAsia" w:ascii="Times New Roman" w:hAnsi="Times New Roman" w:eastAsia="宋体" w:cs="Times New Roman"/>
                <w:color w:val="auto"/>
                <w:sz w:val="24"/>
                <w:szCs w:val="24"/>
                <w:u w:val="none" w:color="auto"/>
                <w:lang w:val="en-US" w:eastAsia="zh-CN"/>
              </w:rPr>
              <w:t>15</w:t>
            </w:r>
            <w:r>
              <w:rPr>
                <w:rFonts w:hint="default" w:ascii="Times New Roman" w:hAnsi="Times New Roman" w:eastAsia="宋体" w:cs="Times New Roman"/>
                <w:color w:val="auto"/>
                <w:sz w:val="24"/>
                <w:szCs w:val="24"/>
                <w:u w:val="none" w:color="auto"/>
                <w:lang w:val="en-US" w:eastAsia="zh-CN"/>
              </w:rPr>
              <w:t>。</w:t>
            </w:r>
          </w:p>
          <w:p w14:paraId="7B2AB1CE">
            <w:pPr>
              <w:adjustRightInd w:val="0"/>
              <w:snapToGrid w:val="0"/>
              <w:spacing w:line="360" w:lineRule="auto"/>
              <w:jc w:val="center"/>
              <w:rPr>
                <w:b/>
                <w:bCs/>
                <w:kern w:val="0"/>
                <w:sz w:val="21"/>
                <w:szCs w:val="21"/>
              </w:rPr>
            </w:pPr>
            <w:r>
              <w:rPr>
                <w:b/>
                <w:bCs/>
                <w:kern w:val="0"/>
                <w:sz w:val="21"/>
                <w:szCs w:val="21"/>
              </w:rPr>
              <w:t>表4</w:t>
            </w:r>
            <w:r>
              <w:rPr>
                <w:rFonts w:hint="eastAsia"/>
                <w:b/>
                <w:bCs/>
                <w:kern w:val="0"/>
                <w:sz w:val="21"/>
                <w:szCs w:val="21"/>
              </w:rPr>
              <w:t>-</w:t>
            </w:r>
            <w:r>
              <w:rPr>
                <w:rFonts w:hint="eastAsia"/>
                <w:b/>
                <w:bCs/>
                <w:kern w:val="0"/>
                <w:sz w:val="21"/>
                <w:szCs w:val="21"/>
                <w:lang w:val="en-US" w:eastAsia="zh-CN"/>
              </w:rPr>
              <w:t xml:space="preserve">15 </w:t>
            </w:r>
            <w:r>
              <w:rPr>
                <w:rFonts w:hint="eastAsia"/>
                <w:b/>
                <w:bCs/>
                <w:kern w:val="0"/>
                <w:sz w:val="21"/>
                <w:szCs w:val="21"/>
              </w:rPr>
              <w:t>污水处理站构筑物产生的栅渣和污泥量</w:t>
            </w:r>
          </w:p>
          <w:tbl>
            <w:tblPr>
              <w:tblStyle w:val="17"/>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931"/>
              <w:gridCol w:w="1692"/>
              <w:gridCol w:w="2044"/>
              <w:gridCol w:w="1937"/>
            </w:tblGrid>
            <w:tr w14:paraId="08177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pct"/>
                  <w:tcBorders>
                    <w:tl2br w:val="nil"/>
                    <w:tr2bl w:val="nil"/>
                  </w:tcBorders>
                  <w:noWrap w:val="0"/>
                  <w:vAlign w:val="center"/>
                </w:tcPr>
                <w:p w14:paraId="2BCA48B7">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栅渣和污泥来源</w:t>
                  </w:r>
                </w:p>
              </w:tc>
              <w:tc>
                <w:tcPr>
                  <w:tcW w:w="999" w:type="pct"/>
                  <w:tcBorders>
                    <w:tl2br w:val="nil"/>
                    <w:tr2bl w:val="nil"/>
                  </w:tcBorders>
                  <w:noWrap w:val="0"/>
                  <w:vAlign w:val="center"/>
                </w:tcPr>
                <w:p w14:paraId="2133A11D">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总固体（g/人·d）</w:t>
                  </w:r>
                </w:p>
              </w:tc>
              <w:tc>
                <w:tcPr>
                  <w:tcW w:w="875" w:type="pct"/>
                  <w:tcBorders>
                    <w:tl2br w:val="nil"/>
                    <w:tr2bl w:val="nil"/>
                  </w:tcBorders>
                  <w:noWrap w:val="0"/>
                  <w:vAlign w:val="center"/>
                </w:tcPr>
                <w:p w14:paraId="770026B4">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含水率（90%）</w:t>
                  </w:r>
                </w:p>
              </w:tc>
              <w:tc>
                <w:tcPr>
                  <w:tcW w:w="2059" w:type="pct"/>
                  <w:gridSpan w:val="2"/>
                  <w:tcBorders>
                    <w:tl2br w:val="nil"/>
                    <w:tr2bl w:val="nil"/>
                  </w:tcBorders>
                  <w:noWrap w:val="0"/>
                  <w:vAlign w:val="center"/>
                </w:tcPr>
                <w:p w14:paraId="288E4738">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栅渣和污泥体积</w:t>
                  </w:r>
                </w:p>
              </w:tc>
            </w:tr>
            <w:tr w14:paraId="285AA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pct"/>
                  <w:tcBorders>
                    <w:tl2br w:val="nil"/>
                    <w:tr2bl w:val="nil"/>
                  </w:tcBorders>
                  <w:noWrap w:val="0"/>
                  <w:vAlign w:val="center"/>
                </w:tcPr>
                <w:p w14:paraId="70400B23">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污水处理站</w:t>
                  </w:r>
                </w:p>
              </w:tc>
              <w:tc>
                <w:tcPr>
                  <w:tcW w:w="999" w:type="pct"/>
                  <w:tcBorders>
                    <w:tl2br w:val="nil"/>
                    <w:tr2bl w:val="nil"/>
                  </w:tcBorders>
                  <w:noWrap w:val="0"/>
                  <w:vAlign w:val="center"/>
                </w:tcPr>
                <w:p w14:paraId="438F25DD">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66～75</w:t>
                  </w:r>
                </w:p>
              </w:tc>
              <w:tc>
                <w:tcPr>
                  <w:tcW w:w="875" w:type="pct"/>
                  <w:tcBorders>
                    <w:tl2br w:val="nil"/>
                    <w:tr2bl w:val="nil"/>
                  </w:tcBorders>
                  <w:noWrap w:val="0"/>
                  <w:vAlign w:val="center"/>
                </w:tcPr>
                <w:p w14:paraId="08CDDEF4">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97～98.5</w:t>
                  </w:r>
                </w:p>
              </w:tc>
              <w:tc>
                <w:tcPr>
                  <w:tcW w:w="1057" w:type="pct"/>
                  <w:tcBorders>
                    <w:tl2br w:val="nil"/>
                    <w:tr2bl w:val="nil"/>
                  </w:tcBorders>
                  <w:noWrap w:val="0"/>
                  <w:vAlign w:val="center"/>
                </w:tcPr>
                <w:p w14:paraId="484B3781">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1.04～2.07L/人·d</w:t>
                  </w:r>
                </w:p>
              </w:tc>
              <w:tc>
                <w:tcPr>
                  <w:tcW w:w="1002" w:type="pct"/>
                  <w:tcBorders>
                    <w:tl2br w:val="nil"/>
                    <w:tr2bl w:val="nil"/>
                  </w:tcBorders>
                  <w:noWrap w:val="0"/>
                  <w:vAlign w:val="center"/>
                </w:tcPr>
                <w:p w14:paraId="0258C656">
                  <w:pPr>
                    <w:bidi w:val="0"/>
                    <w:jc w:val="center"/>
                    <w:rPr>
                      <w:rFonts w:hint="default" w:ascii="Times New Roman" w:hAnsi="Times New Roman" w:cs="Times New Roman"/>
                      <w:sz w:val="21"/>
                      <w:szCs w:val="21"/>
                      <w:lang w:val="en-US" w:eastAsia="en-US"/>
                    </w:rPr>
                  </w:pPr>
                  <w:r>
                    <w:rPr>
                      <w:rFonts w:hint="default" w:ascii="Times New Roman" w:hAnsi="Times New Roman" w:cs="Times New Roman"/>
                      <w:sz w:val="21"/>
                      <w:szCs w:val="21"/>
                    </w:rPr>
                    <w:t>380～755L/人·a</w:t>
                  </w:r>
                </w:p>
              </w:tc>
            </w:tr>
          </w:tbl>
          <w:p w14:paraId="00F4478D">
            <w:pPr>
              <w:adjustRightInd w:val="0"/>
              <w:snapToGrid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本项目建成后，门诊接待人数约</w:t>
            </w:r>
            <w:r>
              <w:rPr>
                <w:rFonts w:hint="eastAsia" w:ascii="Times New Roman" w:hAnsi="Times New Roman" w:eastAsia="宋体" w:cs="Times New Roman"/>
                <w:color w:val="auto"/>
                <w:sz w:val="24"/>
                <w:szCs w:val="24"/>
                <w:u w:val="none" w:color="auto"/>
                <w:lang w:val="en-US" w:eastAsia="zh-CN"/>
              </w:rPr>
              <w:t>35</w:t>
            </w:r>
            <w:r>
              <w:rPr>
                <w:rFonts w:hint="default" w:ascii="Times New Roman" w:hAnsi="Times New Roman" w:eastAsia="宋体" w:cs="Times New Roman"/>
                <w:color w:val="auto"/>
                <w:sz w:val="24"/>
                <w:szCs w:val="24"/>
                <w:u w:val="none" w:color="auto"/>
                <w:lang w:val="en-US" w:eastAsia="zh-CN"/>
              </w:rPr>
              <w:t>人，住院床位</w:t>
            </w:r>
            <w:r>
              <w:rPr>
                <w:rFonts w:hint="eastAsia" w:ascii="Times New Roman" w:hAnsi="Times New Roman" w:eastAsia="宋体" w:cs="Times New Roman"/>
                <w:color w:val="auto"/>
                <w:sz w:val="24"/>
                <w:szCs w:val="24"/>
                <w:u w:val="none" w:color="auto"/>
                <w:lang w:val="en-US" w:eastAsia="zh-CN"/>
              </w:rPr>
              <w:t>30</w:t>
            </w:r>
            <w:r>
              <w:rPr>
                <w:rFonts w:hint="default" w:ascii="Times New Roman" w:hAnsi="Times New Roman" w:eastAsia="宋体" w:cs="Times New Roman"/>
                <w:color w:val="auto"/>
                <w:sz w:val="24"/>
                <w:szCs w:val="24"/>
                <w:u w:val="none" w:color="auto"/>
                <w:lang w:val="en-US" w:eastAsia="zh-CN"/>
              </w:rPr>
              <w:t>床，职工总人数</w:t>
            </w:r>
            <w:r>
              <w:rPr>
                <w:rFonts w:hint="eastAsia" w:ascii="Times New Roman" w:hAnsi="Times New Roman" w:eastAsia="宋体" w:cs="Times New Roman"/>
                <w:color w:val="auto"/>
                <w:sz w:val="24"/>
                <w:szCs w:val="24"/>
                <w:u w:val="none" w:color="auto"/>
                <w:lang w:val="en-US" w:eastAsia="zh-CN"/>
              </w:rPr>
              <w:t>26</w:t>
            </w:r>
            <w:r>
              <w:rPr>
                <w:rFonts w:hint="default" w:ascii="Times New Roman" w:hAnsi="Times New Roman" w:eastAsia="宋体" w:cs="Times New Roman"/>
                <w:color w:val="auto"/>
                <w:sz w:val="24"/>
                <w:szCs w:val="24"/>
                <w:u w:val="none" w:color="auto"/>
                <w:lang w:val="en-US" w:eastAsia="zh-CN"/>
              </w:rPr>
              <w:t>人，沉淀池总固体取70g/人·d，计算出项目产生总栅渣和污泥量为</w:t>
            </w:r>
            <w:r>
              <w:rPr>
                <w:rFonts w:hint="eastAsia" w:ascii="Times New Roman" w:hAnsi="Times New Roman" w:eastAsia="宋体" w:cs="Times New Roman"/>
                <w:color w:val="auto"/>
                <w:sz w:val="24"/>
                <w:szCs w:val="24"/>
                <w:u w:val="none" w:color="auto"/>
                <w:lang w:val="en-US" w:eastAsia="zh-CN"/>
              </w:rPr>
              <w:t>6.4</w:t>
            </w:r>
            <w:r>
              <w:rPr>
                <w:rFonts w:hint="default" w:ascii="Times New Roman" w:hAnsi="Times New Roman" w:eastAsia="宋体" w:cs="Times New Roman"/>
                <w:color w:val="auto"/>
                <w:sz w:val="24"/>
                <w:szCs w:val="24"/>
                <w:u w:val="none" w:color="auto"/>
                <w:lang w:val="en-US" w:eastAsia="zh-CN"/>
              </w:rPr>
              <w:t>kg/d，约</w:t>
            </w:r>
            <w:r>
              <w:rPr>
                <w:rFonts w:hint="eastAsia" w:ascii="Times New Roman" w:hAnsi="Times New Roman" w:eastAsia="宋体" w:cs="Times New Roman"/>
                <w:color w:val="auto"/>
                <w:sz w:val="24"/>
                <w:szCs w:val="24"/>
                <w:u w:val="none" w:color="auto"/>
                <w:lang w:val="en-US" w:eastAsia="zh-CN"/>
              </w:rPr>
              <w:t>2.34</w:t>
            </w:r>
            <w:r>
              <w:rPr>
                <w:rFonts w:hint="default" w:ascii="Times New Roman" w:hAnsi="Times New Roman" w:eastAsia="宋体" w:cs="Times New Roman"/>
                <w:color w:val="auto"/>
                <w:sz w:val="24"/>
                <w:szCs w:val="24"/>
                <w:u w:val="none" w:color="auto"/>
                <w:lang w:val="en-US" w:eastAsia="zh-CN"/>
              </w:rPr>
              <w:t>t/a；</w:t>
            </w:r>
          </w:p>
          <w:p w14:paraId="4BF198A0">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综上本项目污泥产生量为</w:t>
            </w:r>
            <w:r>
              <w:rPr>
                <w:rFonts w:hint="eastAsia" w:cs="Times New Roman"/>
                <w:color w:val="auto"/>
                <w:kern w:val="0"/>
                <w:sz w:val="24"/>
                <w:szCs w:val="24"/>
                <w:highlight w:val="none"/>
                <w:u w:val="none" w:color="auto"/>
                <w:lang w:val="en-US" w:eastAsia="zh-CN" w:bidi="ar"/>
              </w:rPr>
              <w:t>2.34</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eastAsia="宋体" w:cs="Times New Roman"/>
                <w:color w:val="auto"/>
                <w:kern w:val="0"/>
                <w:sz w:val="24"/>
                <w:szCs w:val="24"/>
                <w:highlight w:val="none"/>
                <w:u w:val="none" w:color="auto"/>
                <w:lang w:val="en-US" w:eastAsia="zh-CN" w:bidi="ar"/>
              </w:rPr>
              <w:t>，在清掏前需要进行监测，需满足《医疗机构水污染物排放标准》（</w:t>
            </w:r>
            <w:r>
              <w:rPr>
                <w:rFonts w:hint="default" w:ascii="Times New Roman" w:hAnsi="Times New Roman" w:eastAsia="宋体" w:cs="Times New Roman"/>
                <w:color w:val="auto"/>
                <w:kern w:val="0"/>
                <w:sz w:val="24"/>
                <w:szCs w:val="24"/>
                <w:highlight w:val="none"/>
                <w:u w:val="none" w:color="auto"/>
                <w:lang w:val="en-US" w:eastAsia="zh-CN" w:bidi="ar"/>
              </w:rPr>
              <w:t>GB18466-2005</w:t>
            </w:r>
            <w:r>
              <w:rPr>
                <w:rFonts w:hint="eastAsia" w:ascii="Times New Roman" w:hAnsi="Times New Roman" w:eastAsia="宋体" w:cs="Times New Roman"/>
                <w:color w:val="auto"/>
                <w:kern w:val="0"/>
                <w:sz w:val="24"/>
                <w:szCs w:val="24"/>
                <w:highlight w:val="none"/>
                <w:u w:val="none" w:color="auto"/>
                <w:lang w:val="en-US" w:eastAsia="zh-CN" w:bidi="ar"/>
              </w:rPr>
              <w:t>）中“表</w:t>
            </w:r>
            <w:r>
              <w:rPr>
                <w:rFonts w:hint="default" w:ascii="Times New Roman" w:hAnsi="Times New Roman" w:eastAsia="宋体" w:cs="Times New Roman"/>
                <w:color w:val="auto"/>
                <w:kern w:val="0"/>
                <w:sz w:val="24"/>
                <w:szCs w:val="24"/>
                <w:highlight w:val="none"/>
                <w:u w:val="none" w:color="auto"/>
                <w:lang w:val="en-US" w:eastAsia="zh-CN" w:bidi="ar"/>
              </w:rPr>
              <w:t>4</w:t>
            </w:r>
            <w:r>
              <w:rPr>
                <w:rFonts w:hint="eastAsia" w:ascii="Times New Roman" w:hAnsi="Times New Roman" w:eastAsia="宋体" w:cs="Times New Roman"/>
                <w:color w:val="auto"/>
                <w:kern w:val="0"/>
                <w:sz w:val="24"/>
                <w:szCs w:val="24"/>
                <w:highlight w:val="none"/>
                <w:u w:val="none" w:color="auto"/>
                <w:lang w:val="en-US" w:eastAsia="zh-CN" w:bidi="ar"/>
              </w:rPr>
              <w:t>医疗机构污泥控制标准”，根据《医疗机构水污染物排放标准》（</w:t>
            </w:r>
            <w:r>
              <w:rPr>
                <w:rFonts w:hint="default" w:ascii="Times New Roman" w:hAnsi="Times New Roman" w:eastAsia="宋体" w:cs="Times New Roman"/>
                <w:color w:val="auto"/>
                <w:kern w:val="0"/>
                <w:sz w:val="24"/>
                <w:szCs w:val="24"/>
                <w:highlight w:val="none"/>
                <w:u w:val="none" w:color="auto"/>
                <w:lang w:val="en-US" w:eastAsia="zh-CN" w:bidi="ar"/>
              </w:rPr>
              <w:t>GB18466-2005</w:t>
            </w:r>
            <w:r>
              <w:rPr>
                <w:rFonts w:hint="eastAsia" w:ascii="Times New Roman" w:hAnsi="Times New Roman" w:eastAsia="宋体" w:cs="Times New Roman"/>
                <w:color w:val="auto"/>
                <w:kern w:val="0"/>
                <w:sz w:val="24"/>
                <w:szCs w:val="24"/>
                <w:highlight w:val="none"/>
                <w:u w:val="none" w:color="auto"/>
                <w:lang w:val="en-US" w:eastAsia="zh-CN" w:bidi="ar"/>
              </w:rPr>
              <w:t>）可知，此部分污泥属于危废，</w:t>
            </w:r>
            <w:r>
              <w:rPr>
                <w:rFonts w:hint="default" w:ascii="Times New Roman" w:hAnsi="Times New Roman" w:eastAsia="宋体" w:cs="Times New Roman"/>
                <w:color w:val="auto"/>
                <w:kern w:val="0"/>
                <w:sz w:val="24"/>
                <w:szCs w:val="24"/>
                <w:highlight w:val="none"/>
                <w:u w:val="none" w:color="auto"/>
                <w:lang w:val="en-US" w:eastAsia="zh-CN" w:bidi="ar"/>
              </w:rPr>
              <w:t>废物类别为HW49，废物代码为772-006-49，</w:t>
            </w:r>
            <w:r>
              <w:rPr>
                <w:rFonts w:hint="eastAsia" w:ascii="Times New Roman" w:hAnsi="Times New Roman" w:eastAsia="宋体" w:cs="Times New Roman"/>
                <w:color w:val="auto"/>
                <w:kern w:val="0"/>
                <w:sz w:val="24"/>
                <w:szCs w:val="24"/>
                <w:highlight w:val="none"/>
                <w:u w:val="none" w:color="auto"/>
                <w:lang w:val="en-US" w:eastAsia="zh-CN" w:bidi="ar"/>
              </w:rPr>
              <w:t>该污泥交由有资质的单位清运处理，不在院内暂存。</w:t>
            </w:r>
          </w:p>
          <w:p w14:paraId="72C80491">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6</w:t>
            </w:r>
            <w:r>
              <w:rPr>
                <w:rFonts w:hint="eastAsia" w:ascii="Times New Roman" w:hAnsi="Times New Roman" w:eastAsia="宋体" w:cs="Times New Roman"/>
                <w:color w:val="auto"/>
                <w:kern w:val="0"/>
                <w:sz w:val="24"/>
                <w:szCs w:val="24"/>
                <w:highlight w:val="none"/>
                <w:u w:val="none" w:color="auto"/>
                <w:lang w:val="en-US" w:eastAsia="zh-CN" w:bidi="ar"/>
              </w:rPr>
              <w:t>）</w:t>
            </w:r>
            <w:r>
              <w:rPr>
                <w:rFonts w:hint="default" w:ascii="Times New Roman" w:hAnsi="Times New Roman" w:eastAsia="宋体" w:cs="Times New Roman"/>
                <w:color w:val="auto"/>
                <w:kern w:val="0"/>
                <w:sz w:val="24"/>
                <w:szCs w:val="24"/>
                <w:highlight w:val="none"/>
                <w:u w:val="none" w:color="auto"/>
                <w:lang w:val="en-US" w:eastAsia="zh-CN" w:bidi="ar"/>
              </w:rPr>
              <w:t>中西药包装及拆包过程产生的废弃包装物</w:t>
            </w:r>
          </w:p>
          <w:p w14:paraId="62A2E941">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
              </w:rPr>
              <w:t>据医院提供资料，项目</w:t>
            </w:r>
            <w:r>
              <w:rPr>
                <w:rFonts w:hint="default" w:ascii="Times New Roman" w:hAnsi="Times New Roman" w:eastAsia="宋体" w:cs="Times New Roman"/>
                <w:color w:val="auto"/>
                <w:kern w:val="0"/>
                <w:sz w:val="24"/>
                <w:szCs w:val="24"/>
                <w:highlight w:val="none"/>
                <w:u w:val="none" w:color="auto"/>
                <w:lang w:val="en-US" w:eastAsia="zh-CN" w:bidi="ar"/>
              </w:rPr>
              <w:t>中西药包装及拆包过程产生的废弃包装物产生量约为</w:t>
            </w:r>
            <w:r>
              <w:rPr>
                <w:rFonts w:hint="eastAsia" w:cs="Times New Roman"/>
                <w:color w:val="auto"/>
                <w:kern w:val="0"/>
                <w:sz w:val="24"/>
                <w:szCs w:val="24"/>
                <w:highlight w:val="none"/>
                <w:u w:val="none" w:color="auto"/>
                <w:lang w:val="en-US" w:eastAsia="zh-CN" w:bidi="ar"/>
              </w:rPr>
              <w:t>0.4</w:t>
            </w:r>
            <w:r>
              <w:rPr>
                <w:rFonts w:hint="default"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eastAsia="宋体" w:cs="Times New Roman"/>
                <w:color w:val="auto"/>
                <w:sz w:val="24"/>
                <w:szCs w:val="24"/>
                <w:highlight w:val="none"/>
                <w:u w:val="none" w:color="auto"/>
                <w:lang w:val="en-US" w:eastAsia="zh-CN"/>
              </w:rPr>
              <w:t>为一般工业固体废弃物，固废代码为900-999-99，经收集后与生活垃圾一同交由环卫部门清运处理。</w:t>
            </w:r>
          </w:p>
          <w:p w14:paraId="2AE6DF69">
            <w:pPr>
              <w:numPr>
                <w:ilvl w:val="0"/>
                <w:numId w:val="0"/>
              </w:numPr>
              <w:adjustRightInd w:val="0"/>
              <w:snapToGrid w:val="0"/>
              <w:spacing w:line="360" w:lineRule="auto"/>
              <w:ind w:left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7</w:t>
            </w:r>
            <w:r>
              <w:rPr>
                <w:rFonts w:hint="eastAsia" w:ascii="Times New Roman" w:hAnsi="Times New Roman" w:eastAsia="宋体" w:cs="Times New Roman"/>
                <w:color w:val="auto"/>
                <w:kern w:val="0"/>
                <w:sz w:val="24"/>
                <w:szCs w:val="24"/>
                <w:highlight w:val="none"/>
                <w:u w:val="none" w:color="auto"/>
                <w:lang w:val="en-US" w:eastAsia="zh-CN" w:bidi="ar"/>
              </w:rPr>
              <w:t>）废一次性输液瓶（袋）</w:t>
            </w:r>
          </w:p>
          <w:p w14:paraId="648E627D">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none" w:color="auto"/>
                <w:lang w:val="en-US" w:eastAsia="zh-CN" w:bidi="ar"/>
              </w:rPr>
            </w:pPr>
            <w:r>
              <w:rPr>
                <w:rFonts w:hint="eastAsia" w:ascii="Times New Roman" w:hAnsi="Times New Roman" w:eastAsia="宋体" w:cs="Times New Roman"/>
                <w:color w:val="auto"/>
                <w:kern w:val="0"/>
                <w:sz w:val="24"/>
                <w:szCs w:val="24"/>
                <w:highlight w:val="none"/>
                <w:u w:val="none" w:color="auto"/>
                <w:lang w:val="en-US" w:eastAsia="zh-CN" w:bidi="ar"/>
              </w:rPr>
              <w:t>根据《关于明确医疗废物分类的有关问题的通知》（卫办医发〔2005〕292）文件：使用后的各种玻璃（一次性塑料）输液瓶（袋），未被病人血液、体液、排泄物污染的，不属于医疗废物，不必按照医疗废物进行管理，但这类废物回收利用时不能用于原用途，用于其他用途时应符合不危害人体健康的原则。据医院提供资料，废一次性输液瓶（袋）产生量约为</w:t>
            </w:r>
            <w:r>
              <w:rPr>
                <w:rFonts w:hint="eastAsia" w:cs="Times New Roman"/>
                <w:color w:val="auto"/>
                <w:kern w:val="0"/>
                <w:sz w:val="24"/>
                <w:szCs w:val="24"/>
                <w:highlight w:val="none"/>
                <w:u w:val="none" w:color="auto"/>
                <w:lang w:val="en-US" w:eastAsia="zh-CN" w:bidi="ar"/>
              </w:rPr>
              <w:t>0.4</w:t>
            </w:r>
            <w:r>
              <w:rPr>
                <w:rFonts w:hint="eastAsia" w:ascii="Times New Roman" w:hAnsi="Times New Roman" w:eastAsia="宋体" w:cs="Times New Roman"/>
                <w:color w:val="auto"/>
                <w:kern w:val="0"/>
                <w:sz w:val="24"/>
                <w:szCs w:val="24"/>
                <w:highlight w:val="none"/>
                <w:u w:val="none" w:color="auto"/>
                <w:lang w:val="en-US" w:eastAsia="zh-CN" w:bidi="ar"/>
              </w:rPr>
              <w:t>t/a。</w:t>
            </w:r>
            <w:r>
              <w:rPr>
                <w:rFonts w:hint="eastAsia" w:ascii="Times New Roman" w:hAnsi="Times New Roman" w:eastAsia="宋体" w:cs="Times New Roman"/>
                <w:color w:val="auto"/>
                <w:sz w:val="24"/>
                <w:szCs w:val="24"/>
                <w:highlight w:val="none"/>
                <w:u w:val="none" w:color="auto"/>
                <w:lang w:val="en-US" w:eastAsia="zh-CN"/>
              </w:rPr>
              <w:t>为一般工业固体废弃物，固废代码为900-999-99，</w:t>
            </w:r>
            <w:r>
              <w:rPr>
                <w:rFonts w:hint="eastAsia" w:ascii="Times New Roman" w:hAnsi="Times New Roman" w:eastAsia="宋体" w:cs="Times New Roman"/>
                <w:color w:val="auto"/>
                <w:kern w:val="0"/>
                <w:sz w:val="24"/>
                <w:szCs w:val="24"/>
                <w:highlight w:val="none"/>
                <w:u w:val="none" w:color="auto"/>
                <w:lang w:val="en-US" w:eastAsia="zh-CN" w:bidi="ar"/>
              </w:rPr>
              <w:t>经收集后，定期交由有资质的单位处置。</w:t>
            </w:r>
          </w:p>
          <w:p w14:paraId="2F1D344E">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8</w:t>
            </w:r>
            <w:r>
              <w:rPr>
                <w:rFonts w:hint="eastAsia" w:ascii="Times New Roman" w:hAnsi="Times New Roman" w:eastAsia="宋体" w:cs="Times New Roman"/>
                <w:color w:val="auto"/>
                <w:sz w:val="24"/>
                <w:szCs w:val="24"/>
                <w:highlight w:val="none"/>
                <w:u w:val="none" w:color="auto"/>
                <w:lang w:val="en-US" w:eastAsia="zh-CN"/>
              </w:rPr>
              <w:t>）生活垃圾</w:t>
            </w:r>
          </w:p>
          <w:p w14:paraId="73E5AA79">
            <w:pPr>
              <w:adjustRightInd w:val="0"/>
              <w:snapToGrid w:val="0"/>
              <w:spacing w:line="360" w:lineRule="auto"/>
              <w:ind w:firstLine="480" w:firstLineChars="200"/>
              <w:rPr>
                <w:rFonts w:hint="eastAsia"/>
                <w:color w:val="auto"/>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
              </w:rPr>
              <w:t>本项目生活垃圾主要来自医院职工、患者及陪护人员日常产生的生活垃圾。项目医院职工为</w:t>
            </w:r>
            <w:r>
              <w:rPr>
                <w:rFonts w:hint="eastAsia" w:cs="Times New Roman"/>
                <w:color w:val="auto"/>
                <w:kern w:val="0"/>
                <w:sz w:val="24"/>
                <w:szCs w:val="24"/>
                <w:highlight w:val="none"/>
                <w:u w:val="none" w:color="auto"/>
                <w:lang w:val="en-US" w:eastAsia="zh-CN" w:bidi="ar"/>
              </w:rPr>
              <w:t>26</w:t>
            </w:r>
            <w:r>
              <w:rPr>
                <w:rFonts w:hint="eastAsia" w:ascii="Times New Roman" w:hAnsi="Times New Roman" w:eastAsia="宋体" w:cs="Times New Roman"/>
                <w:color w:val="auto"/>
                <w:kern w:val="0"/>
                <w:sz w:val="24"/>
                <w:szCs w:val="24"/>
                <w:highlight w:val="none"/>
                <w:u w:val="none" w:color="auto"/>
                <w:lang w:val="en-US" w:eastAsia="zh-CN" w:bidi="ar"/>
              </w:rPr>
              <w:t>人，生活垃圾产生系数按0.5kg/（人</w:t>
            </w:r>
            <w:r>
              <w:rPr>
                <w:rFonts w:ascii="Times New Roman" w:hAnsi="Times New Roman"/>
                <w:color w:val="auto"/>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cs="Times New Roman"/>
                <w:color w:val="auto"/>
                <w:kern w:val="0"/>
                <w:sz w:val="24"/>
                <w:szCs w:val="24"/>
                <w:highlight w:val="none"/>
                <w:u w:val="none" w:color="auto"/>
                <w:lang w:val="en-US" w:eastAsia="zh-CN" w:bidi="ar"/>
              </w:rPr>
              <w:t>13</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4.75</w:t>
            </w:r>
            <w:r>
              <w:rPr>
                <w:rFonts w:hint="eastAsia" w:ascii="Times New Roman" w:hAnsi="Times New Roman" w:eastAsia="宋体" w:cs="Times New Roman"/>
                <w:color w:val="auto"/>
                <w:kern w:val="0"/>
                <w:sz w:val="24"/>
                <w:szCs w:val="24"/>
                <w:highlight w:val="none"/>
                <w:u w:val="none" w:color="auto"/>
                <w:lang w:val="en-US" w:eastAsia="zh-CN" w:bidi="ar"/>
              </w:rPr>
              <w:t>t/a）。医院设置床位</w:t>
            </w:r>
            <w:r>
              <w:rPr>
                <w:rFonts w:hint="eastAsia" w:cs="Times New Roman"/>
                <w:color w:val="auto"/>
                <w:kern w:val="0"/>
                <w:sz w:val="24"/>
                <w:szCs w:val="24"/>
                <w:highlight w:val="none"/>
                <w:u w:val="none" w:color="auto"/>
                <w:lang w:val="en-US" w:eastAsia="zh-CN" w:bidi="ar"/>
              </w:rPr>
              <w:t>30</w:t>
            </w:r>
            <w:r>
              <w:rPr>
                <w:rFonts w:hint="eastAsia" w:ascii="Times New Roman" w:hAnsi="Times New Roman" w:eastAsia="宋体" w:cs="Times New Roman"/>
                <w:color w:val="auto"/>
                <w:kern w:val="0"/>
                <w:sz w:val="24"/>
                <w:szCs w:val="24"/>
                <w:highlight w:val="none"/>
                <w:u w:val="none" w:color="auto"/>
                <w:lang w:val="en-US" w:eastAsia="zh-CN" w:bidi="ar"/>
              </w:rPr>
              <w:t>张，患者及陪护人员生活垃圾产生量按1.0kg/（床</w:t>
            </w:r>
            <w:r>
              <w:rPr>
                <w:rFonts w:ascii="Times New Roman" w:hAnsi="Times New Roman"/>
                <w:color w:val="auto"/>
                <w:sz w:val="24"/>
                <w:szCs w:val="24"/>
                <w:highlight w:val="none"/>
                <w:u w:val="none" w:color="auto"/>
              </w:rPr>
              <w:t>·</w:t>
            </w:r>
            <w:r>
              <w:rPr>
                <w:rFonts w:hint="eastAsia" w:ascii="Times New Roman" w:hAnsi="Times New Roman" w:eastAsia="宋体" w:cs="Times New Roman"/>
                <w:color w:val="auto"/>
                <w:kern w:val="0"/>
                <w:sz w:val="24"/>
                <w:szCs w:val="24"/>
                <w:highlight w:val="none"/>
                <w:u w:val="none" w:color="auto"/>
                <w:lang w:val="en-US" w:eastAsia="zh-CN" w:bidi="ar"/>
              </w:rPr>
              <w:t>d）计，产生量为0.0</w:t>
            </w:r>
            <w:r>
              <w:rPr>
                <w:rFonts w:hint="eastAsia" w:cs="Times New Roman"/>
                <w:color w:val="auto"/>
                <w:kern w:val="0"/>
                <w:sz w:val="24"/>
                <w:szCs w:val="24"/>
                <w:highlight w:val="none"/>
                <w:u w:val="none" w:color="auto"/>
                <w:lang w:val="en-US" w:eastAsia="zh-CN" w:bidi="ar"/>
              </w:rPr>
              <w:t>30</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10.95</w:t>
            </w:r>
            <w:r>
              <w:rPr>
                <w:rFonts w:hint="eastAsia" w:ascii="Times New Roman" w:hAnsi="Times New Roman" w:eastAsia="宋体" w:cs="Times New Roman"/>
                <w:color w:val="auto"/>
                <w:kern w:val="0"/>
                <w:sz w:val="24"/>
                <w:szCs w:val="24"/>
                <w:highlight w:val="none"/>
                <w:u w:val="none" w:color="auto"/>
                <w:lang w:val="en-US" w:eastAsia="zh-CN" w:bidi="ar"/>
              </w:rPr>
              <w:t>t/a）。则项目营运期生活垃圾产生总量为0.0</w:t>
            </w:r>
            <w:r>
              <w:rPr>
                <w:rFonts w:hint="eastAsia" w:cs="Times New Roman"/>
                <w:color w:val="auto"/>
                <w:kern w:val="0"/>
                <w:sz w:val="24"/>
                <w:szCs w:val="24"/>
                <w:highlight w:val="none"/>
                <w:u w:val="none" w:color="auto"/>
                <w:lang w:val="en-US" w:eastAsia="zh-CN" w:bidi="ar"/>
              </w:rPr>
              <w:t>43</w:t>
            </w:r>
            <w:r>
              <w:rPr>
                <w:rFonts w:hint="eastAsia" w:ascii="Times New Roman" w:hAnsi="Times New Roman" w:eastAsia="宋体" w:cs="Times New Roman"/>
                <w:color w:val="auto"/>
                <w:kern w:val="0"/>
                <w:sz w:val="24"/>
                <w:szCs w:val="24"/>
                <w:highlight w:val="none"/>
                <w:u w:val="none" w:color="auto"/>
                <w:lang w:val="en-US" w:eastAsia="zh-CN" w:bidi="ar"/>
              </w:rPr>
              <w:t>t /d（</w:t>
            </w:r>
            <w:r>
              <w:rPr>
                <w:rFonts w:hint="eastAsia" w:cs="Times New Roman"/>
                <w:color w:val="auto"/>
                <w:kern w:val="0"/>
                <w:sz w:val="24"/>
                <w:szCs w:val="24"/>
                <w:highlight w:val="none"/>
                <w:u w:val="none" w:color="auto"/>
                <w:lang w:val="en-US" w:eastAsia="zh-CN" w:bidi="ar"/>
              </w:rPr>
              <w:t>15.7</w:t>
            </w:r>
            <w:r>
              <w:rPr>
                <w:rFonts w:hint="eastAsia" w:ascii="Times New Roman" w:hAnsi="Times New Roman" w:eastAsia="宋体" w:cs="Times New Roman"/>
                <w:color w:val="auto"/>
                <w:kern w:val="0"/>
                <w:sz w:val="24"/>
                <w:szCs w:val="24"/>
                <w:highlight w:val="none"/>
                <w:u w:val="none" w:color="auto"/>
                <w:lang w:val="en-US" w:eastAsia="zh-CN" w:bidi="ar"/>
              </w:rPr>
              <w:t>t/a），生活垃圾统一收集后交由环卫部门清运处置。</w:t>
            </w:r>
          </w:p>
          <w:p w14:paraId="0D3A8287">
            <w:pPr>
              <w:adjustRightInd w:val="0"/>
              <w:snapToGrid w:val="0"/>
              <w:spacing w:line="360" w:lineRule="auto"/>
              <w:rPr>
                <w:rFonts w:hint="default" w:ascii="Times New Roman" w:hAnsi="Times New Roman"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（2）固体</w:t>
            </w:r>
            <w:r>
              <w:rPr>
                <w:rFonts w:hint="eastAsia" w:ascii="Times New Roman" w:hAnsi="Times New Roman" w:cs="Times New Roman"/>
                <w:b/>
                <w:bCs/>
                <w:color w:val="auto"/>
                <w:sz w:val="24"/>
                <w:szCs w:val="24"/>
                <w:highlight w:val="none"/>
                <w:u w:val="none" w:color="auto"/>
                <w:lang w:val="en-US" w:eastAsia="zh-CN"/>
              </w:rPr>
              <w:t>废物属性</w:t>
            </w:r>
          </w:p>
          <w:p w14:paraId="0DA4A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color w:val="auto"/>
                <w:kern w:val="0"/>
                <w:sz w:val="24"/>
                <w:szCs w:val="24"/>
                <w:highlight w:val="none"/>
                <w:u w:val="none"/>
                <w:lang w:eastAsia="zh-CN"/>
              </w:rPr>
              <w:t>根据《</w:t>
            </w:r>
            <w:r>
              <w:rPr>
                <w:rFonts w:hint="default" w:ascii="Times New Roman" w:hAnsi="Times New Roman" w:eastAsia="宋体" w:cs="Times New Roman"/>
                <w:i w:val="0"/>
                <w:iCs w:val="0"/>
                <w:caps w:val="0"/>
                <w:color w:val="auto"/>
                <w:spacing w:val="0"/>
                <w:sz w:val="24"/>
                <w:szCs w:val="24"/>
                <w:u w:val="none"/>
                <w:shd w:val="clear" w:fill="FFFFFF"/>
              </w:rPr>
              <w:t>国家危险废物名录</w:t>
            </w:r>
            <w:r>
              <w:rPr>
                <w:rFonts w:hint="default" w:ascii="Times New Roman" w:hAnsi="Times New Roman" w:eastAsia="宋体" w:cs="Times New Roman"/>
                <w:i w:val="0"/>
                <w:iCs w:val="0"/>
                <w:caps w:val="0"/>
                <w:color w:val="auto"/>
                <w:spacing w:val="0"/>
                <w:sz w:val="24"/>
                <w:szCs w:val="24"/>
                <w:u w:val="none"/>
                <w:shd w:val="clear" w:fill="FFFFFF"/>
                <w:lang w:eastAsia="zh-CN"/>
              </w:rPr>
              <w:t>》</w:t>
            </w:r>
            <w:r>
              <w:rPr>
                <w:rFonts w:hint="default" w:ascii="Times New Roman" w:hAnsi="Times New Roman" w:eastAsia="宋体" w:cs="Times New Roman"/>
                <w:color w:val="auto"/>
                <w:kern w:val="0"/>
                <w:sz w:val="24"/>
                <w:szCs w:val="24"/>
                <w:highlight w:val="none"/>
                <w:u w:val="none"/>
                <w:lang w:eastAsia="zh-CN"/>
              </w:rPr>
              <w:t>、《危险废物鉴别标准</w:t>
            </w:r>
            <w:r>
              <w:rPr>
                <w:rFonts w:hint="default" w:ascii="Times New Roman" w:hAnsi="Times New Roman" w:eastAsia="宋体" w:cs="Times New Roman"/>
                <w:color w:val="auto"/>
                <w:kern w:val="0"/>
                <w:sz w:val="24"/>
                <w:szCs w:val="24"/>
                <w:highlight w:val="none"/>
                <w:u w:val="none"/>
                <w:lang w:val="en-US" w:eastAsia="zh-CN"/>
              </w:rPr>
              <w:t>通则》（GB5085.7-2019</w:t>
            </w:r>
            <w:r>
              <w:rPr>
                <w:rFonts w:hint="default" w:ascii="Times New Roman" w:hAnsi="Times New Roman" w:eastAsia="宋体" w:cs="Times New Roman"/>
                <w:color w:val="auto"/>
                <w:kern w:val="0"/>
                <w:sz w:val="24"/>
                <w:szCs w:val="24"/>
                <w:highlight w:val="none"/>
                <w:u w:val="none"/>
                <w:lang w:eastAsia="zh-CN"/>
              </w:rPr>
              <w:t>）以及《一般固体废物分类与代码》（</w:t>
            </w:r>
            <w:r>
              <w:rPr>
                <w:rFonts w:hint="default" w:ascii="Times New Roman" w:hAnsi="Times New Roman" w:eastAsia="宋体" w:cs="Times New Roman"/>
                <w:color w:val="auto"/>
                <w:kern w:val="0"/>
                <w:sz w:val="24"/>
                <w:szCs w:val="24"/>
                <w:highlight w:val="none"/>
                <w:u w:val="none"/>
                <w:lang w:val="en-US" w:eastAsia="zh-CN"/>
              </w:rPr>
              <w:t>GB/T 39198-2020</w:t>
            </w:r>
            <w:r>
              <w:rPr>
                <w:rFonts w:hint="default" w:ascii="Times New Roman" w:hAnsi="Times New Roman" w:eastAsia="宋体" w:cs="Times New Roman"/>
                <w:color w:val="auto"/>
                <w:kern w:val="0"/>
                <w:sz w:val="24"/>
                <w:szCs w:val="24"/>
                <w:highlight w:val="none"/>
                <w:u w:val="none"/>
                <w:lang w:eastAsia="zh-CN"/>
              </w:rPr>
              <w:t>），本项目废物属性判定见表</w:t>
            </w:r>
            <w:r>
              <w:rPr>
                <w:rFonts w:hint="default" w:ascii="Times New Roman" w:hAnsi="Times New Roman" w:eastAsia="宋体" w:cs="Times New Roman"/>
                <w:color w:val="auto"/>
                <w:kern w:val="0"/>
                <w:sz w:val="24"/>
                <w:szCs w:val="24"/>
                <w:highlight w:val="none"/>
                <w:u w:val="none"/>
                <w:lang w:val="en-US" w:eastAsia="zh-CN"/>
              </w:rPr>
              <w:t>4-1</w:t>
            </w:r>
            <w:r>
              <w:rPr>
                <w:rFonts w:hint="eastAsia" w:cs="Times New Roman"/>
                <w:color w:val="auto"/>
                <w:kern w:val="0"/>
                <w:sz w:val="24"/>
                <w:szCs w:val="24"/>
                <w:highlight w:val="none"/>
                <w:u w:val="none"/>
                <w:lang w:val="en-US" w:eastAsia="zh-CN"/>
              </w:rPr>
              <w:t>4</w:t>
            </w:r>
            <w:r>
              <w:rPr>
                <w:rFonts w:hint="default" w:ascii="Times New Roman" w:hAnsi="Times New Roman" w:eastAsia="宋体" w:cs="Times New Roman"/>
                <w:color w:val="auto"/>
                <w:kern w:val="0"/>
                <w:sz w:val="24"/>
                <w:szCs w:val="24"/>
                <w:highlight w:val="none"/>
                <w:u w:val="none"/>
                <w:lang w:val="en-US" w:eastAsia="zh-CN"/>
              </w:rPr>
              <w:t>。</w:t>
            </w:r>
          </w:p>
          <w:p w14:paraId="54F13AFE">
            <w:pPr>
              <w:keepNext w:val="0"/>
              <w:keepLines w:val="0"/>
              <w:widowControl/>
              <w:suppressLineNumbers w:val="0"/>
              <w:jc w:val="center"/>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表4-1</w:t>
            </w:r>
            <w:r>
              <w:rPr>
                <w:rFonts w:hint="eastAsia" w:cs="Times New Roman"/>
                <w:b/>
                <w:bCs/>
                <w:color w:val="auto"/>
                <w:kern w:val="2"/>
                <w:sz w:val="24"/>
                <w:szCs w:val="24"/>
                <w:highlight w:val="none"/>
                <w:u w:val="none"/>
                <w:lang w:val="en-US" w:eastAsia="zh-CN" w:bidi="ar-SA"/>
              </w:rPr>
              <w:t>5</w:t>
            </w:r>
            <w:r>
              <w:rPr>
                <w:rFonts w:hint="default" w:ascii="Times New Roman" w:hAnsi="Times New Roman" w:eastAsia="宋体" w:cs="Times New Roman"/>
                <w:b/>
                <w:bCs/>
                <w:color w:val="auto"/>
                <w:kern w:val="2"/>
                <w:sz w:val="24"/>
                <w:szCs w:val="24"/>
                <w:highlight w:val="none"/>
                <w:u w:val="none"/>
                <w:lang w:val="en-US" w:eastAsia="zh-CN" w:bidi="ar-SA"/>
              </w:rPr>
              <w:t xml:space="preserve"> </w:t>
            </w:r>
            <w:r>
              <w:rPr>
                <w:rFonts w:hint="eastAsia" w:cs="Times New Roman"/>
                <w:b/>
                <w:bCs/>
                <w:color w:val="auto"/>
                <w:kern w:val="2"/>
                <w:sz w:val="24"/>
                <w:szCs w:val="24"/>
                <w:highlight w:val="none"/>
                <w:u w:val="none"/>
                <w:lang w:val="en-US" w:eastAsia="zh-CN" w:bidi="ar-SA"/>
              </w:rPr>
              <w:t>项目固体</w:t>
            </w:r>
            <w:r>
              <w:rPr>
                <w:rFonts w:hint="default" w:ascii="Times New Roman" w:hAnsi="Times New Roman" w:eastAsia="宋体" w:cs="Times New Roman"/>
                <w:b/>
                <w:bCs/>
                <w:color w:val="auto"/>
                <w:kern w:val="2"/>
                <w:sz w:val="24"/>
                <w:szCs w:val="24"/>
                <w:highlight w:val="none"/>
                <w:u w:val="none"/>
                <w:lang w:val="en-US" w:eastAsia="zh-CN" w:bidi="ar-SA"/>
              </w:rPr>
              <w:t>废物属性判定表</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546"/>
              <w:gridCol w:w="1443"/>
              <w:gridCol w:w="944"/>
              <w:gridCol w:w="824"/>
              <w:gridCol w:w="987"/>
              <w:gridCol w:w="1333"/>
              <w:gridCol w:w="2352"/>
              <w:gridCol w:w="1238"/>
            </w:tblGrid>
            <w:tr w14:paraId="0139B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4" w:hRule="atLeast"/>
                <w:jc w:val="center"/>
              </w:trPr>
              <w:tc>
                <w:tcPr>
                  <w:tcW w:w="282" w:type="pct"/>
                  <w:noWrap w:val="0"/>
                  <w:vAlign w:val="center"/>
                </w:tcPr>
                <w:p w14:paraId="049D63DC">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rPr>
                  </w:pPr>
                  <w:r>
                    <w:rPr>
                      <w:rFonts w:hint="default" w:ascii="Times New Roman" w:hAnsi="Times New Roman" w:eastAsia="宋体" w:cs="Times New Roman"/>
                      <w:b/>
                      <w:color w:val="auto"/>
                      <w:sz w:val="21"/>
                      <w:szCs w:val="21"/>
                      <w:highlight w:val="none"/>
                      <w:u w:val="none"/>
                    </w:rPr>
                    <w:t>序号</w:t>
                  </w:r>
                </w:p>
              </w:tc>
              <w:tc>
                <w:tcPr>
                  <w:tcW w:w="746" w:type="pct"/>
                  <w:tcBorders>
                    <w:bottom w:val="single" w:color="auto" w:sz="4" w:space="0"/>
                  </w:tcBorders>
                  <w:noWrap w:val="0"/>
                  <w:vAlign w:val="center"/>
                </w:tcPr>
                <w:p w14:paraId="24482B7E">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rPr>
                  </w:pPr>
                  <w:r>
                    <w:rPr>
                      <w:rFonts w:hint="eastAsia" w:cs="Times New Roman"/>
                      <w:b/>
                      <w:color w:val="auto"/>
                      <w:sz w:val="21"/>
                      <w:szCs w:val="21"/>
                      <w:highlight w:val="none"/>
                      <w:u w:val="none"/>
                      <w:lang w:val="en-US" w:eastAsia="zh-CN"/>
                    </w:rPr>
                    <w:t>废物</w:t>
                  </w:r>
                  <w:r>
                    <w:rPr>
                      <w:rFonts w:hint="default" w:ascii="Times New Roman" w:hAnsi="Times New Roman" w:eastAsia="宋体" w:cs="Times New Roman"/>
                      <w:b/>
                      <w:color w:val="auto"/>
                      <w:sz w:val="21"/>
                      <w:szCs w:val="21"/>
                      <w:highlight w:val="none"/>
                      <w:u w:val="none"/>
                    </w:rPr>
                    <w:t>名称</w:t>
                  </w:r>
                </w:p>
              </w:tc>
              <w:tc>
                <w:tcPr>
                  <w:tcW w:w="488" w:type="pct"/>
                  <w:noWrap w:val="0"/>
                  <w:vAlign w:val="center"/>
                </w:tcPr>
                <w:p w14:paraId="05A13BC4">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default" w:ascii="Times New Roman" w:hAnsi="Times New Roman" w:eastAsia="宋体" w:cs="Times New Roman"/>
                      <w:b/>
                      <w:color w:val="auto"/>
                      <w:sz w:val="21"/>
                      <w:szCs w:val="21"/>
                      <w:highlight w:val="none"/>
                      <w:u w:val="none"/>
                      <w:lang w:val="en-US" w:eastAsia="zh-CN"/>
                    </w:rPr>
                    <w:t>是否属于危废</w:t>
                  </w:r>
                </w:p>
              </w:tc>
              <w:tc>
                <w:tcPr>
                  <w:tcW w:w="426" w:type="pct"/>
                  <w:noWrap w:val="0"/>
                  <w:vAlign w:val="center"/>
                </w:tcPr>
                <w:p w14:paraId="5707E656">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危废</w:t>
                  </w:r>
                </w:p>
                <w:p w14:paraId="3167E1D4">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类别</w:t>
                  </w:r>
                </w:p>
              </w:tc>
              <w:tc>
                <w:tcPr>
                  <w:tcW w:w="510" w:type="pct"/>
                  <w:noWrap w:val="0"/>
                  <w:vAlign w:val="center"/>
                </w:tcPr>
                <w:p w14:paraId="73411C44">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rPr>
                    <w:t>一般固废类别</w:t>
                  </w:r>
                </w:p>
              </w:tc>
              <w:tc>
                <w:tcPr>
                  <w:tcW w:w="689" w:type="pct"/>
                  <w:noWrap w:val="0"/>
                  <w:vAlign w:val="center"/>
                </w:tcPr>
                <w:p w14:paraId="255D78BC">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废物代码</w:t>
                  </w:r>
                </w:p>
              </w:tc>
              <w:tc>
                <w:tcPr>
                  <w:tcW w:w="1216" w:type="pct"/>
                  <w:noWrap w:val="0"/>
                  <w:vAlign w:val="center"/>
                </w:tcPr>
                <w:p w14:paraId="3665C3F5">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主要成分</w:t>
                  </w:r>
                </w:p>
              </w:tc>
              <w:tc>
                <w:tcPr>
                  <w:tcW w:w="640" w:type="pct"/>
                  <w:noWrap w:val="0"/>
                  <w:vAlign w:val="center"/>
                </w:tcPr>
                <w:p w14:paraId="458D5EDE">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危险特性</w:t>
                  </w:r>
                </w:p>
              </w:tc>
            </w:tr>
            <w:tr w14:paraId="1B0BF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tcBorders>
                    <w:right w:val="single" w:color="auto" w:sz="4" w:space="0"/>
                  </w:tcBorders>
                  <w:noWrap w:val="0"/>
                  <w:vAlign w:val="center"/>
                </w:tcPr>
                <w:p w14:paraId="05777D69">
                  <w:pPr>
                    <w:kinsoku w:val="0"/>
                    <w:overflowPunct w:val="0"/>
                    <w:spacing w:line="240" w:lineRule="auto"/>
                    <w:ind w:firstLine="0" w:firstLineChars="0"/>
                    <w:jc w:val="center"/>
                    <w:rPr>
                      <w:rFonts w:hint="eastAsia"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1</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7BE83AD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p>
                <w:p w14:paraId="0BFD4A1A">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感染性废物</w:t>
                  </w:r>
                </w:p>
              </w:tc>
              <w:tc>
                <w:tcPr>
                  <w:tcW w:w="488" w:type="pct"/>
                  <w:tcBorders>
                    <w:left w:val="single" w:color="auto" w:sz="4" w:space="0"/>
                  </w:tcBorders>
                  <w:noWrap w:val="0"/>
                  <w:vAlign w:val="center"/>
                </w:tcPr>
                <w:p w14:paraId="2EEBF25A">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是</w:t>
                  </w:r>
                </w:p>
              </w:tc>
              <w:tc>
                <w:tcPr>
                  <w:tcW w:w="426" w:type="pct"/>
                  <w:noWrap w:val="0"/>
                  <w:vAlign w:val="center"/>
                </w:tcPr>
                <w:p w14:paraId="376786D3">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HW01</w:t>
                  </w:r>
                </w:p>
              </w:tc>
              <w:tc>
                <w:tcPr>
                  <w:tcW w:w="510" w:type="pct"/>
                  <w:noWrap w:val="0"/>
                  <w:vAlign w:val="center"/>
                </w:tcPr>
                <w:p w14:paraId="16A6771F">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689" w:type="pct"/>
                  <w:noWrap w:val="0"/>
                  <w:vAlign w:val="center"/>
                </w:tcPr>
                <w:p w14:paraId="284D8E46">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841-001-01</w:t>
                  </w:r>
                </w:p>
              </w:tc>
              <w:tc>
                <w:tcPr>
                  <w:tcW w:w="1216" w:type="pct"/>
                  <w:noWrap w:val="0"/>
                  <w:vAlign w:val="center"/>
                </w:tcPr>
                <w:p w14:paraId="71569F43">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被病人血液、体液污染的物品；病原体培养基、标本、菌种；废弃的血液、血清； 使用后的一次性医疗用品与器械</w:t>
                  </w:r>
                </w:p>
              </w:tc>
              <w:tc>
                <w:tcPr>
                  <w:tcW w:w="640" w:type="pct"/>
                  <w:noWrap w:val="0"/>
                  <w:vAlign w:val="center"/>
                </w:tcPr>
                <w:p w14:paraId="09DA2F85">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感染性</w:t>
                  </w:r>
                </w:p>
              </w:tc>
            </w:tr>
            <w:tr w14:paraId="7F0C4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tcBorders>
                    <w:right w:val="single" w:color="auto" w:sz="4" w:space="0"/>
                  </w:tcBorders>
                  <w:noWrap w:val="0"/>
                  <w:vAlign w:val="center"/>
                </w:tcPr>
                <w:p w14:paraId="7969813F">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2</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16F260D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损伤性废物</w:t>
                  </w:r>
                </w:p>
              </w:tc>
              <w:tc>
                <w:tcPr>
                  <w:tcW w:w="488" w:type="pct"/>
                  <w:tcBorders>
                    <w:left w:val="single" w:color="auto" w:sz="4" w:space="0"/>
                  </w:tcBorders>
                  <w:noWrap w:val="0"/>
                  <w:vAlign w:val="center"/>
                </w:tcPr>
                <w:p w14:paraId="785CD18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是</w:t>
                  </w:r>
                </w:p>
              </w:tc>
              <w:tc>
                <w:tcPr>
                  <w:tcW w:w="426" w:type="pct"/>
                  <w:noWrap w:val="0"/>
                  <w:vAlign w:val="center"/>
                </w:tcPr>
                <w:p w14:paraId="36B1C91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HW01</w:t>
                  </w:r>
                </w:p>
              </w:tc>
              <w:tc>
                <w:tcPr>
                  <w:tcW w:w="510" w:type="pct"/>
                  <w:noWrap w:val="0"/>
                  <w:vAlign w:val="center"/>
                </w:tcPr>
                <w:p w14:paraId="16DA783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689" w:type="pct"/>
                  <w:noWrap w:val="0"/>
                  <w:vAlign w:val="center"/>
                </w:tcPr>
                <w:p w14:paraId="3FF0FE5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841-00</w:t>
                  </w:r>
                  <w:r>
                    <w:rPr>
                      <w:rFonts w:hint="default" w:ascii="Times New Roman" w:hAnsi="Times New Roman" w:eastAsia="宋体" w:cs="Times New Roman"/>
                      <w:b w:val="0"/>
                      <w:bCs/>
                      <w:color w:val="auto"/>
                      <w:sz w:val="21"/>
                      <w:szCs w:val="21"/>
                      <w:highlight w:val="none"/>
                      <w:u w:val="none"/>
                      <w:lang w:val="en-US" w:eastAsia="zh-CN"/>
                    </w:rPr>
                    <w:t>2</w:t>
                  </w:r>
                  <w:r>
                    <w:rPr>
                      <w:rFonts w:hint="default" w:ascii="Times New Roman" w:hAnsi="Times New Roman" w:eastAsia="宋体" w:cs="Times New Roman"/>
                      <w:b w:val="0"/>
                      <w:bCs/>
                      <w:color w:val="auto"/>
                      <w:sz w:val="21"/>
                      <w:szCs w:val="21"/>
                      <w:highlight w:val="none"/>
                      <w:u w:val="none"/>
                      <w:lang w:eastAsia="zh-CN"/>
                    </w:rPr>
                    <w:t>-01</w:t>
                  </w:r>
                </w:p>
              </w:tc>
              <w:tc>
                <w:tcPr>
                  <w:tcW w:w="1216" w:type="pct"/>
                  <w:noWrap w:val="0"/>
                  <w:vAlign w:val="center"/>
                </w:tcPr>
                <w:p w14:paraId="2EC71FB5">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废弃的医用针头、解剖刀、玻璃试管等医用锐器</w:t>
                  </w:r>
                </w:p>
              </w:tc>
              <w:tc>
                <w:tcPr>
                  <w:tcW w:w="640" w:type="pct"/>
                  <w:noWrap w:val="0"/>
                  <w:vAlign w:val="center"/>
                </w:tcPr>
                <w:p w14:paraId="4293707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感染性</w:t>
                  </w:r>
                </w:p>
              </w:tc>
            </w:tr>
            <w:tr w14:paraId="4CF47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tcBorders>
                    <w:right w:val="single" w:color="auto" w:sz="4" w:space="0"/>
                  </w:tcBorders>
                  <w:noWrap w:val="0"/>
                  <w:vAlign w:val="center"/>
                </w:tcPr>
                <w:p w14:paraId="6B2214CD">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3</w:t>
                  </w:r>
                </w:p>
              </w:tc>
              <w:tc>
                <w:tcPr>
                  <w:tcW w:w="746" w:type="pct"/>
                  <w:tcBorders>
                    <w:top w:val="single" w:color="auto" w:sz="4" w:space="0"/>
                    <w:left w:val="single" w:color="auto" w:sz="4" w:space="0"/>
                    <w:bottom w:val="single" w:color="auto" w:sz="4" w:space="0"/>
                    <w:right w:val="single" w:color="auto" w:sz="4" w:space="0"/>
                  </w:tcBorders>
                  <w:noWrap w:val="0"/>
                  <w:vAlign w:val="center"/>
                </w:tcPr>
                <w:p w14:paraId="116DBF6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药物性废物</w:t>
                  </w:r>
                </w:p>
              </w:tc>
              <w:tc>
                <w:tcPr>
                  <w:tcW w:w="488" w:type="pct"/>
                  <w:tcBorders>
                    <w:left w:val="single" w:color="auto" w:sz="4" w:space="0"/>
                  </w:tcBorders>
                  <w:noWrap w:val="0"/>
                  <w:vAlign w:val="center"/>
                </w:tcPr>
                <w:p w14:paraId="5DD185C6">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是</w:t>
                  </w:r>
                </w:p>
              </w:tc>
              <w:tc>
                <w:tcPr>
                  <w:tcW w:w="426" w:type="pct"/>
                  <w:noWrap w:val="0"/>
                  <w:vAlign w:val="center"/>
                </w:tcPr>
                <w:p w14:paraId="00D7D1EA">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HW01</w:t>
                  </w:r>
                </w:p>
              </w:tc>
              <w:tc>
                <w:tcPr>
                  <w:tcW w:w="510" w:type="pct"/>
                  <w:noWrap w:val="0"/>
                  <w:vAlign w:val="center"/>
                </w:tcPr>
                <w:p w14:paraId="53AA34C3">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689" w:type="pct"/>
                  <w:noWrap w:val="0"/>
                  <w:vAlign w:val="center"/>
                </w:tcPr>
                <w:p w14:paraId="0E42DDCB">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841-00</w:t>
                  </w:r>
                  <w:r>
                    <w:rPr>
                      <w:rFonts w:hint="default" w:ascii="Times New Roman" w:hAnsi="Times New Roman" w:eastAsia="宋体" w:cs="Times New Roman"/>
                      <w:b w:val="0"/>
                      <w:bCs/>
                      <w:color w:val="auto"/>
                      <w:sz w:val="21"/>
                      <w:szCs w:val="21"/>
                      <w:highlight w:val="none"/>
                      <w:u w:val="none"/>
                      <w:lang w:val="en-US" w:eastAsia="zh-CN"/>
                    </w:rPr>
                    <w:t>5</w:t>
                  </w:r>
                  <w:r>
                    <w:rPr>
                      <w:rFonts w:hint="default" w:ascii="Times New Roman" w:hAnsi="Times New Roman" w:eastAsia="宋体" w:cs="Times New Roman"/>
                      <w:b w:val="0"/>
                      <w:bCs/>
                      <w:color w:val="auto"/>
                      <w:sz w:val="21"/>
                      <w:szCs w:val="21"/>
                      <w:highlight w:val="none"/>
                      <w:u w:val="none"/>
                      <w:lang w:eastAsia="zh-CN"/>
                    </w:rPr>
                    <w:t>-01</w:t>
                  </w:r>
                </w:p>
              </w:tc>
              <w:tc>
                <w:tcPr>
                  <w:tcW w:w="1216" w:type="pct"/>
                  <w:noWrap w:val="0"/>
                  <w:vAlign w:val="center"/>
                </w:tcPr>
                <w:p w14:paraId="7134549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过期、淘汰、变质或者被污染的废弃的药品</w:t>
                  </w:r>
                </w:p>
              </w:tc>
              <w:tc>
                <w:tcPr>
                  <w:tcW w:w="640" w:type="pct"/>
                  <w:noWrap w:val="0"/>
                  <w:vAlign w:val="center"/>
                </w:tcPr>
                <w:p w14:paraId="7545D935">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毒性</w:t>
                  </w:r>
                </w:p>
              </w:tc>
            </w:tr>
            <w:tr w14:paraId="41F66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restart"/>
                  <w:noWrap w:val="0"/>
                  <w:vAlign w:val="center"/>
                </w:tcPr>
                <w:p w14:paraId="68199C4B">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4</w:t>
                  </w:r>
                </w:p>
              </w:tc>
              <w:tc>
                <w:tcPr>
                  <w:tcW w:w="746" w:type="pct"/>
                  <w:vMerge w:val="restart"/>
                  <w:tcBorders>
                    <w:top w:val="single" w:color="auto" w:sz="4" w:space="0"/>
                  </w:tcBorders>
                  <w:noWrap w:val="0"/>
                  <w:vAlign w:val="center"/>
                </w:tcPr>
                <w:p w14:paraId="5A757023">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检验废液</w:t>
                  </w:r>
                </w:p>
              </w:tc>
              <w:tc>
                <w:tcPr>
                  <w:tcW w:w="488" w:type="pct"/>
                  <w:vMerge w:val="restart"/>
                  <w:noWrap w:val="0"/>
                  <w:vAlign w:val="center"/>
                </w:tcPr>
                <w:p w14:paraId="0A7DBE6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是</w:t>
                  </w:r>
                </w:p>
              </w:tc>
              <w:tc>
                <w:tcPr>
                  <w:tcW w:w="426" w:type="pct"/>
                  <w:noWrap w:val="0"/>
                  <w:vAlign w:val="center"/>
                </w:tcPr>
                <w:p w14:paraId="35237608">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HW01</w:t>
                  </w:r>
                </w:p>
              </w:tc>
              <w:tc>
                <w:tcPr>
                  <w:tcW w:w="510" w:type="pct"/>
                  <w:noWrap w:val="0"/>
                  <w:vAlign w:val="center"/>
                </w:tcPr>
                <w:p w14:paraId="015169BE">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689" w:type="pct"/>
                  <w:noWrap w:val="0"/>
                  <w:vAlign w:val="center"/>
                </w:tcPr>
                <w:p w14:paraId="72CBB3F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841-00</w:t>
                  </w:r>
                  <w:r>
                    <w:rPr>
                      <w:rFonts w:hint="default" w:ascii="Times New Roman" w:hAnsi="Times New Roman" w:eastAsia="宋体" w:cs="Times New Roman"/>
                      <w:b w:val="0"/>
                      <w:bCs/>
                      <w:color w:val="auto"/>
                      <w:sz w:val="21"/>
                      <w:szCs w:val="21"/>
                      <w:highlight w:val="none"/>
                      <w:u w:val="none"/>
                      <w:lang w:val="en-US" w:eastAsia="zh-CN"/>
                    </w:rPr>
                    <w:t>4</w:t>
                  </w:r>
                  <w:r>
                    <w:rPr>
                      <w:rFonts w:hint="default" w:ascii="Times New Roman" w:hAnsi="Times New Roman" w:eastAsia="宋体" w:cs="Times New Roman"/>
                      <w:b w:val="0"/>
                      <w:bCs/>
                      <w:color w:val="auto"/>
                      <w:sz w:val="21"/>
                      <w:szCs w:val="21"/>
                      <w:highlight w:val="none"/>
                      <w:u w:val="none"/>
                      <w:lang w:eastAsia="zh-CN"/>
                    </w:rPr>
                    <w:t>-01</w:t>
                  </w:r>
                </w:p>
              </w:tc>
              <w:tc>
                <w:tcPr>
                  <w:tcW w:w="1216" w:type="pct"/>
                  <w:noWrap w:val="0"/>
                  <w:vAlign w:val="center"/>
                </w:tcPr>
                <w:p w14:paraId="137FF4B0">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废弃化学剂</w:t>
                  </w:r>
                </w:p>
              </w:tc>
              <w:tc>
                <w:tcPr>
                  <w:tcW w:w="640" w:type="pct"/>
                  <w:noWrap w:val="0"/>
                  <w:vAlign w:val="center"/>
                </w:tcPr>
                <w:p w14:paraId="427A1058">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毒性、腐蚀性、易燃性、反应性</w:t>
                  </w:r>
                </w:p>
              </w:tc>
            </w:tr>
            <w:tr w14:paraId="17E82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noWrap w:val="0"/>
                  <w:vAlign w:val="center"/>
                </w:tcPr>
                <w:p w14:paraId="4080D568">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p>
              </w:tc>
              <w:tc>
                <w:tcPr>
                  <w:tcW w:w="746" w:type="pct"/>
                  <w:vMerge w:val="continue"/>
                  <w:noWrap w:val="0"/>
                  <w:vAlign w:val="center"/>
                </w:tcPr>
                <w:p w14:paraId="6271057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p>
              </w:tc>
              <w:tc>
                <w:tcPr>
                  <w:tcW w:w="488" w:type="pct"/>
                  <w:vMerge w:val="continue"/>
                  <w:noWrap w:val="0"/>
                  <w:vAlign w:val="center"/>
                </w:tcPr>
                <w:p w14:paraId="67C8FEA1">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p>
              </w:tc>
              <w:tc>
                <w:tcPr>
                  <w:tcW w:w="426" w:type="pct"/>
                  <w:noWrap w:val="0"/>
                  <w:vAlign w:val="center"/>
                </w:tcPr>
                <w:p w14:paraId="57C4A77A">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HW01</w:t>
                  </w:r>
                </w:p>
              </w:tc>
              <w:tc>
                <w:tcPr>
                  <w:tcW w:w="510" w:type="pct"/>
                  <w:noWrap w:val="0"/>
                  <w:vAlign w:val="center"/>
                </w:tcPr>
                <w:p w14:paraId="27B057BA">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689" w:type="pct"/>
                  <w:noWrap w:val="0"/>
                  <w:vAlign w:val="center"/>
                </w:tcPr>
                <w:p w14:paraId="6FCB891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841-001-01</w:t>
                  </w:r>
                </w:p>
              </w:tc>
              <w:tc>
                <w:tcPr>
                  <w:tcW w:w="1216" w:type="pct"/>
                  <w:noWrap w:val="0"/>
                  <w:vAlign w:val="center"/>
                </w:tcPr>
                <w:p w14:paraId="548EE0A5">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化验过的血液、体液、排泄物、未被使用废弃的血液、体液和排泄物</w:t>
                  </w:r>
                </w:p>
              </w:tc>
              <w:tc>
                <w:tcPr>
                  <w:tcW w:w="640" w:type="pct"/>
                  <w:noWrap w:val="0"/>
                  <w:vAlign w:val="center"/>
                </w:tcPr>
                <w:p w14:paraId="2A87D20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感染性</w:t>
                  </w:r>
                </w:p>
              </w:tc>
            </w:tr>
            <w:tr w14:paraId="6A794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1070AF95">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5</w:t>
                  </w:r>
                </w:p>
              </w:tc>
              <w:tc>
                <w:tcPr>
                  <w:tcW w:w="746" w:type="pct"/>
                  <w:tcBorders>
                    <w:top w:val="single" w:color="auto" w:sz="4" w:space="0"/>
                  </w:tcBorders>
                  <w:noWrap w:val="0"/>
                  <w:vAlign w:val="center"/>
                </w:tcPr>
                <w:p w14:paraId="54A6E21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污水处理站污泥</w:t>
                  </w:r>
                </w:p>
              </w:tc>
              <w:tc>
                <w:tcPr>
                  <w:tcW w:w="488" w:type="pct"/>
                  <w:noWrap w:val="0"/>
                  <w:vAlign w:val="center"/>
                </w:tcPr>
                <w:p w14:paraId="627119B8">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是</w:t>
                  </w:r>
                </w:p>
              </w:tc>
              <w:tc>
                <w:tcPr>
                  <w:tcW w:w="426" w:type="pct"/>
                  <w:noWrap w:val="0"/>
                  <w:vAlign w:val="center"/>
                </w:tcPr>
                <w:p w14:paraId="1C7AB0DB">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HW</w:t>
                  </w:r>
                  <w:r>
                    <w:rPr>
                      <w:rFonts w:hint="default" w:ascii="Times New Roman" w:hAnsi="Times New Roman" w:eastAsia="宋体" w:cs="Times New Roman"/>
                      <w:b w:val="0"/>
                      <w:bCs/>
                      <w:color w:val="auto"/>
                      <w:sz w:val="21"/>
                      <w:szCs w:val="21"/>
                      <w:highlight w:val="none"/>
                      <w:u w:val="none"/>
                      <w:lang w:val="en-US" w:eastAsia="zh-CN"/>
                    </w:rPr>
                    <w:t>49</w:t>
                  </w:r>
                </w:p>
              </w:tc>
              <w:tc>
                <w:tcPr>
                  <w:tcW w:w="510" w:type="pct"/>
                  <w:noWrap w:val="0"/>
                  <w:vAlign w:val="center"/>
                </w:tcPr>
                <w:p w14:paraId="334CB701">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689" w:type="pct"/>
                  <w:noWrap w:val="0"/>
                  <w:vAlign w:val="center"/>
                </w:tcPr>
                <w:p w14:paraId="40965380">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772-006-49</w:t>
                  </w:r>
                </w:p>
              </w:tc>
              <w:tc>
                <w:tcPr>
                  <w:tcW w:w="1216" w:type="pct"/>
                  <w:noWrap w:val="0"/>
                  <w:vAlign w:val="center"/>
                </w:tcPr>
                <w:p w14:paraId="3B88D592">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污泥</w:t>
                  </w:r>
                </w:p>
              </w:tc>
              <w:tc>
                <w:tcPr>
                  <w:tcW w:w="640" w:type="pct"/>
                  <w:noWrap w:val="0"/>
                  <w:vAlign w:val="center"/>
                </w:tcPr>
                <w:p w14:paraId="69945076">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易燃性、感染性</w:t>
                  </w:r>
                </w:p>
              </w:tc>
            </w:tr>
            <w:tr w14:paraId="50551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09A7505B">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6</w:t>
                  </w:r>
                </w:p>
              </w:tc>
              <w:tc>
                <w:tcPr>
                  <w:tcW w:w="746" w:type="pct"/>
                  <w:noWrap w:val="0"/>
                  <w:vAlign w:val="center"/>
                </w:tcPr>
                <w:p w14:paraId="58DAA86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废包装物</w:t>
                  </w:r>
                </w:p>
              </w:tc>
              <w:tc>
                <w:tcPr>
                  <w:tcW w:w="488" w:type="pct"/>
                  <w:noWrap w:val="0"/>
                  <w:vAlign w:val="center"/>
                </w:tcPr>
                <w:p w14:paraId="45B2704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否</w:t>
                  </w:r>
                </w:p>
              </w:tc>
              <w:tc>
                <w:tcPr>
                  <w:tcW w:w="426" w:type="pct"/>
                  <w:noWrap w:val="0"/>
                  <w:vAlign w:val="center"/>
                </w:tcPr>
                <w:p w14:paraId="6C7F0E2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510" w:type="pct"/>
                  <w:noWrap w:val="0"/>
                  <w:vAlign w:val="center"/>
                </w:tcPr>
                <w:p w14:paraId="062D1D1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99</w:t>
                  </w:r>
                </w:p>
              </w:tc>
              <w:tc>
                <w:tcPr>
                  <w:tcW w:w="689" w:type="pct"/>
                  <w:noWrap w:val="0"/>
                  <w:vAlign w:val="top"/>
                </w:tcPr>
                <w:p w14:paraId="4F0D02A1">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900-999-</w:t>
                  </w:r>
                </w:p>
                <w:p w14:paraId="73449D6F">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99</w:t>
                  </w:r>
                </w:p>
              </w:tc>
              <w:tc>
                <w:tcPr>
                  <w:tcW w:w="1216" w:type="pct"/>
                  <w:noWrap w:val="0"/>
                  <w:vAlign w:val="center"/>
                </w:tcPr>
                <w:p w14:paraId="1B20D04E">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中西药包装等</w:t>
                  </w:r>
                </w:p>
              </w:tc>
              <w:tc>
                <w:tcPr>
                  <w:tcW w:w="640" w:type="pct"/>
                  <w:noWrap w:val="0"/>
                  <w:vAlign w:val="center"/>
                </w:tcPr>
                <w:p w14:paraId="5791FE1F">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r>
            <w:tr w14:paraId="68B35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7F12BD75">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7</w:t>
                  </w:r>
                </w:p>
              </w:tc>
              <w:tc>
                <w:tcPr>
                  <w:tcW w:w="746" w:type="pct"/>
                  <w:noWrap w:val="0"/>
                  <w:vAlign w:val="center"/>
                </w:tcPr>
                <w:p w14:paraId="57A9B26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废一次性输液瓶（袋）</w:t>
                  </w:r>
                </w:p>
              </w:tc>
              <w:tc>
                <w:tcPr>
                  <w:tcW w:w="488" w:type="pct"/>
                  <w:noWrap w:val="0"/>
                  <w:vAlign w:val="center"/>
                </w:tcPr>
                <w:p w14:paraId="5D4D3B8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否</w:t>
                  </w:r>
                </w:p>
              </w:tc>
              <w:tc>
                <w:tcPr>
                  <w:tcW w:w="426" w:type="pct"/>
                  <w:noWrap w:val="0"/>
                  <w:vAlign w:val="center"/>
                </w:tcPr>
                <w:p w14:paraId="43B793CF">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510" w:type="pct"/>
                  <w:noWrap w:val="0"/>
                  <w:vAlign w:val="center"/>
                </w:tcPr>
                <w:p w14:paraId="3A9A3491">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99</w:t>
                  </w:r>
                </w:p>
              </w:tc>
              <w:tc>
                <w:tcPr>
                  <w:tcW w:w="689" w:type="pct"/>
                  <w:noWrap w:val="0"/>
                  <w:vAlign w:val="top"/>
                </w:tcPr>
                <w:p w14:paraId="79879E8E">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900-999-</w:t>
                  </w:r>
                </w:p>
                <w:p w14:paraId="1E2A43A8">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99</w:t>
                  </w:r>
                </w:p>
              </w:tc>
              <w:tc>
                <w:tcPr>
                  <w:tcW w:w="1216" w:type="pct"/>
                  <w:noWrap w:val="0"/>
                  <w:vAlign w:val="center"/>
                </w:tcPr>
                <w:p w14:paraId="74B91B50">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一次性输液瓶（袋）</w:t>
                  </w:r>
                </w:p>
              </w:tc>
              <w:tc>
                <w:tcPr>
                  <w:tcW w:w="640" w:type="pct"/>
                  <w:noWrap w:val="0"/>
                  <w:vAlign w:val="center"/>
                </w:tcPr>
                <w:p w14:paraId="4EB0735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r>
            <w:tr w14:paraId="7DE6E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14:paraId="60B85605">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8</w:t>
                  </w:r>
                </w:p>
              </w:tc>
              <w:tc>
                <w:tcPr>
                  <w:tcW w:w="746" w:type="pct"/>
                  <w:noWrap w:val="0"/>
                  <w:vAlign w:val="center"/>
                </w:tcPr>
                <w:p w14:paraId="327571D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生活垃圾</w:t>
                  </w:r>
                </w:p>
              </w:tc>
              <w:tc>
                <w:tcPr>
                  <w:tcW w:w="488" w:type="pct"/>
                  <w:noWrap w:val="0"/>
                  <w:vAlign w:val="center"/>
                </w:tcPr>
                <w:p w14:paraId="4AD79021">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否</w:t>
                  </w:r>
                </w:p>
              </w:tc>
              <w:tc>
                <w:tcPr>
                  <w:tcW w:w="426" w:type="pct"/>
                  <w:noWrap w:val="0"/>
                  <w:vAlign w:val="center"/>
                </w:tcPr>
                <w:p w14:paraId="31ABED7E">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510" w:type="pct"/>
                  <w:noWrap w:val="0"/>
                  <w:vAlign w:val="center"/>
                </w:tcPr>
                <w:p w14:paraId="00D11F16">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689" w:type="pct"/>
                  <w:noWrap w:val="0"/>
                  <w:vAlign w:val="center"/>
                </w:tcPr>
                <w:p w14:paraId="72EFB9B7">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c>
                <w:tcPr>
                  <w:tcW w:w="1216" w:type="pct"/>
                  <w:noWrap w:val="0"/>
                  <w:vAlign w:val="center"/>
                </w:tcPr>
                <w:p w14:paraId="28FAA1A0">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纸张、包装袋等</w:t>
                  </w:r>
                </w:p>
              </w:tc>
              <w:tc>
                <w:tcPr>
                  <w:tcW w:w="640" w:type="pct"/>
                  <w:noWrap w:val="0"/>
                  <w:vAlign w:val="center"/>
                </w:tcPr>
                <w:p w14:paraId="1226CC7B">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w:t>
                  </w:r>
                </w:p>
              </w:tc>
            </w:tr>
          </w:tbl>
          <w:p w14:paraId="042A8F92">
            <w:pPr>
              <w:adjustRightInd w:val="0"/>
              <w:snapToGrid w:val="0"/>
              <w:spacing w:line="360" w:lineRule="auto"/>
              <w:rPr>
                <w:rFonts w:hint="default" w:ascii="Times New Roman" w:hAnsi="Times New Roman" w:cs="Times New Roman"/>
                <w:b/>
                <w:bCs/>
                <w:color w:val="auto"/>
                <w:sz w:val="24"/>
                <w:szCs w:val="24"/>
                <w:highlight w:val="none"/>
                <w:u w:val="none" w:color="auto"/>
                <w:lang w:val="en-US" w:eastAsia="zh-CN"/>
              </w:rPr>
            </w:pPr>
            <w:r>
              <w:rPr>
                <w:rFonts w:hint="eastAsia" w:cs="Times New Roman"/>
                <w:b/>
                <w:bCs/>
                <w:color w:val="auto"/>
                <w:sz w:val="24"/>
                <w:szCs w:val="24"/>
                <w:highlight w:val="none"/>
                <w:u w:val="none" w:color="auto"/>
                <w:lang w:val="en-US" w:eastAsia="zh-CN"/>
              </w:rPr>
              <w:t>（3）</w:t>
            </w:r>
            <w:r>
              <w:rPr>
                <w:rFonts w:hint="eastAsia" w:ascii="Times New Roman" w:hAnsi="Times New Roman" w:cs="Times New Roman"/>
                <w:b/>
                <w:bCs/>
                <w:color w:val="auto"/>
                <w:sz w:val="24"/>
                <w:szCs w:val="24"/>
                <w:highlight w:val="none"/>
                <w:u w:val="none" w:color="auto"/>
                <w:lang w:val="en-US" w:eastAsia="zh-CN"/>
              </w:rPr>
              <w:t>固体废物贮存和处置情况</w:t>
            </w:r>
          </w:p>
          <w:p w14:paraId="2A5703C7">
            <w:pPr>
              <w:spacing w:line="360" w:lineRule="auto"/>
              <w:ind w:firstLine="480" w:firstLineChars="200"/>
              <w:rPr>
                <w:rFonts w:hint="default" w:ascii="Times New Roman" w:hAnsi="Times New Roman" w:eastAsia="宋体" w:cs="Times New Roman"/>
                <w:color w:val="auto"/>
                <w:kern w:val="0"/>
                <w:sz w:val="24"/>
                <w:szCs w:val="24"/>
                <w:highlight w:val="none"/>
                <w:u w:val="none"/>
                <w:lang w:val="en-US" w:eastAsia="zh-CN"/>
              </w:rPr>
            </w:pPr>
            <w:r>
              <w:rPr>
                <w:rFonts w:hint="default" w:ascii="Times New Roman" w:hAnsi="Times New Roman" w:eastAsia="宋体" w:cs="Times New Roman"/>
                <w:color w:val="auto"/>
                <w:kern w:val="0"/>
                <w:sz w:val="24"/>
                <w:szCs w:val="24"/>
                <w:highlight w:val="none"/>
                <w:u w:val="none"/>
                <w:lang w:val="en-US" w:eastAsia="zh-CN"/>
              </w:rPr>
              <w:t>项目固体废物贮存和处置情况见下表。</w:t>
            </w:r>
          </w:p>
          <w:p w14:paraId="07AFD6EF">
            <w:pPr>
              <w:keepNext w:val="0"/>
              <w:keepLines w:val="0"/>
              <w:widowControl/>
              <w:suppressLineNumbers w:val="0"/>
              <w:jc w:val="center"/>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highlight w:val="none"/>
                <w:u w:val="none"/>
                <w:lang w:val="en-US" w:eastAsia="zh-CN" w:bidi="ar-SA"/>
              </w:rPr>
              <w:t>表4-1</w:t>
            </w:r>
            <w:r>
              <w:rPr>
                <w:rFonts w:hint="eastAsia" w:cs="Times New Roman"/>
                <w:b/>
                <w:bCs/>
                <w:color w:val="auto"/>
                <w:kern w:val="2"/>
                <w:sz w:val="24"/>
                <w:szCs w:val="24"/>
                <w:highlight w:val="none"/>
                <w:u w:val="none"/>
                <w:lang w:val="en-US" w:eastAsia="zh-CN" w:bidi="ar-SA"/>
              </w:rPr>
              <w:t>6</w:t>
            </w:r>
            <w:r>
              <w:rPr>
                <w:rFonts w:hint="default" w:ascii="Times New Roman" w:hAnsi="Times New Roman" w:eastAsia="宋体" w:cs="Times New Roman"/>
                <w:b/>
                <w:bCs/>
                <w:color w:val="auto"/>
                <w:kern w:val="2"/>
                <w:sz w:val="24"/>
                <w:szCs w:val="24"/>
                <w:highlight w:val="none"/>
                <w:u w:val="none"/>
                <w:lang w:val="en-US" w:eastAsia="zh-CN" w:bidi="ar-SA"/>
              </w:rPr>
              <w:t>项目固体废物分析结果汇总表</w:t>
            </w:r>
          </w:p>
          <w:tbl>
            <w:tblPr>
              <w:tblStyle w:val="16"/>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788"/>
              <w:gridCol w:w="1670"/>
              <w:gridCol w:w="1484"/>
              <w:gridCol w:w="1929"/>
              <w:gridCol w:w="1430"/>
              <w:gridCol w:w="2358"/>
            </w:tblGrid>
            <w:tr w14:paraId="6124B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8" w:type="pct"/>
                  <w:noWrap w:val="0"/>
                  <w:vAlign w:val="center"/>
                </w:tcPr>
                <w:p w14:paraId="4B8B17FA">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rPr>
                  </w:pPr>
                  <w:r>
                    <w:rPr>
                      <w:rFonts w:hint="default" w:ascii="Times New Roman" w:hAnsi="Times New Roman" w:eastAsia="宋体" w:cs="Times New Roman"/>
                      <w:b/>
                      <w:color w:val="auto"/>
                      <w:sz w:val="21"/>
                      <w:szCs w:val="21"/>
                      <w:highlight w:val="none"/>
                      <w:u w:val="none"/>
                    </w:rPr>
                    <w:t>序号</w:t>
                  </w:r>
                </w:p>
              </w:tc>
              <w:tc>
                <w:tcPr>
                  <w:tcW w:w="864" w:type="pct"/>
                  <w:noWrap w:val="0"/>
                  <w:vAlign w:val="center"/>
                </w:tcPr>
                <w:p w14:paraId="61D5EC7E">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rPr>
                  </w:pPr>
                  <w:r>
                    <w:rPr>
                      <w:rFonts w:hint="default" w:ascii="Times New Roman" w:hAnsi="Times New Roman" w:eastAsia="宋体" w:cs="Times New Roman"/>
                      <w:b/>
                      <w:color w:val="auto"/>
                      <w:sz w:val="21"/>
                      <w:szCs w:val="21"/>
                      <w:highlight w:val="none"/>
                      <w:u w:val="none"/>
                      <w:lang w:eastAsia="zh-CN"/>
                    </w:rPr>
                    <w:t>固废</w:t>
                  </w:r>
                  <w:r>
                    <w:rPr>
                      <w:rFonts w:hint="default" w:ascii="Times New Roman" w:hAnsi="Times New Roman" w:eastAsia="宋体" w:cs="Times New Roman"/>
                      <w:b/>
                      <w:color w:val="auto"/>
                      <w:sz w:val="21"/>
                      <w:szCs w:val="21"/>
                      <w:highlight w:val="none"/>
                      <w:u w:val="none"/>
                    </w:rPr>
                    <w:t>名称</w:t>
                  </w:r>
                </w:p>
              </w:tc>
              <w:tc>
                <w:tcPr>
                  <w:tcW w:w="768" w:type="pct"/>
                  <w:noWrap w:val="0"/>
                  <w:vAlign w:val="center"/>
                </w:tcPr>
                <w:p w14:paraId="059362AE">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default" w:ascii="Times New Roman" w:hAnsi="Times New Roman" w:eastAsia="宋体" w:cs="Times New Roman"/>
                      <w:b/>
                      <w:color w:val="auto"/>
                      <w:sz w:val="21"/>
                      <w:szCs w:val="21"/>
                      <w:highlight w:val="none"/>
                      <w:u w:val="none"/>
                      <w:lang w:eastAsia="zh-CN"/>
                    </w:rPr>
                    <w:t>贮存位置</w:t>
                  </w:r>
                </w:p>
              </w:tc>
              <w:tc>
                <w:tcPr>
                  <w:tcW w:w="998" w:type="pct"/>
                  <w:noWrap w:val="0"/>
                  <w:vAlign w:val="center"/>
                </w:tcPr>
                <w:p w14:paraId="152DDD37">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处置方式</w:t>
                  </w:r>
                </w:p>
              </w:tc>
              <w:tc>
                <w:tcPr>
                  <w:tcW w:w="740" w:type="pct"/>
                  <w:noWrap w:val="0"/>
                  <w:vAlign w:val="center"/>
                </w:tcPr>
                <w:p w14:paraId="20054B55">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利用或处理量（</w:t>
                  </w:r>
                  <w:r>
                    <w:rPr>
                      <w:rFonts w:hint="default" w:ascii="Times New Roman" w:hAnsi="Times New Roman" w:eastAsia="宋体" w:cs="Times New Roman"/>
                      <w:b/>
                      <w:color w:val="auto"/>
                      <w:sz w:val="21"/>
                      <w:szCs w:val="21"/>
                      <w:highlight w:val="none"/>
                      <w:u w:val="none"/>
                      <w:lang w:val="en-US" w:eastAsia="zh-CN"/>
                    </w:rPr>
                    <w:t>t/a</w:t>
                  </w:r>
                  <w:r>
                    <w:rPr>
                      <w:rFonts w:hint="default" w:ascii="Times New Roman" w:hAnsi="Times New Roman" w:eastAsia="宋体" w:cs="Times New Roman"/>
                      <w:b/>
                      <w:color w:val="auto"/>
                      <w:sz w:val="21"/>
                      <w:szCs w:val="21"/>
                      <w:highlight w:val="none"/>
                      <w:u w:val="none"/>
                      <w:lang w:eastAsia="zh-CN"/>
                    </w:rPr>
                    <w:t>）</w:t>
                  </w:r>
                </w:p>
              </w:tc>
              <w:tc>
                <w:tcPr>
                  <w:tcW w:w="1220" w:type="pct"/>
                  <w:noWrap w:val="0"/>
                  <w:vAlign w:val="center"/>
                </w:tcPr>
                <w:p w14:paraId="46D68843">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eastAsia="zh-CN"/>
                    </w:rPr>
                  </w:pPr>
                  <w:r>
                    <w:rPr>
                      <w:rFonts w:hint="default" w:ascii="Times New Roman" w:hAnsi="Times New Roman" w:eastAsia="宋体" w:cs="Times New Roman"/>
                      <w:b/>
                      <w:color w:val="auto"/>
                      <w:sz w:val="21"/>
                      <w:szCs w:val="21"/>
                      <w:highlight w:val="none"/>
                      <w:u w:val="none"/>
                      <w:lang w:eastAsia="zh-CN"/>
                    </w:rPr>
                    <w:t>是否符合环保要求</w:t>
                  </w:r>
                </w:p>
              </w:tc>
            </w:tr>
            <w:tr w14:paraId="4B084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03" w:hRule="atLeast"/>
                <w:jc w:val="center"/>
              </w:trPr>
              <w:tc>
                <w:tcPr>
                  <w:tcW w:w="408" w:type="pct"/>
                  <w:noWrap w:val="0"/>
                  <w:vAlign w:val="center"/>
                </w:tcPr>
                <w:p w14:paraId="78700B53">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1</w:t>
                  </w:r>
                </w:p>
              </w:tc>
              <w:tc>
                <w:tcPr>
                  <w:tcW w:w="864" w:type="pct"/>
                  <w:noWrap w:val="0"/>
                  <w:vAlign w:val="center"/>
                </w:tcPr>
                <w:p w14:paraId="1F2B3137">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感染性药物</w:t>
                  </w:r>
                </w:p>
              </w:tc>
              <w:tc>
                <w:tcPr>
                  <w:tcW w:w="768" w:type="pct"/>
                  <w:noWrap w:val="0"/>
                  <w:vAlign w:val="center"/>
                </w:tcPr>
                <w:p w14:paraId="4EE5029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医疗废物暂存间</w:t>
                  </w:r>
                </w:p>
              </w:tc>
              <w:tc>
                <w:tcPr>
                  <w:tcW w:w="998" w:type="pct"/>
                  <w:vMerge w:val="restart"/>
                  <w:noWrap w:val="0"/>
                  <w:vAlign w:val="center"/>
                </w:tcPr>
                <w:p w14:paraId="7907C91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rPr>
                    <w:t>定期交由</w:t>
                  </w:r>
                  <w:r>
                    <w:rPr>
                      <w:rFonts w:hint="default" w:ascii="Times New Roman" w:hAnsi="Times New Roman" w:eastAsia="宋体" w:cs="Times New Roman"/>
                      <w:b w:val="0"/>
                      <w:bCs/>
                      <w:color w:val="auto"/>
                      <w:sz w:val="21"/>
                      <w:szCs w:val="21"/>
                      <w:highlight w:val="none"/>
                      <w:u w:val="none"/>
                      <w:lang w:eastAsia="zh-CN"/>
                    </w:rPr>
                    <w:t>株洲市医疗废物集中处置有限公司</w:t>
                  </w:r>
                  <w:r>
                    <w:rPr>
                      <w:rFonts w:hint="default" w:ascii="Times New Roman" w:hAnsi="Times New Roman" w:eastAsia="宋体" w:cs="Times New Roman"/>
                      <w:b w:val="0"/>
                      <w:bCs/>
                      <w:color w:val="auto"/>
                      <w:sz w:val="21"/>
                      <w:szCs w:val="21"/>
                      <w:highlight w:val="none"/>
                      <w:u w:val="none"/>
                    </w:rPr>
                    <w:t>处置</w:t>
                  </w:r>
                </w:p>
              </w:tc>
              <w:tc>
                <w:tcPr>
                  <w:tcW w:w="740" w:type="pct"/>
                  <w:noWrap w:val="0"/>
                  <w:vAlign w:val="center"/>
                </w:tcPr>
                <w:p w14:paraId="36863FA4">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1.481</w:t>
                  </w:r>
                </w:p>
              </w:tc>
              <w:tc>
                <w:tcPr>
                  <w:tcW w:w="1220" w:type="pct"/>
                  <w:noWrap w:val="0"/>
                  <w:vAlign w:val="center"/>
                </w:tcPr>
                <w:p w14:paraId="289CCF96">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符合</w:t>
                  </w:r>
                </w:p>
              </w:tc>
            </w:tr>
            <w:tr w14:paraId="0ED37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03" w:hRule="atLeast"/>
                <w:jc w:val="center"/>
              </w:trPr>
              <w:tc>
                <w:tcPr>
                  <w:tcW w:w="408" w:type="pct"/>
                  <w:noWrap w:val="0"/>
                  <w:vAlign w:val="center"/>
                </w:tcPr>
                <w:p w14:paraId="62973258">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2</w:t>
                  </w:r>
                </w:p>
              </w:tc>
              <w:tc>
                <w:tcPr>
                  <w:tcW w:w="864" w:type="pct"/>
                  <w:noWrap w:val="0"/>
                  <w:vAlign w:val="center"/>
                </w:tcPr>
                <w:p w14:paraId="13625BAE">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损伤性药物</w:t>
                  </w:r>
                </w:p>
              </w:tc>
              <w:tc>
                <w:tcPr>
                  <w:tcW w:w="768" w:type="pct"/>
                  <w:noWrap w:val="0"/>
                  <w:vAlign w:val="center"/>
                </w:tcPr>
                <w:p w14:paraId="37D23693">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医疗废物暂存间</w:t>
                  </w:r>
                </w:p>
              </w:tc>
              <w:tc>
                <w:tcPr>
                  <w:tcW w:w="998" w:type="pct"/>
                  <w:vMerge w:val="continue"/>
                  <w:noWrap w:val="0"/>
                  <w:vAlign w:val="center"/>
                </w:tcPr>
                <w:p w14:paraId="5F3EBA6D">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p>
              </w:tc>
              <w:tc>
                <w:tcPr>
                  <w:tcW w:w="740" w:type="pct"/>
                  <w:noWrap w:val="0"/>
                  <w:vAlign w:val="center"/>
                </w:tcPr>
                <w:p w14:paraId="0247F0C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0.822</w:t>
                  </w:r>
                </w:p>
              </w:tc>
              <w:tc>
                <w:tcPr>
                  <w:tcW w:w="1220" w:type="pct"/>
                  <w:noWrap w:val="0"/>
                  <w:vAlign w:val="center"/>
                </w:tcPr>
                <w:p w14:paraId="535B17F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符合</w:t>
                  </w:r>
                </w:p>
              </w:tc>
            </w:tr>
            <w:tr w14:paraId="1E1B7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03" w:hRule="atLeast"/>
                <w:jc w:val="center"/>
              </w:trPr>
              <w:tc>
                <w:tcPr>
                  <w:tcW w:w="408" w:type="pct"/>
                  <w:noWrap w:val="0"/>
                  <w:vAlign w:val="center"/>
                </w:tcPr>
                <w:p w14:paraId="3BAA2D53">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3</w:t>
                  </w:r>
                </w:p>
              </w:tc>
              <w:tc>
                <w:tcPr>
                  <w:tcW w:w="864" w:type="pct"/>
                  <w:noWrap w:val="0"/>
                  <w:vAlign w:val="center"/>
                </w:tcPr>
                <w:p w14:paraId="708E8258">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药物性药物</w:t>
                  </w:r>
                </w:p>
              </w:tc>
              <w:tc>
                <w:tcPr>
                  <w:tcW w:w="768" w:type="pct"/>
                  <w:noWrap w:val="0"/>
                  <w:vAlign w:val="center"/>
                </w:tcPr>
                <w:p w14:paraId="2E45BF55">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医疗废物暂存间</w:t>
                  </w:r>
                </w:p>
              </w:tc>
              <w:tc>
                <w:tcPr>
                  <w:tcW w:w="998" w:type="pct"/>
                  <w:vMerge w:val="continue"/>
                  <w:noWrap w:val="0"/>
                  <w:vAlign w:val="center"/>
                </w:tcPr>
                <w:p w14:paraId="5FB0D79A">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p>
              </w:tc>
              <w:tc>
                <w:tcPr>
                  <w:tcW w:w="740" w:type="pct"/>
                  <w:noWrap w:val="0"/>
                  <w:vAlign w:val="center"/>
                </w:tcPr>
                <w:p w14:paraId="74405EE0">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 xml:space="preserve">0.005 </w:t>
                  </w:r>
                </w:p>
              </w:tc>
              <w:tc>
                <w:tcPr>
                  <w:tcW w:w="1220" w:type="pct"/>
                  <w:noWrap w:val="0"/>
                  <w:vAlign w:val="center"/>
                </w:tcPr>
                <w:p w14:paraId="465D34F7">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符合</w:t>
                  </w:r>
                </w:p>
              </w:tc>
            </w:tr>
            <w:tr w14:paraId="7943D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8" w:type="pct"/>
                  <w:noWrap w:val="0"/>
                  <w:vAlign w:val="center"/>
                </w:tcPr>
                <w:p w14:paraId="39861797">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4</w:t>
                  </w:r>
                </w:p>
              </w:tc>
              <w:tc>
                <w:tcPr>
                  <w:tcW w:w="864" w:type="pct"/>
                  <w:noWrap w:val="0"/>
                  <w:vAlign w:val="center"/>
                </w:tcPr>
                <w:p w14:paraId="6536C1A0">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检验废液</w:t>
                  </w:r>
                </w:p>
              </w:tc>
              <w:tc>
                <w:tcPr>
                  <w:tcW w:w="768" w:type="pct"/>
                  <w:noWrap w:val="0"/>
                  <w:vAlign w:val="center"/>
                </w:tcPr>
                <w:p w14:paraId="58E539B5">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医疗废物暂存间</w:t>
                  </w:r>
                </w:p>
              </w:tc>
              <w:tc>
                <w:tcPr>
                  <w:tcW w:w="998" w:type="pct"/>
                  <w:vMerge w:val="continue"/>
                  <w:noWrap w:val="0"/>
                  <w:vAlign w:val="top"/>
                </w:tcPr>
                <w:p w14:paraId="71CEB26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rPr>
                  </w:pPr>
                </w:p>
              </w:tc>
              <w:tc>
                <w:tcPr>
                  <w:tcW w:w="740" w:type="pct"/>
                  <w:noWrap w:val="0"/>
                  <w:vAlign w:val="center"/>
                </w:tcPr>
                <w:p w14:paraId="08AE3998">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cs="Times New Roman"/>
                      <w:b w:val="0"/>
                      <w:bCs/>
                      <w:color w:val="auto"/>
                      <w:sz w:val="21"/>
                      <w:szCs w:val="21"/>
                      <w:highlight w:val="none"/>
                      <w:u w:val="none"/>
                      <w:lang w:val="en-US" w:eastAsia="zh-CN"/>
                    </w:rPr>
                    <w:t>0.876</w:t>
                  </w:r>
                </w:p>
              </w:tc>
              <w:tc>
                <w:tcPr>
                  <w:tcW w:w="1220" w:type="pct"/>
                  <w:noWrap w:val="0"/>
                  <w:vAlign w:val="center"/>
                </w:tcPr>
                <w:p w14:paraId="532B0C53">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符合</w:t>
                  </w:r>
                </w:p>
              </w:tc>
            </w:tr>
            <w:tr w14:paraId="05860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8" w:type="pct"/>
                  <w:noWrap w:val="0"/>
                  <w:vAlign w:val="center"/>
                </w:tcPr>
                <w:p w14:paraId="5D370FBC">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5</w:t>
                  </w:r>
                </w:p>
              </w:tc>
              <w:tc>
                <w:tcPr>
                  <w:tcW w:w="864" w:type="pct"/>
                  <w:noWrap w:val="0"/>
                  <w:vAlign w:val="center"/>
                </w:tcPr>
                <w:p w14:paraId="2AD36158">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污水处理站污泥</w:t>
                  </w:r>
                </w:p>
              </w:tc>
              <w:tc>
                <w:tcPr>
                  <w:tcW w:w="768" w:type="pct"/>
                  <w:noWrap w:val="0"/>
                  <w:vAlign w:val="center"/>
                </w:tcPr>
                <w:p w14:paraId="479FB90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不在院内暂存</w:t>
                  </w:r>
                </w:p>
              </w:tc>
              <w:tc>
                <w:tcPr>
                  <w:tcW w:w="998" w:type="pct"/>
                  <w:noWrap w:val="0"/>
                  <w:vAlign w:val="top"/>
                </w:tcPr>
                <w:p w14:paraId="1A25F2DB">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val="en-US" w:eastAsia="zh-CN"/>
                    </w:rPr>
                    <w:t>交由有资质单位处置</w:t>
                  </w:r>
                </w:p>
              </w:tc>
              <w:tc>
                <w:tcPr>
                  <w:tcW w:w="740" w:type="pct"/>
                  <w:noWrap w:val="0"/>
                  <w:vAlign w:val="center"/>
                </w:tcPr>
                <w:p w14:paraId="1D57BB22">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0.</w:t>
                  </w:r>
                  <w:r>
                    <w:rPr>
                      <w:rFonts w:hint="eastAsia" w:cs="Times New Roman"/>
                      <w:b w:val="0"/>
                      <w:bCs/>
                      <w:color w:val="auto"/>
                      <w:sz w:val="21"/>
                      <w:szCs w:val="21"/>
                      <w:highlight w:val="none"/>
                      <w:u w:val="none"/>
                      <w:lang w:val="en-US" w:eastAsia="zh-CN"/>
                    </w:rPr>
                    <w:t>59</w:t>
                  </w:r>
                </w:p>
              </w:tc>
              <w:tc>
                <w:tcPr>
                  <w:tcW w:w="1220" w:type="pct"/>
                  <w:noWrap w:val="0"/>
                  <w:vAlign w:val="center"/>
                </w:tcPr>
                <w:p w14:paraId="02FE8B90">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符合</w:t>
                  </w:r>
                </w:p>
              </w:tc>
            </w:tr>
            <w:tr w14:paraId="5C480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8" w:type="pct"/>
                  <w:noWrap w:val="0"/>
                  <w:vAlign w:val="center"/>
                </w:tcPr>
                <w:p w14:paraId="48F8BD94">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6</w:t>
                  </w:r>
                </w:p>
              </w:tc>
              <w:tc>
                <w:tcPr>
                  <w:tcW w:w="864" w:type="pct"/>
                  <w:noWrap w:val="0"/>
                  <w:vAlign w:val="center"/>
                </w:tcPr>
                <w:p w14:paraId="23E4FCF6">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废包装物</w:t>
                  </w:r>
                </w:p>
              </w:tc>
              <w:tc>
                <w:tcPr>
                  <w:tcW w:w="768" w:type="pct"/>
                  <w:noWrap w:val="0"/>
                  <w:vAlign w:val="center"/>
                </w:tcPr>
                <w:p w14:paraId="639F76D7">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不在院内暂存</w:t>
                  </w:r>
                </w:p>
              </w:tc>
              <w:tc>
                <w:tcPr>
                  <w:tcW w:w="998" w:type="pct"/>
                  <w:noWrap w:val="0"/>
                  <w:vAlign w:val="center"/>
                </w:tcPr>
                <w:p w14:paraId="7BC834E1">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统一由环卫部门清运</w:t>
                  </w:r>
                </w:p>
              </w:tc>
              <w:tc>
                <w:tcPr>
                  <w:tcW w:w="740" w:type="pct"/>
                  <w:noWrap w:val="0"/>
                  <w:vAlign w:val="center"/>
                </w:tcPr>
                <w:p w14:paraId="00D66F26">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0.2</w:t>
                  </w:r>
                </w:p>
              </w:tc>
              <w:tc>
                <w:tcPr>
                  <w:tcW w:w="1220" w:type="pct"/>
                  <w:noWrap w:val="0"/>
                  <w:vAlign w:val="center"/>
                </w:tcPr>
                <w:p w14:paraId="755902D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符合</w:t>
                  </w:r>
                </w:p>
              </w:tc>
            </w:tr>
            <w:tr w14:paraId="5D639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8" w:type="pct"/>
                  <w:noWrap w:val="0"/>
                  <w:vAlign w:val="center"/>
                </w:tcPr>
                <w:p w14:paraId="5AB10800">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7</w:t>
                  </w:r>
                </w:p>
              </w:tc>
              <w:tc>
                <w:tcPr>
                  <w:tcW w:w="864" w:type="pct"/>
                  <w:noWrap w:val="0"/>
                  <w:vAlign w:val="center"/>
                </w:tcPr>
                <w:p w14:paraId="17CABCC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废一次性输液瓶（袋）</w:t>
                  </w:r>
                </w:p>
              </w:tc>
              <w:tc>
                <w:tcPr>
                  <w:tcW w:w="768" w:type="pct"/>
                  <w:noWrap w:val="0"/>
                  <w:vAlign w:val="center"/>
                </w:tcPr>
                <w:p w14:paraId="36C6FE43">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医疗废物暂存间</w:t>
                  </w:r>
                </w:p>
              </w:tc>
              <w:tc>
                <w:tcPr>
                  <w:tcW w:w="998" w:type="pct"/>
                  <w:noWrap w:val="0"/>
                  <w:vAlign w:val="top"/>
                </w:tcPr>
                <w:p w14:paraId="52B4174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交由有资质单位处置</w:t>
                  </w:r>
                </w:p>
              </w:tc>
              <w:tc>
                <w:tcPr>
                  <w:tcW w:w="740" w:type="pct"/>
                  <w:noWrap w:val="0"/>
                  <w:vAlign w:val="center"/>
                </w:tcPr>
                <w:p w14:paraId="44A9080F">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0.3</w:t>
                  </w:r>
                </w:p>
              </w:tc>
              <w:tc>
                <w:tcPr>
                  <w:tcW w:w="1220" w:type="pct"/>
                  <w:noWrap w:val="0"/>
                  <w:vAlign w:val="center"/>
                </w:tcPr>
                <w:p w14:paraId="03FD153C">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符合</w:t>
                  </w:r>
                </w:p>
              </w:tc>
            </w:tr>
            <w:tr w14:paraId="3C901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8" w:type="pct"/>
                  <w:noWrap w:val="0"/>
                  <w:vAlign w:val="center"/>
                </w:tcPr>
                <w:p w14:paraId="39E5DC4A">
                  <w:pPr>
                    <w:kinsoku w:val="0"/>
                    <w:overflowPunct w:val="0"/>
                    <w:spacing w:line="240" w:lineRule="auto"/>
                    <w:ind w:firstLine="0" w:firstLineChars="0"/>
                    <w:jc w:val="center"/>
                    <w:rPr>
                      <w:rFonts w:hint="default" w:ascii="Times New Roman" w:hAnsi="Times New Roman" w:eastAsia="宋体" w:cs="Times New Roman"/>
                      <w:b/>
                      <w:color w:val="auto"/>
                      <w:sz w:val="21"/>
                      <w:szCs w:val="21"/>
                      <w:highlight w:val="none"/>
                      <w:u w:val="none"/>
                      <w:lang w:val="en-US" w:eastAsia="zh-CN"/>
                    </w:rPr>
                  </w:pPr>
                  <w:r>
                    <w:rPr>
                      <w:rFonts w:hint="eastAsia" w:cs="Times New Roman"/>
                      <w:b/>
                      <w:color w:val="auto"/>
                      <w:sz w:val="21"/>
                      <w:szCs w:val="21"/>
                      <w:highlight w:val="none"/>
                      <w:u w:val="none"/>
                      <w:lang w:val="en-US" w:eastAsia="zh-CN"/>
                    </w:rPr>
                    <w:t>8</w:t>
                  </w:r>
                </w:p>
              </w:tc>
              <w:tc>
                <w:tcPr>
                  <w:tcW w:w="864" w:type="pct"/>
                  <w:noWrap w:val="0"/>
                  <w:vAlign w:val="center"/>
                </w:tcPr>
                <w:p w14:paraId="3EAEFF29">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生活垃圾</w:t>
                  </w:r>
                </w:p>
              </w:tc>
              <w:tc>
                <w:tcPr>
                  <w:tcW w:w="768" w:type="pct"/>
                  <w:noWrap w:val="0"/>
                  <w:vAlign w:val="center"/>
                </w:tcPr>
                <w:p w14:paraId="688DBF1A">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eastAsia="zh-CN"/>
                    </w:rPr>
                    <w:t>垃圾桶</w:t>
                  </w:r>
                </w:p>
              </w:tc>
              <w:tc>
                <w:tcPr>
                  <w:tcW w:w="998" w:type="pct"/>
                  <w:noWrap w:val="0"/>
                  <w:vAlign w:val="center"/>
                </w:tcPr>
                <w:p w14:paraId="1A2F30A3">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统一由环卫部门清运</w:t>
                  </w:r>
                </w:p>
              </w:tc>
              <w:tc>
                <w:tcPr>
                  <w:tcW w:w="740" w:type="pct"/>
                  <w:noWrap w:val="0"/>
                  <w:vAlign w:val="center"/>
                </w:tcPr>
                <w:p w14:paraId="6918A19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15.7</w:t>
                  </w:r>
                </w:p>
              </w:tc>
              <w:tc>
                <w:tcPr>
                  <w:tcW w:w="1220" w:type="pct"/>
                  <w:noWrap w:val="0"/>
                  <w:vAlign w:val="center"/>
                </w:tcPr>
                <w:p w14:paraId="6A445C4D">
                  <w:pPr>
                    <w:kinsoku w:val="0"/>
                    <w:overflowPunct w:val="0"/>
                    <w:spacing w:line="240" w:lineRule="auto"/>
                    <w:ind w:firstLine="0" w:firstLineChars="0"/>
                    <w:jc w:val="center"/>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eastAsia="宋体" w:cs="Times New Roman"/>
                      <w:b w:val="0"/>
                      <w:bCs/>
                      <w:color w:val="auto"/>
                      <w:sz w:val="21"/>
                      <w:szCs w:val="21"/>
                      <w:highlight w:val="none"/>
                      <w:u w:val="none"/>
                      <w:lang w:eastAsia="zh-CN"/>
                    </w:rPr>
                    <w:t>符合</w:t>
                  </w:r>
                </w:p>
              </w:tc>
            </w:tr>
          </w:tbl>
          <w:p w14:paraId="14BA16DA">
            <w:pPr>
              <w:pStyle w:val="28"/>
              <w:adjustRightInd/>
              <w:snapToGrid/>
              <w:spacing w:before="0" w:beforeLines="0" w:after="0" w:afterLines="0" w:line="240" w:lineRule="auto"/>
              <w:jc w:val="both"/>
              <w:rPr>
                <w:rFonts w:hint="default" w:ascii="Times New Roman" w:hAnsi="Times New Roman" w:eastAsia="宋体" w:cs="Times New Roman"/>
                <w:b/>
                <w:bCs/>
                <w:color w:val="auto"/>
                <w:kern w:val="2"/>
                <w:sz w:val="21"/>
                <w:szCs w:val="21"/>
                <w:u w:val="none" w:color="auto"/>
                <w:lang w:val="en-US" w:eastAsia="zh-CN" w:bidi="ar-SA"/>
              </w:rPr>
            </w:pPr>
          </w:p>
          <w:p w14:paraId="507EC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rFonts w:hint="eastAsia"/>
                <w:color w:val="auto"/>
                <w:sz w:val="24"/>
                <w:szCs w:val="24"/>
                <w:u w:val="none" w:color="auto"/>
                <w:lang w:eastAsia="zh-CN"/>
              </w:rPr>
              <w:t>（</w:t>
            </w:r>
            <w:r>
              <w:rPr>
                <w:rFonts w:hint="eastAsia"/>
                <w:color w:val="auto"/>
                <w:sz w:val="24"/>
                <w:szCs w:val="24"/>
                <w:u w:val="none" w:color="auto"/>
                <w:lang w:val="en-US" w:eastAsia="zh-CN"/>
              </w:rPr>
              <w:t>1</w:t>
            </w:r>
            <w:r>
              <w:rPr>
                <w:rFonts w:hint="eastAsia"/>
                <w:color w:val="auto"/>
                <w:sz w:val="24"/>
                <w:szCs w:val="24"/>
                <w:u w:val="none" w:color="auto"/>
                <w:lang w:eastAsia="zh-CN"/>
              </w:rPr>
              <w:t>）固体废物管理要求</w:t>
            </w:r>
          </w:p>
          <w:p w14:paraId="42830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1、一般固体废物</w:t>
            </w:r>
          </w:p>
          <w:p w14:paraId="6B577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rFonts w:hint="default" w:ascii="Times New Roman" w:hAnsi="Times New Roman" w:eastAsia="宋体" w:cs="Times New Roman"/>
                <w:color w:val="auto"/>
                <w:kern w:val="0"/>
                <w:sz w:val="24"/>
                <w:szCs w:val="24"/>
                <w:u w:val="none" w:color="auto"/>
                <w:lang w:bidi="ar"/>
              </w:rPr>
              <w:t>建设</w:t>
            </w:r>
            <w:r>
              <w:rPr>
                <w:rFonts w:hint="default" w:ascii="Times New Roman" w:hAnsi="Times New Roman" w:eastAsia="宋体" w:cs="Times New Roman"/>
                <w:color w:val="auto"/>
                <w:kern w:val="0"/>
                <w:sz w:val="24"/>
                <w:szCs w:val="24"/>
                <w:u w:val="none" w:color="auto"/>
                <w:lang w:eastAsia="zh-CN" w:bidi="ar"/>
              </w:rPr>
              <w:t>单位</w:t>
            </w:r>
            <w:r>
              <w:rPr>
                <w:rFonts w:hint="default" w:ascii="Times New Roman" w:hAnsi="Times New Roman" w:eastAsia="宋体" w:cs="Times New Roman"/>
                <w:color w:val="auto"/>
                <w:kern w:val="0"/>
                <w:sz w:val="24"/>
                <w:szCs w:val="24"/>
                <w:u w:val="none" w:color="auto"/>
                <w:lang w:bidi="ar"/>
              </w:rPr>
              <w:t>需强化废物产生、收集、贮运各环节的管理，</w:t>
            </w:r>
            <w:r>
              <w:rPr>
                <w:rFonts w:hint="default" w:ascii="Times New Roman" w:hAnsi="Times New Roman" w:eastAsia="宋体" w:cs="Times New Roman"/>
                <w:color w:val="auto"/>
                <w:sz w:val="24"/>
                <w:u w:val="none" w:color="auto"/>
              </w:rPr>
              <w:t>严格按照国家《一般工业固体废物贮存和填埋污染控制标准》（GB18599</w:t>
            </w:r>
            <w:r>
              <w:rPr>
                <w:rFonts w:hint="eastAsia" w:ascii="Times New Roman" w:hAnsi="Times New Roman" w:eastAsia="宋体" w:cs="Times New Roman"/>
                <w:color w:val="auto"/>
                <w:sz w:val="24"/>
                <w:u w:val="none" w:color="auto"/>
                <w:lang w:val="en-US" w:eastAsia="zh-CN"/>
              </w:rPr>
              <w:t>-</w:t>
            </w:r>
            <w:r>
              <w:rPr>
                <w:rFonts w:hint="default" w:ascii="Times New Roman" w:hAnsi="Times New Roman" w:eastAsia="宋体" w:cs="Times New Roman"/>
                <w:color w:val="auto"/>
                <w:sz w:val="24"/>
                <w:u w:val="none" w:color="auto"/>
              </w:rPr>
              <w:t>2020）的要求，</w:t>
            </w:r>
            <w:r>
              <w:rPr>
                <w:rFonts w:hint="default" w:ascii="Times New Roman" w:hAnsi="Times New Roman" w:eastAsia="宋体" w:cs="Times New Roman"/>
                <w:color w:val="auto"/>
                <w:kern w:val="0"/>
                <w:sz w:val="24"/>
                <w:szCs w:val="24"/>
                <w:u w:val="none" w:color="auto"/>
                <w:lang w:bidi="ar"/>
              </w:rPr>
              <w:t>设置临时堆放点或贮存设施，</w:t>
            </w:r>
            <w:r>
              <w:rPr>
                <w:rFonts w:hint="default" w:ascii="Times New Roman" w:hAnsi="Times New Roman" w:eastAsia="宋体" w:cs="Times New Roman"/>
                <w:color w:val="auto"/>
                <w:sz w:val="24"/>
                <w:u w:val="none" w:color="auto"/>
              </w:rPr>
              <w:t>固废应按照要求进行分类处置，其中工业固废与生活垃圾分类处置、危险固废与一般固废分类处置</w:t>
            </w:r>
            <w:r>
              <w:rPr>
                <w:rFonts w:hint="default" w:ascii="Times New Roman" w:hAnsi="Times New Roman" w:eastAsia="宋体" w:cs="Times New Roman"/>
                <w:color w:val="auto"/>
                <w:kern w:val="0"/>
                <w:sz w:val="24"/>
                <w:szCs w:val="24"/>
                <w:u w:val="none" w:color="auto"/>
                <w:lang w:bidi="ar"/>
              </w:rPr>
              <w:t>，不得擅自倾倒、堆放、丢弃、遗撒，杜绝固废在厂区内的散失、渗漏。建立检查维护制度，定期检查维护一般固废贮存设施，发现有损坏可能或异常，应及时采取必要措施，以保障其正常使用，以降低固体废物散落对周围环境的影响。根据固废产生的实际情况及时清运固废，使产生的固体废物得到及时、妥善</w:t>
            </w:r>
            <w:r>
              <w:rPr>
                <w:rFonts w:hint="eastAsia" w:ascii="Times New Roman" w:hAnsi="Times New Roman" w:eastAsia="宋体" w:cs="Times New Roman"/>
                <w:color w:val="auto"/>
                <w:kern w:val="0"/>
                <w:sz w:val="24"/>
                <w:szCs w:val="24"/>
                <w:u w:val="none" w:color="auto"/>
                <w:lang w:val="en-US" w:eastAsia="zh-CN" w:bidi="ar"/>
              </w:rPr>
              <w:t>地</w:t>
            </w:r>
            <w:r>
              <w:rPr>
                <w:rFonts w:hint="default" w:ascii="Times New Roman" w:hAnsi="Times New Roman" w:eastAsia="宋体" w:cs="Times New Roman"/>
                <w:color w:val="auto"/>
                <w:kern w:val="0"/>
                <w:sz w:val="24"/>
                <w:szCs w:val="24"/>
                <w:u w:val="none" w:color="auto"/>
                <w:lang w:bidi="ar"/>
              </w:rPr>
              <w:t>处理和处置</w:t>
            </w:r>
          </w:p>
          <w:p w14:paraId="069BA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color w:val="auto"/>
                <w:sz w:val="24"/>
                <w:szCs w:val="24"/>
                <w:u w:val="none" w:color="auto"/>
                <w:lang w:eastAsia="zh-CN"/>
              </w:rPr>
            </w:pPr>
            <w:r>
              <w:rPr>
                <w:rFonts w:hint="eastAsia"/>
                <w:color w:val="auto"/>
                <w:sz w:val="24"/>
                <w:szCs w:val="24"/>
                <w:u w:val="none" w:color="auto"/>
                <w:lang w:val="en-US" w:eastAsia="zh-CN"/>
              </w:rPr>
              <w:t>2</w:t>
            </w:r>
            <w:r>
              <w:rPr>
                <w:color w:val="auto"/>
                <w:sz w:val="24"/>
                <w:szCs w:val="24"/>
                <w:u w:val="none" w:color="auto"/>
              </w:rPr>
              <w:t>、</w:t>
            </w:r>
            <w:r>
              <w:rPr>
                <w:rFonts w:hint="eastAsia"/>
                <w:color w:val="auto"/>
                <w:sz w:val="24"/>
                <w:szCs w:val="24"/>
                <w:u w:val="none" w:color="auto"/>
                <w:lang w:eastAsia="zh-CN"/>
              </w:rPr>
              <w:t>危险废物管理要求</w:t>
            </w:r>
          </w:p>
          <w:p w14:paraId="32DB3FE8">
            <w:pPr>
              <w:pStyle w:val="29"/>
              <w:keepNext w:val="0"/>
              <w:keepLines w:val="0"/>
              <w:pageBreakBefore w:val="0"/>
              <w:kinsoku/>
              <w:wordWrap/>
              <w:overflowPunct/>
              <w:topLinePunct w:val="0"/>
              <w:autoSpaceDE/>
              <w:autoSpaceDN/>
              <w:bidi w:val="0"/>
              <w:adjustRightInd/>
              <w:snapToGrid/>
              <w:spacing w:line="360" w:lineRule="auto"/>
              <w:ind w:left="0" w:leftChars="0" w:right="0" w:firstLine="492" w:firstLineChars="200"/>
              <w:jc w:val="both"/>
              <w:textAlignment w:val="auto"/>
              <w:rPr>
                <w:rFonts w:hint="default" w:ascii="Times New Roman" w:hAnsi="Times New Roman" w:eastAsia="宋体"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根据《医疗废物管理条例》（2011年修订）</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医疗废物暂存管理要求如下</w:t>
            </w:r>
            <w:r>
              <w:rPr>
                <w:rFonts w:hint="default" w:ascii="Times New Roman" w:hAnsi="Times New Roman" w:eastAsia="宋体" w:cs="Times New Roman"/>
                <w:color w:val="auto"/>
                <w:sz w:val="24"/>
                <w:highlight w:val="none"/>
                <w:u w:val="none" w:color="auto"/>
                <w:lang w:val="en-US" w:eastAsia="zh-CN"/>
              </w:rPr>
              <w:t>：</w:t>
            </w:r>
          </w:p>
          <w:p w14:paraId="7973E190">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auto"/>
                <w:spacing w:val="3"/>
                <w:kern w:val="2"/>
                <w:sz w:val="24"/>
                <w:szCs w:val="24"/>
                <w:highlight w:val="none"/>
                <w:u w:val="none" w:color="auto"/>
                <w:lang w:val="en-US" w:eastAsia="zh-CN" w:bidi="ar-SA"/>
              </w:rPr>
            </w:pPr>
            <w:r>
              <w:rPr>
                <w:rFonts w:hint="eastAsia" w:cs="Times New Roman"/>
                <w:b/>
                <w:bCs/>
                <w:color w:val="auto"/>
                <w:spacing w:val="3"/>
                <w:kern w:val="2"/>
                <w:sz w:val="24"/>
                <w:szCs w:val="24"/>
                <w:highlight w:val="none"/>
                <w:u w:val="none" w:color="auto"/>
                <w:lang w:val="en-US" w:eastAsia="zh-CN" w:bidi="ar-SA"/>
              </w:rPr>
              <w:t>（</w:t>
            </w:r>
            <w:r>
              <w:rPr>
                <w:rFonts w:hint="eastAsia" w:ascii="Times New Roman" w:hAnsi="Times New Roman" w:eastAsia="宋体" w:cs="Times New Roman"/>
                <w:b/>
                <w:bCs/>
                <w:color w:val="auto"/>
                <w:spacing w:val="3"/>
                <w:kern w:val="2"/>
                <w:sz w:val="24"/>
                <w:szCs w:val="24"/>
                <w:highlight w:val="none"/>
                <w:u w:val="none" w:color="auto"/>
                <w:lang w:val="en-US" w:eastAsia="zh-CN" w:bidi="ar-SA"/>
              </w:rPr>
              <w:t>A</w:t>
            </w:r>
            <w:r>
              <w:rPr>
                <w:rFonts w:hint="eastAsia" w:cs="Times New Roman"/>
                <w:b/>
                <w:bCs/>
                <w:color w:val="auto"/>
                <w:spacing w:val="3"/>
                <w:kern w:val="2"/>
                <w:sz w:val="24"/>
                <w:szCs w:val="24"/>
                <w:highlight w:val="none"/>
                <w:u w:val="none" w:color="auto"/>
                <w:lang w:val="en-US" w:eastAsia="zh-CN" w:bidi="ar-SA"/>
              </w:rPr>
              <w:t>）</w:t>
            </w:r>
            <w:r>
              <w:rPr>
                <w:rFonts w:hint="eastAsia" w:ascii="Times New Roman" w:hAnsi="Times New Roman" w:eastAsia="宋体" w:cs="Times New Roman"/>
                <w:b/>
                <w:bCs/>
                <w:color w:val="auto"/>
                <w:spacing w:val="3"/>
                <w:kern w:val="2"/>
                <w:sz w:val="24"/>
                <w:szCs w:val="24"/>
                <w:highlight w:val="none"/>
                <w:u w:val="none" w:color="auto"/>
                <w:lang w:val="en-US" w:eastAsia="zh-CN" w:bidi="ar-SA"/>
              </w:rPr>
              <w:t>医疗废物暂存管理</w:t>
            </w:r>
          </w:p>
          <w:p w14:paraId="46076C60">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医疗</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废物</w:t>
            </w:r>
            <w:r>
              <w:rPr>
                <w:rFonts w:hint="default" w:ascii="Times New Roman" w:hAnsi="Times New Roman" w:eastAsia="宋体" w:cs="Times New Roman"/>
                <w:b w:val="0"/>
                <w:color w:val="auto"/>
                <w:spacing w:val="3"/>
                <w:kern w:val="2"/>
                <w:sz w:val="24"/>
                <w:szCs w:val="24"/>
                <w:highlight w:val="none"/>
                <w:u w:val="none" w:color="auto"/>
                <w:lang w:val="en-US" w:eastAsia="zh-CN" w:bidi="ar-SA"/>
              </w:rPr>
              <w:t>、</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污水处理站</w:t>
            </w:r>
            <w:r>
              <w:rPr>
                <w:rFonts w:hint="default" w:ascii="Times New Roman" w:hAnsi="Times New Roman" w:eastAsia="宋体" w:cs="Times New Roman"/>
                <w:b w:val="0"/>
                <w:color w:val="auto"/>
                <w:spacing w:val="3"/>
                <w:kern w:val="2"/>
                <w:sz w:val="24"/>
                <w:szCs w:val="24"/>
                <w:highlight w:val="none"/>
                <w:u w:val="none" w:color="auto"/>
                <w:lang w:val="en-US" w:eastAsia="zh-CN" w:bidi="ar-SA"/>
              </w:rPr>
              <w:t>污泥属于危险废物，根据《危险废物贮存污染控制标准》（GB18597-2023）和《医疗废物管理条例》</w:t>
            </w:r>
            <w:r>
              <w:rPr>
                <w:rFonts w:hint="eastAsia" w:cs="Times New Roman"/>
                <w:b w:val="0"/>
                <w:bCs/>
                <w:color w:val="auto"/>
                <w:sz w:val="24"/>
                <w:highlight w:val="none"/>
                <w:u w:val="none" w:color="auto"/>
                <w:lang w:val="en-US" w:eastAsia="zh-CN"/>
              </w:rPr>
              <w:t>（2011年修订）</w:t>
            </w:r>
            <w:r>
              <w:rPr>
                <w:rFonts w:hint="default" w:ascii="Times New Roman" w:hAnsi="Times New Roman" w:eastAsia="宋体" w:cs="Times New Roman"/>
                <w:b w:val="0"/>
                <w:bCs/>
                <w:color w:val="auto"/>
                <w:spacing w:val="3"/>
                <w:kern w:val="2"/>
                <w:sz w:val="24"/>
                <w:szCs w:val="24"/>
                <w:highlight w:val="none"/>
                <w:u w:val="none" w:color="auto"/>
                <w:lang w:val="en-US" w:eastAsia="zh-CN" w:bidi="ar-SA"/>
              </w:rPr>
              <w:t>的规</w:t>
            </w:r>
            <w:r>
              <w:rPr>
                <w:rFonts w:hint="default" w:ascii="Times New Roman" w:hAnsi="Times New Roman" w:eastAsia="宋体" w:cs="Times New Roman"/>
                <w:b w:val="0"/>
                <w:color w:val="auto"/>
                <w:spacing w:val="3"/>
                <w:kern w:val="2"/>
                <w:sz w:val="24"/>
                <w:szCs w:val="24"/>
                <w:highlight w:val="none"/>
                <w:u w:val="none" w:color="auto"/>
                <w:lang w:val="en-US" w:eastAsia="zh-CN" w:bidi="ar-SA"/>
              </w:rPr>
              <w:t>定，本项目对危险废物的管理采取以下措施：</w:t>
            </w:r>
          </w:p>
          <w:p w14:paraId="240308A8">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①进一步完善相应的规章制度，产生的危险废物由专人负责收集、管理。</w:t>
            </w:r>
          </w:p>
          <w:p w14:paraId="3D5B6184">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②医院及时收集各科室产生的医疗废物，并按照类别分置于防扩散、防渗漏、防锐器穿透的专用包装物或者密闭的容器内。不相容的医疗废物必须分开存放。</w:t>
            </w:r>
          </w:p>
          <w:p w14:paraId="7F426099">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③危险废物专用包装物、容器按国务院卫生行政主管部门和环境保护行政主管部门的规定设置明显的警示标识和警示说明。</w:t>
            </w:r>
          </w:p>
          <w:p w14:paraId="039D70E4">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④医疗废物必须于当日消毒，医疗废物暂时贮存的时间不得超过2天。医疗废物暂时贮存设施、设备定期进行消毒和清洁。</w:t>
            </w:r>
          </w:p>
          <w:p w14:paraId="5F1AF48E">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⑤污水处理设施产生的污泥含有大量的细菌和寄生虫卵，医院应按照《医院污水处理工程技术规范》（HJ2029-2013）中要求，投加石灰或其他消毒剂进行消毒，再交由有资质单位处置。</w:t>
            </w:r>
          </w:p>
          <w:p w14:paraId="2EE5E232">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auto"/>
                <w:spacing w:val="3"/>
                <w:kern w:val="2"/>
                <w:sz w:val="24"/>
                <w:szCs w:val="24"/>
                <w:highlight w:val="none"/>
                <w:u w:val="none" w:color="auto"/>
                <w:lang w:val="en-US" w:eastAsia="zh-CN" w:bidi="ar-SA"/>
              </w:rPr>
            </w:pPr>
            <w:r>
              <w:rPr>
                <w:rFonts w:hint="default" w:ascii="Times New Roman" w:hAnsi="Times New Roman" w:eastAsia="宋体" w:cs="Times New Roman"/>
                <w:b/>
                <w:bCs/>
                <w:color w:val="auto"/>
                <w:spacing w:val="3"/>
                <w:kern w:val="2"/>
                <w:sz w:val="24"/>
                <w:szCs w:val="24"/>
                <w:highlight w:val="none"/>
                <w:u w:val="none" w:color="auto"/>
                <w:lang w:val="en-US" w:eastAsia="zh-CN" w:bidi="ar-SA"/>
              </w:rPr>
              <w:t>（</w:t>
            </w:r>
            <w:r>
              <w:rPr>
                <w:rFonts w:hint="eastAsia" w:ascii="Times New Roman" w:hAnsi="Times New Roman" w:eastAsia="宋体" w:cs="Times New Roman"/>
                <w:b/>
                <w:bCs/>
                <w:color w:val="auto"/>
                <w:spacing w:val="3"/>
                <w:kern w:val="2"/>
                <w:sz w:val="24"/>
                <w:szCs w:val="24"/>
                <w:highlight w:val="none"/>
                <w:u w:val="none" w:color="auto"/>
                <w:lang w:val="en-US" w:eastAsia="zh-CN" w:bidi="ar-SA"/>
              </w:rPr>
              <w:t>B</w:t>
            </w:r>
            <w:r>
              <w:rPr>
                <w:rFonts w:hint="default" w:ascii="Times New Roman" w:hAnsi="Times New Roman" w:eastAsia="宋体" w:cs="Times New Roman"/>
                <w:b/>
                <w:bCs/>
                <w:color w:val="auto"/>
                <w:spacing w:val="3"/>
                <w:kern w:val="2"/>
                <w:sz w:val="24"/>
                <w:szCs w:val="24"/>
                <w:highlight w:val="none"/>
                <w:u w:val="none" w:color="auto"/>
                <w:lang w:val="en-US" w:eastAsia="zh-CN" w:bidi="ar-SA"/>
              </w:rPr>
              <w:t>）医疗废物在医疗废物暂存间临时贮存时，遵守如下规定：</w:t>
            </w:r>
          </w:p>
          <w:p w14:paraId="2704E8E4">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①总体要求</w:t>
            </w:r>
          </w:p>
          <w:p w14:paraId="6042E6A2">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医疗废物中废针管、针头、纱布等医疗废物，在交给有资质单位前必须预消毒；在医疗废物贮存过程中应严格按照《危险废物贮存污染控制标准》（GB18597</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w:t>
            </w:r>
            <w:r>
              <w:rPr>
                <w:rFonts w:hint="default" w:ascii="Times New Roman" w:hAnsi="Times New Roman" w:eastAsia="宋体" w:cs="Times New Roman"/>
                <w:b w:val="0"/>
                <w:color w:val="auto"/>
                <w:spacing w:val="3"/>
                <w:kern w:val="2"/>
                <w:sz w:val="24"/>
                <w:szCs w:val="24"/>
                <w:highlight w:val="none"/>
                <w:u w:val="none" w:color="auto"/>
                <w:lang w:val="en-US" w:eastAsia="zh-CN" w:bidi="ar-SA"/>
              </w:rPr>
              <w:t>2023）、《医疗废物包装袋、容器和警示标志标准》（HJ421</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w:t>
            </w:r>
            <w:r>
              <w:rPr>
                <w:rFonts w:hint="default" w:ascii="Times New Roman" w:hAnsi="Times New Roman" w:eastAsia="宋体" w:cs="Times New Roman"/>
                <w:b w:val="0"/>
                <w:color w:val="auto"/>
                <w:spacing w:val="3"/>
                <w:kern w:val="2"/>
                <w:sz w:val="24"/>
                <w:szCs w:val="24"/>
                <w:highlight w:val="none"/>
                <w:u w:val="none" w:color="auto"/>
                <w:lang w:val="en-US" w:eastAsia="zh-CN" w:bidi="ar-SA"/>
              </w:rPr>
              <w:t>2008）中的相关要求，加强内部环境管理，实现环境保护措施的有效运行。</w:t>
            </w:r>
          </w:p>
          <w:p w14:paraId="4E874849">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②包装袋要求</w:t>
            </w:r>
          </w:p>
          <w:p w14:paraId="425BEF42">
            <w:pPr>
              <w:pStyle w:val="2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包装袋不得使用聚氯乙烯（PVC）塑料为制造原料。包装袋最大容积0.1m</w:t>
            </w:r>
            <w:r>
              <w:rPr>
                <w:rFonts w:hint="default" w:ascii="Times New Roman" w:hAnsi="Times New Roman" w:eastAsia="宋体" w:cs="Times New Roman"/>
                <w:b w:val="0"/>
                <w:color w:val="auto"/>
                <w:spacing w:val="3"/>
                <w:kern w:val="2"/>
                <w:sz w:val="24"/>
                <w:szCs w:val="24"/>
                <w:highlight w:val="none"/>
                <w:u w:val="none" w:color="auto"/>
                <w:vertAlign w:val="superscript"/>
                <w:lang w:val="en-US" w:eastAsia="zh-CN" w:bidi="ar-SA"/>
              </w:rPr>
              <w:t>3</w:t>
            </w:r>
            <w:r>
              <w:rPr>
                <w:rFonts w:hint="default" w:ascii="Times New Roman" w:hAnsi="Times New Roman" w:eastAsia="宋体" w:cs="Times New Roman"/>
                <w:b w:val="0"/>
                <w:color w:val="auto"/>
                <w:spacing w:val="3"/>
                <w:kern w:val="2"/>
                <w:sz w:val="24"/>
                <w:szCs w:val="24"/>
                <w:highlight w:val="none"/>
                <w:u w:val="none" w:color="auto"/>
                <w:lang w:val="en-US" w:eastAsia="zh-CN" w:bidi="ar-SA"/>
              </w:rPr>
              <w:t>，大小和形状适中，便于搬运和配合周转箱（桶）盛装。包装袋的颜色为黄色，并有盛装医疗废物类型的文字说明，如盛装感染性废物，应在包装袋上加注</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w:t>
            </w:r>
            <w:r>
              <w:rPr>
                <w:rFonts w:hint="default" w:ascii="Times New Roman" w:hAnsi="Times New Roman" w:eastAsia="宋体" w:cs="Times New Roman"/>
                <w:b w:val="0"/>
                <w:color w:val="auto"/>
                <w:spacing w:val="3"/>
                <w:kern w:val="2"/>
                <w:sz w:val="24"/>
                <w:szCs w:val="24"/>
                <w:highlight w:val="none"/>
                <w:u w:val="none" w:color="auto"/>
                <w:lang w:val="en-US" w:eastAsia="zh-CN" w:bidi="ar-SA"/>
              </w:rPr>
              <w:t>感染性废物</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w:t>
            </w:r>
            <w:r>
              <w:rPr>
                <w:rFonts w:hint="default" w:ascii="Times New Roman" w:hAnsi="Times New Roman" w:eastAsia="宋体" w:cs="Times New Roman"/>
                <w:b w:val="0"/>
                <w:color w:val="auto"/>
                <w:spacing w:val="3"/>
                <w:kern w:val="2"/>
                <w:sz w:val="24"/>
                <w:szCs w:val="24"/>
                <w:highlight w:val="none"/>
                <w:u w:val="none" w:color="auto"/>
                <w:lang w:val="en-US" w:eastAsia="zh-CN" w:bidi="ar-SA"/>
              </w:rPr>
              <w:t>字样。包装袋上应印刷医疗废物警示标志，带警告语的警示标志及危险废物标志见下图。</w:t>
            </w:r>
          </w:p>
          <w:p w14:paraId="06A6C21C">
            <w:pPr>
              <w:pStyle w:val="30"/>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4"/>
                <w:szCs w:val="24"/>
                <w:u w:val="none" w:color="auto"/>
                <w:lang w:val="en-US" w:eastAsia="zh-CN" w:bidi="ar-SA"/>
              </w:rPr>
            </w:pPr>
            <w:r>
              <w:rPr>
                <w:rFonts w:hint="default" w:ascii="Times New Roman" w:hAnsi="Times New Roman" w:eastAsia="宋体" w:cs="Times New Roman"/>
                <w:b/>
                <w:bCs/>
                <w:color w:val="auto"/>
                <w:kern w:val="2"/>
                <w:sz w:val="24"/>
                <w:szCs w:val="24"/>
                <w:u w:val="none" w:color="auto"/>
                <w:lang w:val="en-US" w:eastAsia="zh-CN" w:bidi="ar-SA"/>
              </w:rPr>
              <w:drawing>
                <wp:inline distT="0" distB="0" distL="114300" distR="114300">
                  <wp:extent cx="2035810" cy="1172210"/>
                  <wp:effectExtent l="0" t="0" r="6350" b="1270"/>
                  <wp:docPr id="5" name="图片 1" descr="169750653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697506535673"/>
                          <pic:cNvPicPr>
                            <a:picLocks noChangeAspect="1"/>
                          </pic:cNvPicPr>
                        </pic:nvPicPr>
                        <pic:blipFill>
                          <a:blip r:embed="rId10"/>
                          <a:stretch>
                            <a:fillRect/>
                          </a:stretch>
                        </pic:blipFill>
                        <pic:spPr>
                          <a:xfrm>
                            <a:off x="0" y="0"/>
                            <a:ext cx="2035810" cy="1172210"/>
                          </a:xfrm>
                          <a:prstGeom prst="rect">
                            <a:avLst/>
                          </a:prstGeom>
                          <a:noFill/>
                          <a:ln>
                            <a:noFill/>
                          </a:ln>
                        </pic:spPr>
                      </pic:pic>
                    </a:graphicData>
                  </a:graphic>
                </wp:inline>
              </w:drawing>
            </w:r>
          </w:p>
          <w:p w14:paraId="582AA4C2">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③利器盒要求</w:t>
            </w:r>
          </w:p>
          <w:p w14:paraId="05EE54E8">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利器盒整体以硬质材料制成，其盛装的针头、碎玻璃等锐器不能刺穿利器盒。已装满的利器盒连续3次从1.5m高处垂直落至水泥地面后不能出现破裂、被刺穿等情况。利器盒易于焚烧，不得使用聚氯乙烯（PVC）塑料为制造原料。利器盒整体颜色为黄色，在盒体侧面注明</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w:t>
            </w:r>
            <w:r>
              <w:rPr>
                <w:rFonts w:hint="default" w:ascii="Times New Roman" w:hAnsi="Times New Roman" w:eastAsia="宋体" w:cs="Times New Roman"/>
                <w:b w:val="0"/>
                <w:color w:val="auto"/>
                <w:spacing w:val="3"/>
                <w:kern w:val="2"/>
                <w:sz w:val="24"/>
                <w:szCs w:val="24"/>
                <w:highlight w:val="none"/>
                <w:u w:val="none" w:color="auto"/>
                <w:lang w:val="en-US" w:eastAsia="zh-CN" w:bidi="ar-SA"/>
              </w:rPr>
              <w:t>损伤性物质</w:t>
            </w:r>
            <w:r>
              <w:rPr>
                <w:rFonts w:hint="eastAsia" w:ascii="Times New Roman" w:hAnsi="Times New Roman" w:eastAsia="宋体" w:cs="Times New Roman"/>
                <w:b w:val="0"/>
                <w:color w:val="auto"/>
                <w:spacing w:val="3"/>
                <w:kern w:val="2"/>
                <w:sz w:val="24"/>
                <w:szCs w:val="24"/>
                <w:highlight w:val="none"/>
                <w:u w:val="none" w:color="auto"/>
                <w:lang w:val="en-US" w:eastAsia="zh-CN" w:bidi="ar-SA"/>
              </w:rPr>
              <w:t>”</w:t>
            </w:r>
            <w:r>
              <w:rPr>
                <w:rFonts w:hint="default" w:ascii="Times New Roman" w:hAnsi="Times New Roman" w:eastAsia="宋体" w:cs="Times New Roman"/>
                <w:b w:val="0"/>
                <w:color w:val="auto"/>
                <w:spacing w:val="3"/>
                <w:kern w:val="2"/>
                <w:sz w:val="24"/>
                <w:szCs w:val="24"/>
                <w:highlight w:val="none"/>
                <w:u w:val="none" w:color="auto"/>
                <w:lang w:val="en-US" w:eastAsia="zh-CN" w:bidi="ar-SA"/>
              </w:rPr>
              <w:t>，利器盒上应印刷医疗废物警示标志。</w:t>
            </w:r>
          </w:p>
          <w:p w14:paraId="4D476358">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④周转箱（桶）要求</w:t>
            </w:r>
          </w:p>
          <w:p w14:paraId="3F0AF921">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周转箱（桶）整体为硬质材料制成，防液体渗漏，可一次性或多次重复使用，多次重复使用的周转箱（桶）应能被快速消毒或清洗。</w:t>
            </w:r>
          </w:p>
          <w:p w14:paraId="54960E7B">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周转箱（桶）整体颜色为黄色，外表面应印刷医疗废物警示标志。</w:t>
            </w:r>
          </w:p>
          <w:p w14:paraId="7D748316">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⑤收集要求</w:t>
            </w:r>
          </w:p>
          <w:p w14:paraId="384C0AFA">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门诊部及时收集产生的医疗废物，项目医疗废物收集后暂存于医疗废物暂存间，并按照类别分置于防渗漏、防锐器穿透的专用包装物或者密闭的容器内。在盛装医疗废物前，应当对医疗废物包装物或者容器进行认真检查，确保无破损、渗漏</w:t>
            </w:r>
            <w:r>
              <w:rPr>
                <w:rFonts w:hint="eastAsia" w:cs="Times New Roman"/>
                <w:b w:val="0"/>
                <w:color w:val="auto"/>
                <w:spacing w:val="3"/>
                <w:kern w:val="2"/>
                <w:sz w:val="24"/>
                <w:szCs w:val="24"/>
                <w:highlight w:val="none"/>
                <w:u w:val="none" w:color="auto"/>
                <w:lang w:val="en-US" w:eastAsia="zh-CN" w:bidi="ar-SA"/>
              </w:rPr>
              <w:t>和其他</w:t>
            </w:r>
            <w:r>
              <w:rPr>
                <w:rFonts w:hint="default" w:ascii="Times New Roman" w:hAnsi="Times New Roman" w:eastAsia="宋体" w:cs="Times New Roman"/>
                <w:b w:val="0"/>
                <w:color w:val="auto"/>
                <w:spacing w:val="3"/>
                <w:kern w:val="2"/>
                <w:sz w:val="24"/>
                <w:szCs w:val="24"/>
                <w:highlight w:val="none"/>
                <w:u w:val="none" w:color="auto"/>
                <w:lang w:val="en-US" w:eastAsia="zh-CN" w:bidi="ar-SA"/>
              </w:rPr>
              <w:t>缺陷；并进行计数登记，确保出库数与回收一致，防止流失，然后统一进行称重计量登记。</w:t>
            </w:r>
          </w:p>
          <w:p w14:paraId="2F8AF7A3">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auto"/>
                <w:spacing w:val="3"/>
                <w:kern w:val="2"/>
                <w:sz w:val="24"/>
                <w:szCs w:val="24"/>
                <w:highlight w:val="none"/>
                <w:u w:val="none" w:color="auto"/>
                <w:lang w:val="en-US" w:eastAsia="zh-CN" w:bidi="ar-SA"/>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⑥暂存与处理要求</w:t>
            </w:r>
          </w:p>
          <w:p w14:paraId="7B2C4D7A">
            <w:pPr>
              <w:pStyle w:val="30"/>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color w:val="auto"/>
                <w:sz w:val="24"/>
                <w:szCs w:val="24"/>
                <w:lang w:val="en-US" w:eastAsia="zh-CN"/>
              </w:rPr>
            </w:pPr>
            <w:r>
              <w:rPr>
                <w:rFonts w:hint="default" w:ascii="Times New Roman" w:hAnsi="Times New Roman" w:eastAsia="宋体" w:cs="Times New Roman"/>
                <w:b w:val="0"/>
                <w:color w:val="auto"/>
                <w:spacing w:val="3"/>
                <w:kern w:val="2"/>
                <w:sz w:val="24"/>
                <w:szCs w:val="24"/>
                <w:highlight w:val="none"/>
                <w:u w:val="none" w:color="auto"/>
                <w:lang w:val="en-US" w:eastAsia="zh-CN" w:bidi="ar-SA"/>
              </w:rPr>
              <w:t>医疗废物暂存间应有专人管理，防止非工作人员接触医疗废物，原则上2天内通知废物处理单位来清运一次，天气温度较高时，应日清处理。</w:t>
            </w:r>
          </w:p>
          <w:p w14:paraId="688BE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2）现有项目固体废物处理情况</w:t>
            </w:r>
          </w:p>
          <w:p w14:paraId="3C0AA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color w:val="auto"/>
                <w:sz w:val="24"/>
                <w:szCs w:val="24"/>
              </w:rPr>
              <w:t>现有项目设置有医疗暂存间，</w:t>
            </w:r>
            <w:r>
              <w:rPr>
                <w:rFonts w:hint="eastAsia"/>
                <w:color w:val="auto"/>
                <w:sz w:val="24"/>
                <w:szCs w:val="24"/>
                <w:lang w:val="en-US" w:eastAsia="zh-CN"/>
              </w:rPr>
              <w:t>位于东北侧</w:t>
            </w:r>
            <w:r>
              <w:rPr>
                <w:rFonts w:hint="default" w:ascii="Times New Roman" w:hAnsi="Times New Roman" w:cs="Times New Roman"/>
                <w:color w:val="auto"/>
                <w:sz w:val="24"/>
                <w:szCs w:val="24"/>
                <w:u w:val="none" w:color="auto"/>
                <w:lang w:val="en-US" w:eastAsia="zh-CN"/>
              </w:rPr>
              <w:t>，面积约</w:t>
            </w:r>
            <w:r>
              <w:rPr>
                <w:rFonts w:hint="eastAsia" w:cs="Times New Roman"/>
                <w:color w:val="auto"/>
                <w:sz w:val="24"/>
                <w:szCs w:val="24"/>
                <w:u w:val="none" w:color="auto"/>
                <w:lang w:val="en-US" w:eastAsia="zh-CN"/>
              </w:rPr>
              <w:t>10</w:t>
            </w:r>
            <w:r>
              <w:rPr>
                <w:rFonts w:hint="default" w:ascii="Times New Roman" w:hAnsi="Times New Roman" w:cs="Times New Roman"/>
                <w:color w:val="auto"/>
                <w:sz w:val="24"/>
                <w:szCs w:val="24"/>
                <w:u w:val="none" w:color="auto"/>
                <w:lang w:val="en-US" w:eastAsia="zh-CN"/>
              </w:rPr>
              <w:t>m</w:t>
            </w:r>
            <w:r>
              <w:rPr>
                <w:rFonts w:hint="default" w:ascii="Times New Roman" w:hAnsi="Times New Roman" w:cs="Times New Roman"/>
                <w:color w:val="auto"/>
                <w:sz w:val="24"/>
                <w:szCs w:val="24"/>
                <w:u w:val="none" w:color="auto"/>
                <w:vertAlign w:val="superscript"/>
                <w:lang w:val="en-US" w:eastAsia="zh-CN"/>
              </w:rPr>
              <w:t>2</w:t>
            </w:r>
            <w:r>
              <w:rPr>
                <w:rFonts w:hint="eastAsia" w:cs="Times New Roman"/>
                <w:color w:val="auto"/>
                <w:sz w:val="24"/>
                <w:szCs w:val="24"/>
                <w:u w:val="none" w:color="auto"/>
                <w:vertAlign w:val="baseline"/>
                <w:lang w:val="en-US" w:eastAsia="zh-CN"/>
              </w:rPr>
              <w:t>，</w:t>
            </w:r>
            <w:r>
              <w:rPr>
                <w:rFonts w:hint="default" w:ascii="Times New Roman" w:hAnsi="Times New Roman" w:eastAsia="宋体" w:cs="Times New Roman"/>
                <w:color w:val="auto"/>
                <w:kern w:val="0"/>
                <w:sz w:val="24"/>
                <w:szCs w:val="24"/>
                <w:u w:val="none" w:color="auto"/>
                <w:lang w:val="en-US" w:eastAsia="zh-CN" w:bidi="ar"/>
              </w:rPr>
              <w:t>医废间为砖混结构，密闭措施良好，门把上锁，</w:t>
            </w:r>
            <w:r>
              <w:rPr>
                <w:color w:val="auto"/>
                <w:sz w:val="24"/>
                <w:szCs w:val="24"/>
              </w:rPr>
              <w:t>不露天存放医疗废物。现有的医疗废物暂存间已采取了如下措施：</w:t>
            </w:r>
          </w:p>
          <w:p w14:paraId="016142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default" w:ascii="Calibri" w:hAnsi="Calibri" w:cs="Calibri"/>
                <w:color w:val="auto"/>
                <w:sz w:val="24"/>
                <w:szCs w:val="24"/>
              </w:rPr>
              <w:t>①</w:t>
            </w:r>
            <w:r>
              <w:rPr>
                <w:color w:val="auto"/>
                <w:sz w:val="24"/>
                <w:szCs w:val="24"/>
              </w:rPr>
              <w:t>已分类收集本单位产生的医疗废物，并按照类别分置于防渗漏、防锐器穿透的专用包装物或者密闭的容器内，医疗废物专用包装物、容器，设置有明显的警示标识和警示说明。</w:t>
            </w:r>
          </w:p>
          <w:p w14:paraId="75097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default" w:ascii="Calibri" w:hAnsi="Calibri" w:cs="Calibri"/>
                <w:color w:val="auto"/>
                <w:sz w:val="24"/>
                <w:szCs w:val="24"/>
              </w:rPr>
              <w:t>②</w:t>
            </w:r>
            <w:r>
              <w:rPr>
                <w:color w:val="auto"/>
                <w:sz w:val="24"/>
                <w:szCs w:val="24"/>
              </w:rPr>
              <w:t>设置医疗废物已远离医疗区、食品加工区和人员活动区以及生活垃圾存放场所，设置明显的警示标识和防渗漏、防鼠、防蚊蝇、防蟑螂、防盗以及预防儿童接触等安全措施，并应当定期消毒和清洁。</w:t>
            </w:r>
          </w:p>
          <w:p w14:paraId="5CD4F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宋体"/>
                <w:color w:val="auto"/>
                <w:sz w:val="24"/>
                <w:szCs w:val="24"/>
              </w:rPr>
            </w:pPr>
            <w:r>
              <w:rPr>
                <w:color w:val="auto"/>
                <w:sz w:val="24"/>
                <w:szCs w:val="24"/>
              </w:rPr>
              <w:t>③</w:t>
            </w:r>
            <w:r>
              <w:rPr>
                <w:rFonts w:eastAsia="宋体"/>
                <w:color w:val="auto"/>
                <w:sz w:val="24"/>
                <w:szCs w:val="24"/>
              </w:rPr>
              <w:t>现有项目产生的医疗废物定期交由有医疗废弃物回收资质的单位进行无害化处置，</w:t>
            </w:r>
            <w:r>
              <w:rPr>
                <w:rFonts w:hint="eastAsia" w:eastAsia="宋体"/>
                <w:color w:val="auto"/>
                <w:sz w:val="24"/>
                <w:szCs w:val="24"/>
                <w:lang w:eastAsia="zh-CN"/>
              </w:rPr>
              <w:t>危险</w:t>
            </w:r>
            <w:r>
              <w:rPr>
                <w:rFonts w:eastAsia="宋体"/>
                <w:color w:val="auto"/>
                <w:sz w:val="24"/>
                <w:szCs w:val="24"/>
              </w:rPr>
              <w:t>废物暂存间设置情况：本项目设置了专门的医疗废物暂存间，暂存间严格按照《危险废物贮存污染控制标准》（GB18597-2023）设计危险废物暂存场所，该场所设计为防风、防雨、防晒、防地面渗漏，设计容积能满足项目医疗废物暂存的需要，符合《医疗废物管理条例》（HJ421-2008）</w:t>
            </w:r>
            <w:r>
              <w:rPr>
                <w:rFonts w:hint="eastAsia" w:eastAsia="宋体"/>
                <w:color w:val="auto"/>
                <w:sz w:val="24"/>
                <w:szCs w:val="24"/>
                <w:lang w:eastAsia="zh-CN"/>
              </w:rPr>
              <w:t>。</w:t>
            </w:r>
            <w:r>
              <w:rPr>
                <w:rFonts w:eastAsia="宋体"/>
                <w:color w:val="auto"/>
                <w:sz w:val="24"/>
                <w:szCs w:val="24"/>
              </w:rPr>
              <w:t>医院设专人负责，在每个科室配置专用的转运箱，对不同性质的医疗废物HW01中的5类严格进行分类，以不同颜色标识区分，各科室产生的医疗废物由专人打包收集后送至医疗废物暂存间并逐一登记。定期对医疗废物暂存间进行消毒处理。本院设置的医疗废物暂存间满足《医疗废物管理条例》中的相关规定，建设单位落实医疗废物转移制度，不会对周围环境产生明显不良影响。</w:t>
            </w:r>
          </w:p>
          <w:p w14:paraId="6EE2FB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val="en-US" w:eastAsia="zh-CN"/>
              </w:rPr>
            </w:pPr>
            <w:r>
              <w:rPr>
                <w:rFonts w:hint="eastAsia" w:eastAsia="宋体"/>
                <w:color w:val="auto"/>
                <w:sz w:val="24"/>
                <w:szCs w:val="24"/>
              </w:rPr>
              <w:t>④</w:t>
            </w:r>
            <w:r>
              <w:rPr>
                <w:rFonts w:eastAsia="宋体"/>
                <w:color w:val="auto"/>
                <w:sz w:val="24"/>
                <w:szCs w:val="24"/>
              </w:rPr>
              <w:t>现有项目产生的生活垃圾已集中收集交环卫部门处置。现有项目产生的医疗废物HW01中的5类、</w:t>
            </w:r>
            <w:r>
              <w:rPr>
                <w:rFonts w:hint="eastAsia" w:eastAsia="宋体"/>
                <w:color w:val="auto"/>
                <w:sz w:val="24"/>
                <w:szCs w:val="24"/>
                <w:lang w:eastAsia="zh-CN"/>
              </w:rPr>
              <w:t>检验科废液（</w:t>
            </w:r>
            <w:r>
              <w:rPr>
                <w:rFonts w:hint="eastAsia" w:eastAsia="宋体"/>
                <w:color w:val="auto"/>
                <w:sz w:val="24"/>
                <w:szCs w:val="24"/>
                <w:lang w:val="en-US" w:eastAsia="zh-CN"/>
              </w:rPr>
              <w:t>HW01（831-004-01）</w:t>
            </w:r>
            <w:r>
              <w:rPr>
                <w:rFonts w:hint="eastAsia" w:eastAsia="宋体"/>
                <w:color w:val="auto"/>
                <w:sz w:val="24"/>
                <w:szCs w:val="24"/>
                <w:lang w:eastAsia="zh-CN"/>
              </w:rPr>
              <w:t>）和</w:t>
            </w:r>
            <w:r>
              <w:rPr>
                <w:rFonts w:eastAsia="宋体"/>
                <w:color w:val="auto"/>
                <w:sz w:val="24"/>
                <w:szCs w:val="24"/>
              </w:rPr>
              <w:t>废水处理站污泥（HW01（841-001-01）），医疗废物</w:t>
            </w:r>
            <w:r>
              <w:rPr>
                <w:rFonts w:hint="eastAsia" w:eastAsia="宋体"/>
                <w:color w:val="auto"/>
                <w:sz w:val="24"/>
                <w:szCs w:val="24"/>
                <w:lang w:eastAsia="zh-CN"/>
              </w:rPr>
              <w:t>、检验科废液</w:t>
            </w:r>
            <w:r>
              <w:rPr>
                <w:rFonts w:eastAsia="宋体"/>
                <w:color w:val="auto"/>
                <w:sz w:val="24"/>
                <w:szCs w:val="24"/>
              </w:rPr>
              <w:t>和废水处理站污泥集中收集后交</w:t>
            </w:r>
            <w:r>
              <w:rPr>
                <w:rFonts w:hint="eastAsia" w:eastAsia="宋体"/>
                <w:color w:val="auto"/>
                <w:sz w:val="24"/>
                <w:szCs w:val="24"/>
                <w:lang w:eastAsia="zh-CN"/>
              </w:rPr>
              <w:t>于有资质的公司处理。</w:t>
            </w:r>
          </w:p>
          <w:p w14:paraId="37410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eastAsia="zh-CN"/>
              </w:rPr>
            </w:pPr>
            <w:r>
              <w:rPr>
                <w:rFonts w:hint="eastAsia" w:eastAsia="宋体"/>
                <w:color w:val="auto"/>
                <w:sz w:val="24"/>
                <w:szCs w:val="24"/>
                <w:lang w:val="en-US" w:eastAsia="zh-CN"/>
              </w:rPr>
              <w:t>通过以上措施处理，本项目医疗废物满足《医疗废物管理条例》（2011年修订）和</w:t>
            </w:r>
            <w:r>
              <w:rPr>
                <w:rFonts w:hint="default" w:eastAsia="宋体"/>
                <w:color w:val="auto"/>
                <w:sz w:val="24"/>
                <w:szCs w:val="24"/>
                <w:lang w:val="en-US" w:eastAsia="zh-CN"/>
              </w:rPr>
              <w:t>《危险废物贮存污染控制标准》（GB18597-2023）</w:t>
            </w:r>
            <w:r>
              <w:rPr>
                <w:rFonts w:hint="eastAsia" w:eastAsia="宋体"/>
                <w:color w:val="auto"/>
                <w:sz w:val="24"/>
                <w:szCs w:val="24"/>
                <w:lang w:val="en-US" w:eastAsia="zh-CN"/>
              </w:rPr>
              <w:t>。</w:t>
            </w:r>
          </w:p>
          <w:p w14:paraId="34138B22">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szCs w:val="24"/>
                <w:u w:val="none" w:color="auto"/>
              </w:rPr>
            </w:pPr>
            <w:r>
              <w:rPr>
                <w:b/>
                <w:bCs/>
                <w:color w:val="auto"/>
                <w:sz w:val="24"/>
                <w:szCs w:val="24"/>
                <w:u w:val="none" w:color="auto"/>
              </w:rPr>
              <w:t>5、地下水、土壤</w:t>
            </w:r>
          </w:p>
          <w:p w14:paraId="5064C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根据</w:t>
            </w:r>
            <w:r>
              <w:rPr>
                <w:rFonts w:hint="eastAsia"/>
                <w:color w:val="auto"/>
                <w:sz w:val="24"/>
                <w:szCs w:val="24"/>
                <w:u w:val="none" w:color="auto"/>
                <w:lang w:eastAsia="zh-CN"/>
              </w:rPr>
              <w:t>现场勘查</w:t>
            </w:r>
            <w:r>
              <w:rPr>
                <w:color w:val="auto"/>
                <w:sz w:val="24"/>
                <w:szCs w:val="24"/>
                <w:u w:val="none" w:color="auto"/>
              </w:rPr>
              <w:t>，医院地面均已水泥硬化，项目废水通过管道进入污水处理站，污水处理站沉淀池、调节池等构筑物均做好防渗防漏措施；医疗</w:t>
            </w:r>
            <w:r>
              <w:rPr>
                <w:rFonts w:hint="eastAsia"/>
                <w:color w:val="auto"/>
                <w:sz w:val="24"/>
                <w:szCs w:val="24"/>
                <w:u w:val="none" w:color="auto"/>
                <w:lang w:eastAsia="zh-CN"/>
              </w:rPr>
              <w:t>废物</w:t>
            </w:r>
            <w:r>
              <w:rPr>
                <w:color w:val="auto"/>
                <w:sz w:val="24"/>
                <w:szCs w:val="24"/>
                <w:u w:val="none" w:color="auto"/>
              </w:rPr>
              <w:t>间已做地面硬化、防渗处理，不存在地下水、土壤环境污染途径，对土壤和地下水影响很小。可不开展土壤和地下水环境影响评价工作。</w:t>
            </w:r>
          </w:p>
          <w:p w14:paraId="48E7C7B0">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szCs w:val="24"/>
                <w:u w:val="none" w:color="auto"/>
              </w:rPr>
            </w:pPr>
            <w:r>
              <w:rPr>
                <w:b/>
                <w:bCs/>
                <w:color w:val="auto"/>
                <w:sz w:val="24"/>
                <w:szCs w:val="24"/>
                <w:u w:val="none" w:color="auto"/>
              </w:rPr>
              <w:t>6、生态</w:t>
            </w:r>
          </w:p>
          <w:p w14:paraId="64B43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color="auto"/>
              </w:rPr>
            </w:pPr>
            <w:r>
              <w:rPr>
                <w:color w:val="auto"/>
                <w:sz w:val="24"/>
                <w:szCs w:val="24"/>
                <w:u w:val="none" w:color="auto"/>
              </w:rPr>
              <w:t>本项目不涉及新增扰动土地，不涉及生态影响。</w:t>
            </w:r>
          </w:p>
          <w:p w14:paraId="4978E50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b/>
                <w:bCs/>
                <w:color w:val="auto"/>
                <w:sz w:val="24"/>
                <w:szCs w:val="24"/>
                <w:u w:val="none" w:color="auto"/>
              </w:rPr>
            </w:pPr>
            <w:r>
              <w:rPr>
                <w:rFonts w:ascii="Times New Roman" w:hAnsi="Times New Roman" w:eastAsia="宋体"/>
                <w:b/>
                <w:bCs/>
                <w:color w:val="auto"/>
                <w:sz w:val="24"/>
                <w:szCs w:val="24"/>
                <w:u w:val="none" w:color="auto"/>
              </w:rPr>
              <w:t>7、环境风险</w:t>
            </w:r>
          </w:p>
          <w:p w14:paraId="2C10A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sz w:val="24"/>
                <w:szCs w:val="24"/>
                <w:u w:val="none" w:color="auto"/>
              </w:rPr>
            </w:pPr>
            <w:r>
              <w:rPr>
                <w:rFonts w:ascii="Times New Roman" w:hAnsi="Times New Roman" w:eastAsia="宋体"/>
                <w:color w:val="auto"/>
                <w:sz w:val="24"/>
                <w:szCs w:val="24"/>
                <w:u w:val="none" w:color="auto"/>
              </w:rPr>
              <w:t>（1）环境风险识别</w:t>
            </w:r>
          </w:p>
          <w:p w14:paraId="57AB6C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根据《有毒有害大气污染物名录》、《有毒有害水污染物名录》及《建设项目环境风险评价技术导则》(HJ/T169-2018)附录B 中表 B.1和表 B.2中的环境风险物质，本项目涉及的风险物质主要为瓶装液化石油气、医用酒精等，暂存量很少;本项目危险位置、风险源分布、可能影响途径见表</w:t>
            </w:r>
          </w:p>
          <w:p w14:paraId="7722E1BE">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eastAsia="宋体" w:cs="Times New Roman"/>
                <w:b/>
                <w:bCs/>
                <w:color w:val="auto"/>
                <w:sz w:val="21"/>
                <w:szCs w:val="21"/>
                <w:highlight w:val="none"/>
                <w:u w:val="none"/>
                <w:lang w:val="en-US" w:eastAsia="zh-CN"/>
              </w:rPr>
            </w:pPr>
            <w:r>
              <w:rPr>
                <w:rFonts w:hint="default" w:ascii="Times New Roman" w:hAnsi="Times New Roman" w:eastAsia="宋体" w:cs="Times New Roman"/>
                <w:b/>
                <w:bCs/>
                <w:color w:val="auto"/>
                <w:sz w:val="21"/>
                <w:szCs w:val="21"/>
                <w:highlight w:val="none"/>
                <w:u w:val="none"/>
              </w:rPr>
              <w:t>表4-</w:t>
            </w:r>
            <w:r>
              <w:rPr>
                <w:rFonts w:hint="default" w:ascii="Times New Roman" w:hAnsi="Times New Roman" w:eastAsia="宋体" w:cs="Times New Roman"/>
                <w:b/>
                <w:bCs/>
                <w:color w:val="auto"/>
                <w:sz w:val="21"/>
                <w:szCs w:val="21"/>
                <w:highlight w:val="none"/>
                <w:u w:val="none"/>
                <w:lang w:val="en-US" w:eastAsia="zh-CN"/>
              </w:rPr>
              <w:t>1</w:t>
            </w:r>
            <w:r>
              <w:rPr>
                <w:rFonts w:hint="eastAsia" w:cs="Times New Roman"/>
                <w:b/>
                <w:bCs/>
                <w:color w:val="auto"/>
                <w:sz w:val="21"/>
                <w:szCs w:val="21"/>
                <w:highlight w:val="none"/>
                <w:u w:val="none"/>
                <w:lang w:val="en-US" w:eastAsia="zh-CN"/>
              </w:rPr>
              <w:t>7项目</w:t>
            </w:r>
            <w:r>
              <w:rPr>
                <w:rFonts w:hint="default" w:ascii="Times New Roman" w:hAnsi="Times New Roman" w:eastAsia="宋体" w:cs="Times New Roman"/>
                <w:b/>
                <w:bCs/>
                <w:color w:val="auto"/>
                <w:sz w:val="21"/>
                <w:szCs w:val="21"/>
                <w:highlight w:val="none"/>
                <w:u w:val="none"/>
              </w:rPr>
              <w:t>风险物质</w:t>
            </w:r>
            <w:r>
              <w:rPr>
                <w:rFonts w:hint="default" w:ascii="Times New Roman" w:hAnsi="Times New Roman" w:eastAsia="宋体" w:cs="Times New Roman"/>
                <w:b/>
                <w:bCs/>
                <w:color w:val="auto"/>
                <w:sz w:val="21"/>
                <w:szCs w:val="21"/>
                <w:highlight w:val="none"/>
                <w:u w:val="none"/>
                <w:lang w:val="en-US" w:eastAsia="zh-CN"/>
              </w:rPr>
              <w:t>与临界量比值计算结果</w:t>
            </w:r>
          </w:p>
          <w:tbl>
            <w:tblPr>
              <w:tblStyle w:val="16"/>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04"/>
              <w:gridCol w:w="1185"/>
              <w:gridCol w:w="845"/>
              <w:gridCol w:w="1185"/>
              <w:gridCol w:w="1185"/>
              <w:gridCol w:w="1120"/>
              <w:gridCol w:w="1143"/>
              <w:gridCol w:w="1498"/>
            </w:tblGrid>
            <w:tr w14:paraId="7C3181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8" w:type="pct"/>
                  <w:tcBorders>
                    <w:tl2br w:val="nil"/>
                    <w:tr2bl w:val="nil"/>
                  </w:tcBorders>
                  <w:noWrap w:val="0"/>
                  <w:vAlign w:val="center"/>
                </w:tcPr>
                <w:p w14:paraId="142F41CF">
                  <w:pPr>
                    <w:spacing w:line="260" w:lineRule="exact"/>
                    <w:jc w:val="center"/>
                    <w:rPr>
                      <w:b/>
                      <w:bCs/>
                      <w:color w:val="auto"/>
                      <w:szCs w:val="21"/>
                    </w:rPr>
                  </w:pPr>
                  <w:r>
                    <w:rPr>
                      <w:b/>
                      <w:bCs/>
                      <w:color w:val="auto"/>
                      <w:szCs w:val="21"/>
                    </w:rPr>
                    <w:t>化学物质</w:t>
                  </w:r>
                </w:p>
              </w:tc>
              <w:tc>
                <w:tcPr>
                  <w:tcW w:w="613" w:type="pct"/>
                  <w:tcBorders>
                    <w:tl2br w:val="nil"/>
                    <w:tr2bl w:val="nil"/>
                  </w:tcBorders>
                  <w:noWrap w:val="0"/>
                  <w:vAlign w:val="center"/>
                </w:tcPr>
                <w:p w14:paraId="3C078D8D">
                  <w:pPr>
                    <w:spacing w:line="260" w:lineRule="exact"/>
                    <w:jc w:val="center"/>
                    <w:rPr>
                      <w:b/>
                      <w:bCs/>
                      <w:color w:val="auto"/>
                      <w:szCs w:val="21"/>
                    </w:rPr>
                  </w:pPr>
                  <w:r>
                    <w:rPr>
                      <w:b/>
                      <w:bCs/>
                      <w:color w:val="auto"/>
                      <w:szCs w:val="21"/>
                    </w:rPr>
                    <w:t>包装规格</w:t>
                  </w:r>
                </w:p>
              </w:tc>
              <w:tc>
                <w:tcPr>
                  <w:tcW w:w="437" w:type="pct"/>
                  <w:tcBorders>
                    <w:tl2br w:val="nil"/>
                    <w:tr2bl w:val="nil"/>
                  </w:tcBorders>
                  <w:noWrap w:val="0"/>
                  <w:vAlign w:val="center"/>
                </w:tcPr>
                <w:p w14:paraId="081D6C5E">
                  <w:pPr>
                    <w:spacing w:line="260" w:lineRule="exact"/>
                    <w:jc w:val="center"/>
                    <w:rPr>
                      <w:b/>
                      <w:bCs/>
                      <w:color w:val="auto"/>
                      <w:szCs w:val="21"/>
                    </w:rPr>
                  </w:pPr>
                  <w:r>
                    <w:rPr>
                      <w:b/>
                      <w:bCs/>
                      <w:color w:val="auto"/>
                      <w:szCs w:val="21"/>
                    </w:rPr>
                    <w:t>形态</w:t>
                  </w:r>
                </w:p>
              </w:tc>
              <w:tc>
                <w:tcPr>
                  <w:tcW w:w="613" w:type="pct"/>
                  <w:tcBorders>
                    <w:tl2br w:val="nil"/>
                    <w:tr2bl w:val="nil"/>
                  </w:tcBorders>
                  <w:noWrap w:val="0"/>
                  <w:vAlign w:val="center"/>
                </w:tcPr>
                <w:p w14:paraId="5899B14C">
                  <w:pPr>
                    <w:spacing w:line="260" w:lineRule="exact"/>
                    <w:jc w:val="center"/>
                    <w:rPr>
                      <w:b/>
                      <w:bCs/>
                      <w:color w:val="auto"/>
                      <w:szCs w:val="21"/>
                    </w:rPr>
                  </w:pPr>
                  <w:r>
                    <w:rPr>
                      <w:b/>
                      <w:bCs/>
                      <w:color w:val="auto"/>
                      <w:szCs w:val="21"/>
                    </w:rPr>
                    <w:t>暂存位置</w:t>
                  </w:r>
                </w:p>
              </w:tc>
              <w:tc>
                <w:tcPr>
                  <w:tcW w:w="613" w:type="pct"/>
                  <w:tcBorders>
                    <w:tl2br w:val="nil"/>
                    <w:tr2bl w:val="nil"/>
                  </w:tcBorders>
                  <w:noWrap w:val="0"/>
                  <w:vAlign w:val="center"/>
                </w:tcPr>
                <w:p w14:paraId="16930B23">
                  <w:pPr>
                    <w:spacing w:line="260" w:lineRule="exact"/>
                    <w:jc w:val="center"/>
                    <w:rPr>
                      <w:b/>
                      <w:bCs/>
                      <w:color w:val="auto"/>
                      <w:szCs w:val="21"/>
                    </w:rPr>
                  </w:pPr>
                  <w:r>
                    <w:rPr>
                      <w:b/>
                      <w:bCs/>
                      <w:color w:val="auto"/>
                      <w:szCs w:val="21"/>
                    </w:rPr>
                    <w:t>最大存在量q</w:t>
                  </w:r>
                  <w:r>
                    <w:rPr>
                      <w:b/>
                      <w:bCs/>
                      <w:color w:val="auto"/>
                      <w:szCs w:val="21"/>
                      <w:vertAlign w:val="subscript"/>
                    </w:rPr>
                    <w:t>n</w:t>
                  </w:r>
                  <w:r>
                    <w:rPr>
                      <w:b/>
                      <w:bCs/>
                      <w:color w:val="auto"/>
                      <w:szCs w:val="21"/>
                    </w:rPr>
                    <w:t>（t）</w:t>
                  </w:r>
                </w:p>
              </w:tc>
              <w:tc>
                <w:tcPr>
                  <w:tcW w:w="579" w:type="pct"/>
                  <w:tcBorders>
                    <w:tl2br w:val="nil"/>
                    <w:tr2bl w:val="nil"/>
                  </w:tcBorders>
                  <w:noWrap w:val="0"/>
                  <w:vAlign w:val="center"/>
                </w:tcPr>
                <w:p w14:paraId="50603FA1">
                  <w:pPr>
                    <w:spacing w:line="260" w:lineRule="exact"/>
                    <w:jc w:val="center"/>
                    <w:rPr>
                      <w:b/>
                      <w:bCs/>
                      <w:color w:val="auto"/>
                      <w:szCs w:val="21"/>
                    </w:rPr>
                  </w:pPr>
                  <w:r>
                    <w:rPr>
                      <w:b/>
                      <w:bCs/>
                      <w:color w:val="auto"/>
                      <w:szCs w:val="21"/>
                    </w:rPr>
                    <w:t>临界量Q</w:t>
                  </w:r>
                  <w:r>
                    <w:rPr>
                      <w:b/>
                      <w:bCs/>
                      <w:color w:val="auto"/>
                      <w:szCs w:val="21"/>
                      <w:vertAlign w:val="subscript"/>
                    </w:rPr>
                    <w:t>n</w:t>
                  </w:r>
                  <w:r>
                    <w:rPr>
                      <w:b/>
                      <w:bCs/>
                      <w:color w:val="auto"/>
                      <w:szCs w:val="21"/>
                    </w:rPr>
                    <w:t>（t）</w:t>
                  </w:r>
                </w:p>
              </w:tc>
              <w:tc>
                <w:tcPr>
                  <w:tcW w:w="591" w:type="pct"/>
                  <w:tcBorders>
                    <w:tl2br w:val="nil"/>
                    <w:tr2bl w:val="nil"/>
                  </w:tcBorders>
                  <w:noWrap w:val="0"/>
                  <w:vAlign w:val="center"/>
                </w:tcPr>
                <w:p w14:paraId="0238CED0">
                  <w:pPr>
                    <w:spacing w:line="260" w:lineRule="exact"/>
                    <w:jc w:val="center"/>
                    <w:rPr>
                      <w:b/>
                      <w:bCs/>
                      <w:color w:val="auto"/>
                      <w:szCs w:val="21"/>
                    </w:rPr>
                  </w:pPr>
                  <w:r>
                    <w:rPr>
                      <w:b/>
                      <w:bCs/>
                      <w:color w:val="auto"/>
                      <w:szCs w:val="21"/>
                    </w:rPr>
                    <w:t>比值q</w:t>
                  </w:r>
                  <w:r>
                    <w:rPr>
                      <w:b/>
                      <w:bCs/>
                      <w:color w:val="auto"/>
                      <w:szCs w:val="21"/>
                      <w:vertAlign w:val="subscript"/>
                    </w:rPr>
                    <w:t>n</w:t>
                  </w:r>
                  <w:r>
                    <w:rPr>
                      <w:b/>
                      <w:bCs/>
                      <w:color w:val="auto"/>
                      <w:szCs w:val="21"/>
                    </w:rPr>
                    <w:t>/Q</w:t>
                  </w:r>
                  <w:r>
                    <w:rPr>
                      <w:b/>
                      <w:bCs/>
                      <w:color w:val="auto"/>
                      <w:szCs w:val="21"/>
                      <w:vertAlign w:val="subscript"/>
                    </w:rPr>
                    <w:t>n</w:t>
                  </w:r>
                </w:p>
              </w:tc>
              <w:tc>
                <w:tcPr>
                  <w:tcW w:w="774" w:type="pct"/>
                  <w:tcBorders>
                    <w:tl2br w:val="nil"/>
                    <w:tr2bl w:val="nil"/>
                  </w:tcBorders>
                  <w:noWrap w:val="0"/>
                  <w:vAlign w:val="center"/>
                </w:tcPr>
                <w:p w14:paraId="5396C19A">
                  <w:pPr>
                    <w:spacing w:line="260" w:lineRule="exact"/>
                    <w:jc w:val="center"/>
                    <w:rPr>
                      <w:b/>
                      <w:bCs/>
                      <w:color w:val="auto"/>
                      <w:szCs w:val="21"/>
                    </w:rPr>
                  </w:pPr>
                  <w:r>
                    <w:rPr>
                      <w:b/>
                      <w:bCs/>
                      <w:color w:val="auto"/>
                      <w:szCs w:val="21"/>
                    </w:rPr>
                    <w:t>临界量确定依据</w:t>
                  </w:r>
                </w:p>
              </w:tc>
            </w:tr>
            <w:tr w14:paraId="558F08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8" w:type="pct"/>
                  <w:tcBorders>
                    <w:tl2br w:val="nil"/>
                    <w:tr2bl w:val="nil"/>
                  </w:tcBorders>
                  <w:noWrap w:val="0"/>
                  <w:vAlign w:val="center"/>
                </w:tcPr>
                <w:p w14:paraId="4C7719EB">
                  <w:pPr>
                    <w:spacing w:line="260" w:lineRule="exact"/>
                    <w:jc w:val="center"/>
                    <w:rPr>
                      <w:color w:val="auto"/>
                      <w:szCs w:val="21"/>
                    </w:rPr>
                  </w:pPr>
                  <w:r>
                    <w:rPr>
                      <w:color w:val="auto"/>
                      <w:szCs w:val="21"/>
                    </w:rPr>
                    <w:t>75%酒精</w:t>
                  </w:r>
                </w:p>
              </w:tc>
              <w:tc>
                <w:tcPr>
                  <w:tcW w:w="613" w:type="pct"/>
                  <w:tcBorders>
                    <w:tl2br w:val="nil"/>
                    <w:tr2bl w:val="nil"/>
                  </w:tcBorders>
                  <w:noWrap w:val="0"/>
                  <w:vAlign w:val="center"/>
                </w:tcPr>
                <w:p w14:paraId="4ADEABD1">
                  <w:pPr>
                    <w:spacing w:line="260" w:lineRule="exact"/>
                    <w:jc w:val="center"/>
                    <w:rPr>
                      <w:color w:val="auto"/>
                      <w:szCs w:val="21"/>
                    </w:rPr>
                  </w:pPr>
                  <w:r>
                    <w:rPr>
                      <w:rFonts w:hint="eastAsia"/>
                      <w:color w:val="auto"/>
                      <w:szCs w:val="21"/>
                    </w:rPr>
                    <w:t>瓶装500ml</w:t>
                  </w:r>
                </w:p>
              </w:tc>
              <w:tc>
                <w:tcPr>
                  <w:tcW w:w="437" w:type="pct"/>
                  <w:tcBorders>
                    <w:tl2br w:val="nil"/>
                    <w:tr2bl w:val="nil"/>
                  </w:tcBorders>
                  <w:noWrap w:val="0"/>
                  <w:vAlign w:val="center"/>
                </w:tcPr>
                <w:p w14:paraId="04B92591">
                  <w:pPr>
                    <w:spacing w:line="260" w:lineRule="exact"/>
                    <w:jc w:val="center"/>
                    <w:rPr>
                      <w:color w:val="auto"/>
                      <w:szCs w:val="21"/>
                    </w:rPr>
                  </w:pPr>
                  <w:r>
                    <w:rPr>
                      <w:rFonts w:hint="eastAsia"/>
                      <w:color w:val="auto"/>
                      <w:szCs w:val="21"/>
                    </w:rPr>
                    <w:t>液</w:t>
                  </w:r>
                </w:p>
              </w:tc>
              <w:tc>
                <w:tcPr>
                  <w:tcW w:w="613" w:type="pct"/>
                  <w:tcBorders>
                    <w:tl2br w:val="nil"/>
                    <w:tr2bl w:val="nil"/>
                  </w:tcBorders>
                  <w:noWrap w:val="0"/>
                  <w:vAlign w:val="center"/>
                </w:tcPr>
                <w:p w14:paraId="3EBED0B2">
                  <w:pPr>
                    <w:spacing w:line="260" w:lineRule="exact"/>
                    <w:jc w:val="center"/>
                    <w:rPr>
                      <w:color w:val="auto"/>
                      <w:szCs w:val="21"/>
                    </w:rPr>
                  </w:pPr>
                  <w:r>
                    <w:rPr>
                      <w:rFonts w:hint="eastAsia"/>
                      <w:color w:val="auto"/>
                      <w:szCs w:val="21"/>
                    </w:rPr>
                    <w:t>库房</w:t>
                  </w:r>
                </w:p>
              </w:tc>
              <w:tc>
                <w:tcPr>
                  <w:tcW w:w="613" w:type="pct"/>
                  <w:tcBorders>
                    <w:tl2br w:val="nil"/>
                    <w:tr2bl w:val="nil"/>
                  </w:tcBorders>
                  <w:noWrap w:val="0"/>
                  <w:vAlign w:val="center"/>
                </w:tcPr>
                <w:p w14:paraId="1C8B41A4">
                  <w:pPr>
                    <w:spacing w:line="320" w:lineRule="exact"/>
                    <w:jc w:val="center"/>
                    <w:rPr>
                      <w:rFonts w:hint="default" w:eastAsia="宋体"/>
                      <w:color w:val="auto"/>
                      <w:szCs w:val="21"/>
                      <w:lang w:val="en-US" w:eastAsia="zh-CN"/>
                    </w:rPr>
                  </w:pPr>
                  <w:r>
                    <w:rPr>
                      <w:rFonts w:hint="eastAsia"/>
                      <w:color w:val="auto"/>
                      <w:szCs w:val="21"/>
                      <w:lang w:val="en-US" w:eastAsia="zh-CN"/>
                    </w:rPr>
                    <w:t>0.001</w:t>
                  </w:r>
                </w:p>
              </w:tc>
              <w:tc>
                <w:tcPr>
                  <w:tcW w:w="579" w:type="pct"/>
                  <w:tcBorders>
                    <w:tl2br w:val="nil"/>
                    <w:tr2bl w:val="nil"/>
                  </w:tcBorders>
                  <w:noWrap w:val="0"/>
                  <w:vAlign w:val="center"/>
                </w:tcPr>
                <w:p w14:paraId="7EAFABD0">
                  <w:pPr>
                    <w:spacing w:line="0" w:lineRule="atLeast"/>
                    <w:ind w:right="-20"/>
                    <w:jc w:val="center"/>
                    <w:rPr>
                      <w:color w:val="auto"/>
                      <w:szCs w:val="21"/>
                    </w:rPr>
                  </w:pPr>
                  <w:r>
                    <w:rPr>
                      <w:rFonts w:hint="eastAsia"/>
                      <w:color w:val="auto"/>
                      <w:szCs w:val="21"/>
                    </w:rPr>
                    <w:t>500</w:t>
                  </w:r>
                </w:p>
              </w:tc>
              <w:tc>
                <w:tcPr>
                  <w:tcW w:w="591" w:type="pct"/>
                  <w:tcBorders>
                    <w:tl2br w:val="nil"/>
                    <w:tr2bl w:val="nil"/>
                  </w:tcBorders>
                  <w:noWrap w:val="0"/>
                  <w:vAlign w:val="center"/>
                </w:tcPr>
                <w:p w14:paraId="13A9B52D">
                  <w:pPr>
                    <w:widowControl/>
                    <w:jc w:val="center"/>
                    <w:rPr>
                      <w:rFonts w:hint="default" w:eastAsia="宋体"/>
                      <w:color w:val="auto"/>
                      <w:kern w:val="0"/>
                      <w:szCs w:val="21"/>
                      <w:lang w:val="en-US" w:eastAsia="zh-CN"/>
                    </w:rPr>
                  </w:pPr>
                  <w:r>
                    <w:rPr>
                      <w:rFonts w:hint="eastAsia"/>
                      <w:color w:val="auto"/>
                      <w:kern w:val="0"/>
                      <w:szCs w:val="21"/>
                    </w:rPr>
                    <w:t>0.0</w:t>
                  </w:r>
                  <w:r>
                    <w:rPr>
                      <w:rFonts w:hint="eastAsia"/>
                      <w:color w:val="auto"/>
                      <w:kern w:val="0"/>
                      <w:szCs w:val="21"/>
                      <w:lang w:val="en-US" w:eastAsia="zh-CN"/>
                    </w:rPr>
                    <w:t>00002</w:t>
                  </w:r>
                </w:p>
              </w:tc>
              <w:tc>
                <w:tcPr>
                  <w:tcW w:w="774" w:type="pct"/>
                  <w:vMerge w:val="restart"/>
                  <w:tcBorders>
                    <w:tl2br w:val="nil"/>
                    <w:tr2bl w:val="nil"/>
                  </w:tcBorders>
                  <w:noWrap w:val="0"/>
                  <w:vAlign w:val="center"/>
                </w:tcPr>
                <w:p w14:paraId="31AA9660">
                  <w:pPr>
                    <w:spacing w:line="0" w:lineRule="atLeast"/>
                    <w:ind w:right="-20"/>
                    <w:jc w:val="center"/>
                    <w:rPr>
                      <w:color w:val="auto"/>
                      <w:szCs w:val="21"/>
                    </w:rPr>
                  </w:pPr>
                  <w:r>
                    <w:rPr>
                      <w:color w:val="auto"/>
                      <w:szCs w:val="21"/>
                    </w:rPr>
                    <w:t>HJ 169-2018 附录B</w:t>
                  </w:r>
                  <w:r>
                    <w:rPr>
                      <w:rFonts w:hint="eastAsia"/>
                      <w:color w:val="auto"/>
                      <w:szCs w:val="21"/>
                    </w:rPr>
                    <w:t>、HJ941-2018附录A</w:t>
                  </w:r>
                </w:p>
              </w:tc>
            </w:tr>
            <w:tr w14:paraId="691525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8" w:type="pct"/>
                  <w:tcBorders>
                    <w:tl2br w:val="nil"/>
                    <w:tr2bl w:val="nil"/>
                  </w:tcBorders>
                  <w:noWrap w:val="0"/>
                  <w:vAlign w:val="center"/>
                </w:tcPr>
                <w:p w14:paraId="4C4EE934">
                  <w:pPr>
                    <w:spacing w:line="260" w:lineRule="exact"/>
                    <w:jc w:val="center"/>
                    <w:rPr>
                      <w:rFonts w:hint="eastAsia" w:eastAsia="宋体"/>
                      <w:color w:val="auto"/>
                      <w:szCs w:val="21"/>
                      <w:lang w:eastAsia="zh-CN"/>
                    </w:rPr>
                  </w:pPr>
                  <w:r>
                    <w:rPr>
                      <w:rFonts w:hint="eastAsia"/>
                      <w:color w:val="auto"/>
                      <w:szCs w:val="21"/>
                      <w:lang w:val="en-US" w:eastAsia="zh-CN"/>
                    </w:rPr>
                    <w:t>活性氧消毒剂</w:t>
                  </w:r>
                </w:p>
              </w:tc>
              <w:tc>
                <w:tcPr>
                  <w:tcW w:w="613" w:type="pct"/>
                  <w:tcBorders>
                    <w:tl2br w:val="nil"/>
                    <w:tr2bl w:val="nil"/>
                  </w:tcBorders>
                  <w:noWrap w:val="0"/>
                  <w:vAlign w:val="center"/>
                </w:tcPr>
                <w:p w14:paraId="3C5BC82D">
                  <w:pPr>
                    <w:spacing w:line="260" w:lineRule="exact"/>
                    <w:jc w:val="center"/>
                    <w:rPr>
                      <w:color w:val="auto"/>
                      <w:szCs w:val="21"/>
                    </w:rPr>
                  </w:pPr>
                  <w:r>
                    <w:rPr>
                      <w:rFonts w:hint="eastAsia"/>
                      <w:color w:val="auto"/>
                      <w:szCs w:val="21"/>
                      <w:lang w:val="en-US" w:eastAsia="zh-CN"/>
                    </w:rPr>
                    <w:t>瓶</w:t>
                  </w:r>
                  <w:r>
                    <w:rPr>
                      <w:rFonts w:hint="eastAsia"/>
                      <w:color w:val="auto"/>
                      <w:szCs w:val="21"/>
                    </w:rPr>
                    <w:t>装</w:t>
                  </w:r>
                </w:p>
              </w:tc>
              <w:tc>
                <w:tcPr>
                  <w:tcW w:w="437" w:type="pct"/>
                  <w:tcBorders>
                    <w:tl2br w:val="nil"/>
                    <w:tr2bl w:val="nil"/>
                  </w:tcBorders>
                  <w:noWrap w:val="0"/>
                  <w:vAlign w:val="center"/>
                </w:tcPr>
                <w:p w14:paraId="14E79358">
                  <w:pPr>
                    <w:spacing w:line="260" w:lineRule="exact"/>
                    <w:jc w:val="center"/>
                    <w:rPr>
                      <w:color w:val="auto"/>
                      <w:szCs w:val="21"/>
                    </w:rPr>
                  </w:pPr>
                  <w:r>
                    <w:rPr>
                      <w:rFonts w:hint="eastAsia"/>
                      <w:color w:val="auto"/>
                      <w:szCs w:val="21"/>
                    </w:rPr>
                    <w:t>固态</w:t>
                  </w:r>
                </w:p>
              </w:tc>
              <w:tc>
                <w:tcPr>
                  <w:tcW w:w="613" w:type="pct"/>
                  <w:tcBorders>
                    <w:tl2br w:val="nil"/>
                    <w:tr2bl w:val="nil"/>
                  </w:tcBorders>
                  <w:noWrap w:val="0"/>
                  <w:vAlign w:val="center"/>
                </w:tcPr>
                <w:p w14:paraId="72CD1373">
                  <w:pPr>
                    <w:widowControl/>
                    <w:spacing w:line="260" w:lineRule="exact"/>
                    <w:jc w:val="center"/>
                    <w:rPr>
                      <w:color w:val="auto"/>
                      <w:szCs w:val="21"/>
                    </w:rPr>
                  </w:pPr>
                  <w:r>
                    <w:rPr>
                      <w:rFonts w:hint="eastAsia"/>
                      <w:color w:val="auto"/>
                      <w:szCs w:val="21"/>
                    </w:rPr>
                    <w:t>库房</w:t>
                  </w:r>
                </w:p>
              </w:tc>
              <w:tc>
                <w:tcPr>
                  <w:tcW w:w="613" w:type="pct"/>
                  <w:tcBorders>
                    <w:tl2br w:val="nil"/>
                    <w:tr2bl w:val="nil"/>
                  </w:tcBorders>
                  <w:noWrap w:val="0"/>
                  <w:vAlign w:val="center"/>
                </w:tcPr>
                <w:p w14:paraId="6BF388A4">
                  <w:pPr>
                    <w:spacing w:line="320" w:lineRule="exact"/>
                    <w:jc w:val="center"/>
                    <w:rPr>
                      <w:color w:val="auto"/>
                      <w:szCs w:val="21"/>
                    </w:rPr>
                  </w:pPr>
                  <w:r>
                    <w:rPr>
                      <w:rFonts w:hint="eastAsia"/>
                      <w:color w:val="auto"/>
                      <w:szCs w:val="21"/>
                    </w:rPr>
                    <w:t>0.01</w:t>
                  </w:r>
                </w:p>
              </w:tc>
              <w:tc>
                <w:tcPr>
                  <w:tcW w:w="579" w:type="pct"/>
                  <w:tcBorders>
                    <w:tl2br w:val="nil"/>
                    <w:tr2bl w:val="nil"/>
                  </w:tcBorders>
                  <w:noWrap w:val="0"/>
                  <w:vAlign w:val="center"/>
                </w:tcPr>
                <w:p w14:paraId="20B48519">
                  <w:pPr>
                    <w:spacing w:line="0" w:lineRule="atLeast"/>
                    <w:jc w:val="center"/>
                    <w:rPr>
                      <w:color w:val="auto"/>
                      <w:szCs w:val="21"/>
                    </w:rPr>
                  </w:pPr>
                  <w:r>
                    <w:rPr>
                      <w:rFonts w:hint="eastAsia"/>
                      <w:color w:val="auto"/>
                      <w:szCs w:val="21"/>
                    </w:rPr>
                    <w:t>0.5</w:t>
                  </w:r>
                </w:p>
              </w:tc>
              <w:tc>
                <w:tcPr>
                  <w:tcW w:w="591" w:type="pct"/>
                  <w:tcBorders>
                    <w:tl2br w:val="nil"/>
                    <w:tr2bl w:val="nil"/>
                  </w:tcBorders>
                  <w:noWrap w:val="0"/>
                  <w:vAlign w:val="center"/>
                </w:tcPr>
                <w:p w14:paraId="332E740A">
                  <w:pPr>
                    <w:widowControl/>
                    <w:jc w:val="center"/>
                    <w:rPr>
                      <w:color w:val="auto"/>
                      <w:kern w:val="0"/>
                      <w:szCs w:val="21"/>
                    </w:rPr>
                  </w:pPr>
                  <w:r>
                    <w:rPr>
                      <w:rFonts w:hint="eastAsia"/>
                      <w:color w:val="auto"/>
                      <w:kern w:val="0"/>
                      <w:szCs w:val="21"/>
                    </w:rPr>
                    <w:t>0.02</w:t>
                  </w:r>
                </w:p>
              </w:tc>
              <w:tc>
                <w:tcPr>
                  <w:tcW w:w="774" w:type="pct"/>
                  <w:vMerge w:val="continue"/>
                  <w:tcBorders>
                    <w:tl2br w:val="nil"/>
                    <w:tr2bl w:val="nil"/>
                  </w:tcBorders>
                  <w:noWrap w:val="0"/>
                  <w:vAlign w:val="center"/>
                </w:tcPr>
                <w:p w14:paraId="67816D83">
                  <w:pPr>
                    <w:widowControl/>
                    <w:jc w:val="center"/>
                    <w:rPr>
                      <w:color w:val="auto"/>
                      <w:szCs w:val="21"/>
                    </w:rPr>
                  </w:pPr>
                </w:p>
              </w:tc>
            </w:tr>
            <w:tr w14:paraId="005E82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8" w:type="pct"/>
                  <w:tcBorders>
                    <w:tl2br w:val="nil"/>
                    <w:tr2bl w:val="nil"/>
                  </w:tcBorders>
                  <w:noWrap w:val="0"/>
                  <w:vAlign w:val="center"/>
                </w:tcPr>
                <w:p w14:paraId="60FC60DB">
                  <w:pPr>
                    <w:bidi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双氧水</w:t>
                  </w:r>
                </w:p>
              </w:tc>
              <w:tc>
                <w:tcPr>
                  <w:tcW w:w="613" w:type="pct"/>
                  <w:tcBorders>
                    <w:tl2br w:val="nil"/>
                    <w:tr2bl w:val="nil"/>
                  </w:tcBorders>
                  <w:noWrap w:val="0"/>
                  <w:vAlign w:val="center"/>
                </w:tcPr>
                <w:p w14:paraId="6072D042">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t>瓶装</w:t>
                  </w:r>
                </w:p>
              </w:tc>
              <w:tc>
                <w:tcPr>
                  <w:tcW w:w="437" w:type="pct"/>
                  <w:tcBorders>
                    <w:tl2br w:val="nil"/>
                    <w:tr2bl w:val="nil"/>
                  </w:tcBorders>
                  <w:noWrap w:val="0"/>
                  <w:vAlign w:val="center"/>
                </w:tcPr>
                <w:p w14:paraId="3466DCE0">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t>液态</w:t>
                  </w:r>
                </w:p>
              </w:tc>
              <w:tc>
                <w:tcPr>
                  <w:tcW w:w="613" w:type="pct"/>
                  <w:tcBorders>
                    <w:tl2br w:val="nil"/>
                    <w:tr2bl w:val="nil"/>
                  </w:tcBorders>
                  <w:noWrap w:val="0"/>
                  <w:vAlign w:val="center"/>
                </w:tcPr>
                <w:p w14:paraId="70C2F75C">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药房、各科室</w:t>
                  </w:r>
                </w:p>
              </w:tc>
              <w:tc>
                <w:tcPr>
                  <w:tcW w:w="613" w:type="pct"/>
                  <w:tcBorders>
                    <w:tl2br w:val="nil"/>
                    <w:tr2bl w:val="nil"/>
                  </w:tcBorders>
                  <w:noWrap w:val="0"/>
                  <w:vAlign w:val="center"/>
                </w:tcPr>
                <w:p w14:paraId="2327A45E">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w:t>
                  </w:r>
                  <w:r>
                    <w:rPr>
                      <w:rFonts w:hint="eastAsia" w:ascii="Times New Roman" w:hAnsi="Times New Roman" w:cs="Times New Roman"/>
                      <w:color w:val="auto"/>
                      <w:lang w:val="en-US" w:eastAsia="zh-CN"/>
                    </w:rPr>
                    <w:t>02</w:t>
                  </w:r>
                  <w:r>
                    <w:rPr>
                      <w:rFonts w:hint="default" w:ascii="Times New Roman" w:hAnsi="Times New Roman" w:cs="Times New Roman"/>
                      <w:color w:val="auto"/>
                      <w:lang w:val="en-US" w:eastAsia="zh-CN"/>
                    </w:rPr>
                    <w:t>5</w:t>
                  </w:r>
                </w:p>
              </w:tc>
              <w:tc>
                <w:tcPr>
                  <w:tcW w:w="579" w:type="pct"/>
                  <w:tcBorders>
                    <w:tl2br w:val="nil"/>
                    <w:tr2bl w:val="nil"/>
                  </w:tcBorders>
                  <w:noWrap w:val="0"/>
                  <w:vAlign w:val="center"/>
                </w:tcPr>
                <w:p w14:paraId="5AFDE6DB">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rPr>
                    <w:t>10</w:t>
                  </w:r>
                  <w:r>
                    <w:rPr>
                      <w:rFonts w:hint="default" w:ascii="Times New Roman" w:hAnsi="Times New Roman" w:cs="Times New Roman"/>
                      <w:color w:val="auto"/>
                      <w:lang w:val="en-US" w:eastAsia="zh-CN"/>
                    </w:rPr>
                    <w:t>0</w:t>
                  </w:r>
                </w:p>
              </w:tc>
              <w:tc>
                <w:tcPr>
                  <w:tcW w:w="591" w:type="pct"/>
                  <w:tcBorders>
                    <w:tl2br w:val="nil"/>
                    <w:tr2bl w:val="nil"/>
                  </w:tcBorders>
                  <w:noWrap w:val="0"/>
                  <w:vAlign w:val="center"/>
                </w:tcPr>
                <w:p w14:paraId="1755A6A7">
                  <w:pPr>
                    <w:bidi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0.000</w:t>
                  </w:r>
                  <w:r>
                    <w:rPr>
                      <w:rFonts w:hint="eastAsia" w:ascii="Times New Roman" w:hAnsi="Times New Roman" w:cs="Times New Roman"/>
                      <w:color w:val="auto"/>
                      <w:lang w:val="en-US" w:eastAsia="zh-CN"/>
                    </w:rPr>
                    <w:t>02</w:t>
                  </w:r>
                  <w:r>
                    <w:rPr>
                      <w:rFonts w:hint="default" w:ascii="Times New Roman" w:hAnsi="Times New Roman" w:cs="Times New Roman"/>
                      <w:color w:val="auto"/>
                      <w:lang w:val="en-US" w:eastAsia="zh-CN"/>
                    </w:rPr>
                    <w:t>5</w:t>
                  </w:r>
                </w:p>
              </w:tc>
              <w:tc>
                <w:tcPr>
                  <w:tcW w:w="774" w:type="pct"/>
                  <w:vMerge w:val="continue"/>
                  <w:tcBorders>
                    <w:tl2br w:val="nil"/>
                    <w:tr2bl w:val="nil"/>
                  </w:tcBorders>
                  <w:noWrap w:val="0"/>
                  <w:vAlign w:val="center"/>
                </w:tcPr>
                <w:p w14:paraId="11D8F8CD">
                  <w:pPr>
                    <w:widowControl/>
                    <w:jc w:val="center"/>
                    <w:rPr>
                      <w:color w:val="auto"/>
                      <w:szCs w:val="21"/>
                    </w:rPr>
                  </w:pPr>
                </w:p>
              </w:tc>
            </w:tr>
            <w:tr w14:paraId="59737B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8" w:type="pct"/>
                  <w:tcBorders>
                    <w:tl2br w:val="nil"/>
                    <w:tr2bl w:val="nil"/>
                  </w:tcBorders>
                  <w:noWrap w:val="0"/>
                  <w:vAlign w:val="center"/>
                </w:tcPr>
                <w:p w14:paraId="21B4E5CE">
                  <w:pPr>
                    <w:spacing w:line="260" w:lineRule="exact"/>
                    <w:jc w:val="center"/>
                    <w:rPr>
                      <w:rFonts w:hint="eastAsia" w:eastAsia="宋体"/>
                      <w:color w:val="auto"/>
                      <w:kern w:val="0"/>
                      <w:sz w:val="21"/>
                      <w:szCs w:val="21"/>
                      <w:lang w:val="en-US" w:eastAsia="zh-CN" w:bidi="ar-SA"/>
                    </w:rPr>
                  </w:pPr>
                  <w:r>
                    <w:rPr>
                      <w:rFonts w:hint="eastAsia"/>
                      <w:color w:val="auto"/>
                      <w:kern w:val="0"/>
                      <w:szCs w:val="21"/>
                      <w:lang w:val="en-US" w:eastAsia="zh-CN"/>
                    </w:rPr>
                    <w:t>检验废液</w:t>
                  </w:r>
                </w:p>
              </w:tc>
              <w:tc>
                <w:tcPr>
                  <w:tcW w:w="613" w:type="pct"/>
                  <w:tcBorders>
                    <w:tl2br w:val="nil"/>
                    <w:tr2bl w:val="nil"/>
                  </w:tcBorders>
                  <w:noWrap w:val="0"/>
                  <w:vAlign w:val="center"/>
                </w:tcPr>
                <w:p w14:paraId="29EC5202">
                  <w:pPr>
                    <w:spacing w:line="240" w:lineRule="exact"/>
                    <w:jc w:val="center"/>
                    <w:rPr>
                      <w:rFonts w:hint="eastAsia" w:eastAsia="宋体"/>
                      <w:color w:val="auto"/>
                      <w:kern w:val="2"/>
                      <w:sz w:val="21"/>
                      <w:szCs w:val="21"/>
                      <w:lang w:val="en-US" w:eastAsia="zh-CN" w:bidi="ar-SA"/>
                    </w:rPr>
                  </w:pPr>
                  <w:r>
                    <w:rPr>
                      <w:rFonts w:hint="eastAsia"/>
                      <w:color w:val="auto"/>
                      <w:szCs w:val="21"/>
                      <w:lang w:val="en-US" w:eastAsia="zh-CN"/>
                    </w:rPr>
                    <w:t>桶装</w:t>
                  </w:r>
                </w:p>
              </w:tc>
              <w:tc>
                <w:tcPr>
                  <w:tcW w:w="437" w:type="pct"/>
                  <w:tcBorders>
                    <w:tl2br w:val="nil"/>
                    <w:tr2bl w:val="nil"/>
                  </w:tcBorders>
                  <w:noWrap w:val="0"/>
                  <w:vAlign w:val="center"/>
                </w:tcPr>
                <w:p w14:paraId="6B30914F">
                  <w:pPr>
                    <w:spacing w:line="260" w:lineRule="exact"/>
                    <w:jc w:val="center"/>
                    <w:rPr>
                      <w:rFonts w:hint="eastAsia" w:eastAsia="宋体"/>
                      <w:color w:val="auto"/>
                      <w:kern w:val="2"/>
                      <w:sz w:val="21"/>
                      <w:szCs w:val="21"/>
                      <w:lang w:val="en-US" w:eastAsia="zh-CN" w:bidi="ar-SA"/>
                    </w:rPr>
                  </w:pPr>
                  <w:r>
                    <w:rPr>
                      <w:rFonts w:hint="eastAsia"/>
                      <w:color w:val="auto"/>
                      <w:szCs w:val="21"/>
                      <w:lang w:val="en-US" w:eastAsia="zh-CN"/>
                    </w:rPr>
                    <w:t>液态</w:t>
                  </w:r>
                </w:p>
              </w:tc>
              <w:tc>
                <w:tcPr>
                  <w:tcW w:w="613" w:type="pct"/>
                  <w:tcBorders>
                    <w:tl2br w:val="nil"/>
                    <w:tr2bl w:val="nil"/>
                  </w:tcBorders>
                  <w:noWrap w:val="0"/>
                  <w:vAlign w:val="center"/>
                </w:tcPr>
                <w:p w14:paraId="23BA3F6C">
                  <w:pPr>
                    <w:widowControl/>
                    <w:spacing w:line="260" w:lineRule="exact"/>
                    <w:jc w:val="center"/>
                    <w:rPr>
                      <w:rFonts w:hint="eastAsia" w:eastAsia="宋体"/>
                      <w:color w:val="auto"/>
                      <w:kern w:val="2"/>
                      <w:sz w:val="21"/>
                      <w:szCs w:val="21"/>
                      <w:lang w:val="en-US" w:eastAsia="zh-CN" w:bidi="ar-SA"/>
                    </w:rPr>
                  </w:pPr>
                  <w:r>
                    <w:rPr>
                      <w:rFonts w:hint="eastAsia"/>
                      <w:color w:val="auto"/>
                      <w:szCs w:val="21"/>
                      <w:lang w:val="en-US" w:eastAsia="zh-CN"/>
                    </w:rPr>
                    <w:t>危废暂存间</w:t>
                  </w:r>
                </w:p>
              </w:tc>
              <w:tc>
                <w:tcPr>
                  <w:tcW w:w="613" w:type="pct"/>
                  <w:tcBorders>
                    <w:tl2br w:val="nil"/>
                    <w:tr2bl w:val="nil"/>
                  </w:tcBorders>
                  <w:noWrap w:val="0"/>
                  <w:vAlign w:val="center"/>
                </w:tcPr>
                <w:p w14:paraId="2F27A4BA">
                  <w:pPr>
                    <w:spacing w:line="320" w:lineRule="exact"/>
                    <w:jc w:val="center"/>
                    <w:rPr>
                      <w:rFonts w:hint="eastAsia" w:eastAsia="宋体"/>
                      <w:color w:val="auto"/>
                      <w:kern w:val="2"/>
                      <w:sz w:val="21"/>
                      <w:szCs w:val="21"/>
                      <w:lang w:val="en-US" w:eastAsia="zh-CN" w:bidi="ar-SA"/>
                    </w:rPr>
                  </w:pPr>
                  <w:r>
                    <w:rPr>
                      <w:rFonts w:hint="eastAsia"/>
                      <w:color w:val="auto"/>
                      <w:szCs w:val="21"/>
                      <w:lang w:val="en-US" w:eastAsia="zh-CN"/>
                    </w:rPr>
                    <w:t>0.8</w:t>
                  </w:r>
                </w:p>
              </w:tc>
              <w:tc>
                <w:tcPr>
                  <w:tcW w:w="579" w:type="pct"/>
                  <w:tcBorders>
                    <w:tl2br w:val="nil"/>
                    <w:tr2bl w:val="nil"/>
                  </w:tcBorders>
                  <w:noWrap w:val="0"/>
                  <w:vAlign w:val="center"/>
                </w:tcPr>
                <w:p w14:paraId="1D86DD9E">
                  <w:pPr>
                    <w:spacing w:line="0" w:lineRule="atLeast"/>
                    <w:jc w:val="center"/>
                    <w:rPr>
                      <w:rFonts w:hint="default" w:eastAsia="宋体"/>
                      <w:color w:val="auto"/>
                      <w:kern w:val="2"/>
                      <w:sz w:val="21"/>
                      <w:szCs w:val="21"/>
                      <w:lang w:val="en-US" w:eastAsia="zh-CN" w:bidi="ar-SA"/>
                    </w:rPr>
                  </w:pPr>
                  <w:r>
                    <w:rPr>
                      <w:rFonts w:hint="eastAsia"/>
                      <w:color w:val="auto"/>
                      <w:szCs w:val="21"/>
                      <w:lang w:val="en-US" w:eastAsia="zh-CN"/>
                    </w:rPr>
                    <w:t>50</w:t>
                  </w:r>
                </w:p>
              </w:tc>
              <w:tc>
                <w:tcPr>
                  <w:tcW w:w="591" w:type="pct"/>
                  <w:tcBorders>
                    <w:tl2br w:val="nil"/>
                    <w:tr2bl w:val="nil"/>
                  </w:tcBorders>
                  <w:noWrap w:val="0"/>
                  <w:vAlign w:val="center"/>
                </w:tcPr>
                <w:p w14:paraId="3BAC5E77">
                  <w:pPr>
                    <w:widowControl/>
                    <w:jc w:val="center"/>
                    <w:rPr>
                      <w:rFonts w:hint="default" w:eastAsia="宋体"/>
                      <w:color w:val="auto"/>
                      <w:kern w:val="0"/>
                      <w:sz w:val="21"/>
                      <w:szCs w:val="21"/>
                      <w:lang w:val="en-US" w:eastAsia="zh-CN" w:bidi="ar-SA"/>
                    </w:rPr>
                  </w:pPr>
                  <w:r>
                    <w:rPr>
                      <w:rFonts w:hint="eastAsia"/>
                      <w:color w:val="auto"/>
                      <w:kern w:val="0"/>
                      <w:szCs w:val="21"/>
                      <w:lang w:val="en-US" w:eastAsia="zh-CN"/>
                    </w:rPr>
                    <w:t>0.016</w:t>
                  </w:r>
                </w:p>
              </w:tc>
              <w:tc>
                <w:tcPr>
                  <w:tcW w:w="774" w:type="pct"/>
                  <w:vMerge w:val="continue"/>
                  <w:tcBorders>
                    <w:tl2br w:val="nil"/>
                    <w:tr2bl w:val="nil"/>
                  </w:tcBorders>
                  <w:noWrap w:val="0"/>
                  <w:vAlign w:val="center"/>
                </w:tcPr>
                <w:p w14:paraId="021B66A2">
                  <w:pPr>
                    <w:widowControl/>
                    <w:jc w:val="center"/>
                    <w:rPr>
                      <w:color w:val="auto"/>
                      <w:szCs w:val="21"/>
                    </w:rPr>
                  </w:pPr>
                </w:p>
              </w:tc>
            </w:tr>
            <w:tr w14:paraId="06B296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8" w:type="pct"/>
                  <w:tcBorders>
                    <w:tl2br w:val="nil"/>
                    <w:tr2bl w:val="nil"/>
                  </w:tcBorders>
                  <w:noWrap w:val="0"/>
                  <w:vAlign w:val="center"/>
                </w:tcPr>
                <w:p w14:paraId="25C4EF0F">
                  <w:pPr>
                    <w:spacing w:line="260" w:lineRule="exact"/>
                    <w:jc w:val="center"/>
                    <w:rPr>
                      <w:color w:val="auto"/>
                      <w:kern w:val="0"/>
                      <w:szCs w:val="21"/>
                    </w:rPr>
                  </w:pPr>
                  <w:r>
                    <w:rPr>
                      <w:rFonts w:hint="eastAsia"/>
                      <w:color w:val="auto"/>
                      <w:kern w:val="0"/>
                      <w:szCs w:val="21"/>
                    </w:rPr>
                    <w:t>液化气</w:t>
                  </w:r>
                </w:p>
              </w:tc>
              <w:tc>
                <w:tcPr>
                  <w:tcW w:w="613" w:type="pct"/>
                  <w:tcBorders>
                    <w:tl2br w:val="nil"/>
                    <w:tr2bl w:val="nil"/>
                  </w:tcBorders>
                  <w:noWrap w:val="0"/>
                  <w:vAlign w:val="center"/>
                </w:tcPr>
                <w:p w14:paraId="7A4FB624">
                  <w:pPr>
                    <w:spacing w:line="240" w:lineRule="exact"/>
                    <w:jc w:val="center"/>
                    <w:rPr>
                      <w:color w:val="auto"/>
                      <w:szCs w:val="21"/>
                    </w:rPr>
                  </w:pPr>
                  <w:r>
                    <w:rPr>
                      <w:rFonts w:hint="eastAsia"/>
                      <w:color w:val="auto"/>
                      <w:szCs w:val="21"/>
                    </w:rPr>
                    <w:t>瓶装</w:t>
                  </w:r>
                </w:p>
              </w:tc>
              <w:tc>
                <w:tcPr>
                  <w:tcW w:w="437" w:type="pct"/>
                  <w:tcBorders>
                    <w:tl2br w:val="nil"/>
                    <w:tr2bl w:val="nil"/>
                  </w:tcBorders>
                  <w:noWrap w:val="0"/>
                  <w:vAlign w:val="center"/>
                </w:tcPr>
                <w:p w14:paraId="143CBBFE">
                  <w:pPr>
                    <w:spacing w:line="260" w:lineRule="exact"/>
                    <w:jc w:val="center"/>
                    <w:rPr>
                      <w:color w:val="auto"/>
                      <w:szCs w:val="21"/>
                    </w:rPr>
                  </w:pPr>
                  <w:r>
                    <w:rPr>
                      <w:rFonts w:hint="eastAsia"/>
                      <w:color w:val="auto"/>
                      <w:szCs w:val="21"/>
                    </w:rPr>
                    <w:t>液态</w:t>
                  </w:r>
                </w:p>
              </w:tc>
              <w:tc>
                <w:tcPr>
                  <w:tcW w:w="613" w:type="pct"/>
                  <w:tcBorders>
                    <w:tl2br w:val="nil"/>
                    <w:tr2bl w:val="nil"/>
                  </w:tcBorders>
                  <w:noWrap w:val="0"/>
                  <w:vAlign w:val="center"/>
                </w:tcPr>
                <w:p w14:paraId="5046B8EE">
                  <w:pPr>
                    <w:widowControl/>
                    <w:spacing w:line="260" w:lineRule="exact"/>
                    <w:jc w:val="center"/>
                    <w:rPr>
                      <w:color w:val="auto"/>
                      <w:szCs w:val="21"/>
                    </w:rPr>
                  </w:pPr>
                  <w:r>
                    <w:rPr>
                      <w:rFonts w:hint="eastAsia"/>
                      <w:color w:val="auto"/>
                      <w:szCs w:val="21"/>
                    </w:rPr>
                    <w:t>厨房</w:t>
                  </w:r>
                </w:p>
              </w:tc>
              <w:tc>
                <w:tcPr>
                  <w:tcW w:w="613" w:type="pct"/>
                  <w:tcBorders>
                    <w:tl2br w:val="nil"/>
                    <w:tr2bl w:val="nil"/>
                  </w:tcBorders>
                  <w:noWrap w:val="0"/>
                  <w:vAlign w:val="center"/>
                </w:tcPr>
                <w:p w14:paraId="282F1900">
                  <w:pPr>
                    <w:spacing w:line="320" w:lineRule="exact"/>
                    <w:jc w:val="center"/>
                    <w:rPr>
                      <w:color w:val="auto"/>
                      <w:szCs w:val="21"/>
                    </w:rPr>
                  </w:pPr>
                  <w:r>
                    <w:rPr>
                      <w:rFonts w:hint="eastAsia"/>
                      <w:color w:val="auto"/>
                      <w:szCs w:val="21"/>
                    </w:rPr>
                    <w:t>0.05</w:t>
                  </w:r>
                </w:p>
              </w:tc>
              <w:tc>
                <w:tcPr>
                  <w:tcW w:w="579" w:type="pct"/>
                  <w:tcBorders>
                    <w:tl2br w:val="nil"/>
                    <w:tr2bl w:val="nil"/>
                  </w:tcBorders>
                  <w:noWrap w:val="0"/>
                  <w:vAlign w:val="center"/>
                </w:tcPr>
                <w:p w14:paraId="78CE0AE6">
                  <w:pPr>
                    <w:spacing w:line="0" w:lineRule="atLeast"/>
                    <w:jc w:val="center"/>
                    <w:rPr>
                      <w:color w:val="auto"/>
                      <w:szCs w:val="21"/>
                    </w:rPr>
                  </w:pPr>
                  <w:r>
                    <w:rPr>
                      <w:rFonts w:hint="eastAsia"/>
                      <w:color w:val="auto"/>
                      <w:szCs w:val="21"/>
                    </w:rPr>
                    <w:t>10</w:t>
                  </w:r>
                </w:p>
              </w:tc>
              <w:tc>
                <w:tcPr>
                  <w:tcW w:w="591" w:type="pct"/>
                  <w:tcBorders>
                    <w:tl2br w:val="nil"/>
                    <w:tr2bl w:val="nil"/>
                  </w:tcBorders>
                  <w:noWrap w:val="0"/>
                  <w:vAlign w:val="center"/>
                </w:tcPr>
                <w:p w14:paraId="22AB9C5B">
                  <w:pPr>
                    <w:widowControl/>
                    <w:jc w:val="center"/>
                    <w:rPr>
                      <w:color w:val="auto"/>
                      <w:kern w:val="0"/>
                      <w:szCs w:val="21"/>
                    </w:rPr>
                  </w:pPr>
                  <w:r>
                    <w:rPr>
                      <w:rFonts w:hint="eastAsia"/>
                      <w:color w:val="auto"/>
                      <w:kern w:val="0"/>
                      <w:szCs w:val="21"/>
                    </w:rPr>
                    <w:t>0.005</w:t>
                  </w:r>
                </w:p>
              </w:tc>
              <w:tc>
                <w:tcPr>
                  <w:tcW w:w="774" w:type="pct"/>
                  <w:vMerge w:val="continue"/>
                  <w:tcBorders>
                    <w:tl2br w:val="nil"/>
                    <w:tr2bl w:val="nil"/>
                  </w:tcBorders>
                  <w:noWrap w:val="0"/>
                  <w:vAlign w:val="center"/>
                </w:tcPr>
                <w:p w14:paraId="70008716">
                  <w:pPr>
                    <w:widowControl/>
                    <w:jc w:val="center"/>
                    <w:rPr>
                      <w:color w:val="auto"/>
                      <w:szCs w:val="21"/>
                    </w:rPr>
                  </w:pPr>
                </w:p>
              </w:tc>
            </w:tr>
            <w:tr w14:paraId="50592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8" w:type="pct"/>
                  <w:tcBorders>
                    <w:tl2br w:val="nil"/>
                    <w:tr2bl w:val="nil"/>
                  </w:tcBorders>
                  <w:noWrap w:val="0"/>
                  <w:vAlign w:val="center"/>
                </w:tcPr>
                <w:p w14:paraId="433D1C6B">
                  <w:pPr>
                    <w:spacing w:line="260" w:lineRule="exact"/>
                    <w:jc w:val="center"/>
                    <w:rPr>
                      <w:color w:val="auto"/>
                      <w:kern w:val="0"/>
                      <w:szCs w:val="21"/>
                    </w:rPr>
                  </w:pPr>
                  <w:r>
                    <w:rPr>
                      <w:rFonts w:hint="eastAsia"/>
                      <w:color w:val="auto"/>
                      <w:kern w:val="0"/>
                      <w:szCs w:val="21"/>
                    </w:rPr>
                    <w:t>合计</w:t>
                  </w:r>
                </w:p>
              </w:tc>
              <w:tc>
                <w:tcPr>
                  <w:tcW w:w="613" w:type="pct"/>
                  <w:tcBorders>
                    <w:tl2br w:val="nil"/>
                    <w:tr2bl w:val="nil"/>
                  </w:tcBorders>
                  <w:noWrap w:val="0"/>
                  <w:vAlign w:val="center"/>
                </w:tcPr>
                <w:p w14:paraId="074B70E6">
                  <w:pPr>
                    <w:spacing w:line="240" w:lineRule="exact"/>
                    <w:jc w:val="center"/>
                    <w:rPr>
                      <w:rFonts w:hint="eastAsia" w:eastAsia="宋体"/>
                      <w:color w:val="auto"/>
                      <w:szCs w:val="21"/>
                      <w:lang w:val="en-US" w:eastAsia="zh-CN"/>
                    </w:rPr>
                  </w:pPr>
                  <w:r>
                    <w:rPr>
                      <w:rFonts w:hint="eastAsia"/>
                      <w:color w:val="auto"/>
                      <w:szCs w:val="21"/>
                      <w:lang w:val="en-US" w:eastAsia="zh-CN"/>
                    </w:rPr>
                    <w:t>/</w:t>
                  </w:r>
                </w:p>
              </w:tc>
              <w:tc>
                <w:tcPr>
                  <w:tcW w:w="437" w:type="pct"/>
                  <w:tcBorders>
                    <w:tl2br w:val="nil"/>
                    <w:tr2bl w:val="nil"/>
                  </w:tcBorders>
                  <w:noWrap w:val="0"/>
                  <w:vAlign w:val="center"/>
                </w:tcPr>
                <w:p w14:paraId="313AB54F">
                  <w:pPr>
                    <w:spacing w:line="260" w:lineRule="exact"/>
                    <w:jc w:val="center"/>
                    <w:rPr>
                      <w:rFonts w:hint="eastAsia" w:eastAsia="宋体"/>
                      <w:color w:val="auto"/>
                      <w:szCs w:val="21"/>
                      <w:lang w:val="en-US" w:eastAsia="zh-CN"/>
                    </w:rPr>
                  </w:pPr>
                  <w:r>
                    <w:rPr>
                      <w:rFonts w:hint="eastAsia"/>
                      <w:color w:val="auto"/>
                      <w:szCs w:val="21"/>
                      <w:lang w:val="en-US" w:eastAsia="zh-CN"/>
                    </w:rPr>
                    <w:t>/</w:t>
                  </w:r>
                </w:p>
              </w:tc>
              <w:tc>
                <w:tcPr>
                  <w:tcW w:w="613" w:type="pct"/>
                  <w:tcBorders>
                    <w:tl2br w:val="nil"/>
                    <w:tr2bl w:val="nil"/>
                  </w:tcBorders>
                  <w:noWrap w:val="0"/>
                  <w:vAlign w:val="center"/>
                </w:tcPr>
                <w:p w14:paraId="6EACEC94">
                  <w:pPr>
                    <w:widowControl/>
                    <w:spacing w:line="260" w:lineRule="exact"/>
                    <w:jc w:val="center"/>
                    <w:rPr>
                      <w:rFonts w:hint="eastAsia" w:eastAsia="宋体"/>
                      <w:color w:val="auto"/>
                      <w:szCs w:val="21"/>
                      <w:lang w:val="en-US" w:eastAsia="zh-CN"/>
                    </w:rPr>
                  </w:pPr>
                  <w:r>
                    <w:rPr>
                      <w:rFonts w:hint="eastAsia"/>
                      <w:color w:val="auto"/>
                      <w:szCs w:val="21"/>
                      <w:lang w:val="en-US" w:eastAsia="zh-CN"/>
                    </w:rPr>
                    <w:t>/</w:t>
                  </w:r>
                </w:p>
              </w:tc>
              <w:tc>
                <w:tcPr>
                  <w:tcW w:w="613" w:type="pct"/>
                  <w:tcBorders>
                    <w:tl2br w:val="nil"/>
                    <w:tr2bl w:val="nil"/>
                  </w:tcBorders>
                  <w:noWrap w:val="0"/>
                  <w:vAlign w:val="center"/>
                </w:tcPr>
                <w:p w14:paraId="49D0C518">
                  <w:pPr>
                    <w:spacing w:line="320" w:lineRule="exact"/>
                    <w:jc w:val="center"/>
                    <w:rPr>
                      <w:rFonts w:hint="eastAsia" w:eastAsia="宋体"/>
                      <w:color w:val="auto"/>
                      <w:szCs w:val="21"/>
                      <w:lang w:val="en-US" w:eastAsia="zh-CN"/>
                    </w:rPr>
                  </w:pPr>
                  <w:r>
                    <w:rPr>
                      <w:rFonts w:hint="eastAsia"/>
                      <w:color w:val="auto"/>
                      <w:szCs w:val="21"/>
                      <w:lang w:val="en-US" w:eastAsia="zh-CN"/>
                    </w:rPr>
                    <w:t>/</w:t>
                  </w:r>
                </w:p>
              </w:tc>
              <w:tc>
                <w:tcPr>
                  <w:tcW w:w="579" w:type="pct"/>
                  <w:tcBorders>
                    <w:tl2br w:val="nil"/>
                    <w:tr2bl w:val="nil"/>
                  </w:tcBorders>
                  <w:noWrap w:val="0"/>
                  <w:vAlign w:val="center"/>
                </w:tcPr>
                <w:p w14:paraId="0F3FD0A0">
                  <w:pPr>
                    <w:spacing w:line="0" w:lineRule="atLeast"/>
                    <w:jc w:val="center"/>
                    <w:rPr>
                      <w:rFonts w:hint="eastAsia" w:eastAsia="宋体"/>
                      <w:color w:val="auto"/>
                      <w:szCs w:val="21"/>
                      <w:lang w:val="en-US" w:eastAsia="zh-CN"/>
                    </w:rPr>
                  </w:pPr>
                  <w:r>
                    <w:rPr>
                      <w:rFonts w:hint="eastAsia"/>
                      <w:color w:val="auto"/>
                      <w:szCs w:val="21"/>
                      <w:lang w:val="en-US" w:eastAsia="zh-CN"/>
                    </w:rPr>
                    <w:t>/</w:t>
                  </w:r>
                </w:p>
              </w:tc>
              <w:tc>
                <w:tcPr>
                  <w:tcW w:w="591" w:type="pct"/>
                  <w:tcBorders>
                    <w:tl2br w:val="nil"/>
                    <w:tr2bl w:val="nil"/>
                  </w:tcBorders>
                  <w:noWrap w:val="0"/>
                  <w:vAlign w:val="center"/>
                </w:tcPr>
                <w:p w14:paraId="1146A966">
                  <w:pPr>
                    <w:widowControl/>
                    <w:jc w:val="center"/>
                    <w:rPr>
                      <w:rFonts w:hint="default" w:eastAsia="宋体"/>
                      <w:color w:val="auto"/>
                      <w:kern w:val="0"/>
                      <w:szCs w:val="21"/>
                      <w:lang w:val="en-US" w:eastAsia="zh-CN"/>
                    </w:rPr>
                  </w:pPr>
                  <w:r>
                    <w:rPr>
                      <w:rFonts w:hint="eastAsia" w:eastAsia="宋体"/>
                      <w:color w:val="auto"/>
                      <w:kern w:val="0"/>
                      <w:szCs w:val="21"/>
                      <w:lang w:val="en-US" w:eastAsia="zh-CN"/>
                    </w:rPr>
                    <w:t>0.041027</w:t>
                  </w:r>
                </w:p>
              </w:tc>
              <w:tc>
                <w:tcPr>
                  <w:tcW w:w="774" w:type="pct"/>
                  <w:tcBorders>
                    <w:tl2br w:val="nil"/>
                    <w:tr2bl w:val="nil"/>
                  </w:tcBorders>
                  <w:noWrap w:val="0"/>
                  <w:vAlign w:val="center"/>
                </w:tcPr>
                <w:p w14:paraId="2C46C61E">
                  <w:pPr>
                    <w:widowControl/>
                    <w:jc w:val="center"/>
                    <w:rPr>
                      <w:color w:val="auto"/>
                      <w:szCs w:val="21"/>
                    </w:rPr>
                  </w:pPr>
                </w:p>
              </w:tc>
            </w:tr>
          </w:tbl>
          <w:p w14:paraId="26BE93BC">
            <w:pPr>
              <w:pStyle w:val="6"/>
              <w:rPr>
                <w:rFonts w:hint="default"/>
                <w:color w:val="auto"/>
              </w:rPr>
            </w:pPr>
          </w:p>
          <w:p w14:paraId="3933F2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eastAsia="宋体"/>
                <w:color w:val="auto"/>
                <w:sz w:val="24"/>
                <w:szCs w:val="24"/>
                <w:u w:val="none" w:color="auto"/>
                <w:lang w:val="en-US" w:eastAsia="zh-CN"/>
              </w:rPr>
            </w:pPr>
            <w:r>
              <w:rPr>
                <w:rFonts w:hint="eastAsia" w:eastAsia="宋体"/>
                <w:color w:val="auto"/>
                <w:sz w:val="24"/>
                <w:szCs w:val="24"/>
                <w:u w:val="none" w:color="auto"/>
                <w:lang w:val="en-US" w:eastAsia="zh-CN"/>
              </w:rPr>
              <w:t>根据上表可知，风险物质与其临界量之比均小于1。</w:t>
            </w:r>
          </w:p>
          <w:p w14:paraId="28393EB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color w:val="auto"/>
                <w:sz w:val="24"/>
                <w:szCs w:val="24"/>
                <w:u w:val="none" w:color="auto"/>
                <w:lang w:eastAsia="zh-CN"/>
              </w:rPr>
            </w:pPr>
            <w:r>
              <w:rPr>
                <w:color w:val="auto"/>
                <w:sz w:val="24"/>
                <w:szCs w:val="24"/>
                <w:u w:val="none" w:color="auto"/>
              </w:rPr>
              <w:t>（</w:t>
            </w:r>
            <w:r>
              <w:rPr>
                <w:rFonts w:hint="eastAsia"/>
                <w:color w:val="auto"/>
                <w:sz w:val="24"/>
                <w:szCs w:val="24"/>
                <w:u w:val="none" w:color="auto"/>
                <w:lang w:val="en-US" w:eastAsia="zh-CN"/>
              </w:rPr>
              <w:t>2</w:t>
            </w:r>
            <w:r>
              <w:rPr>
                <w:color w:val="auto"/>
                <w:sz w:val="24"/>
                <w:szCs w:val="24"/>
                <w:u w:val="none" w:color="auto"/>
              </w:rPr>
              <w:t>）</w:t>
            </w:r>
            <w:r>
              <w:rPr>
                <w:rFonts w:hint="eastAsia"/>
                <w:color w:val="auto"/>
                <w:sz w:val="24"/>
                <w:szCs w:val="24"/>
                <w:u w:val="none" w:color="auto"/>
                <w:lang w:eastAsia="zh-CN"/>
              </w:rPr>
              <w:t>环境风险物质分布及风险情形</w:t>
            </w:r>
          </w:p>
          <w:p w14:paraId="6B7EFCD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olor w:val="auto"/>
                <w:sz w:val="24"/>
                <w:szCs w:val="24"/>
              </w:rPr>
            </w:pPr>
            <w:r>
              <w:rPr>
                <w:color w:val="auto"/>
                <w:sz w:val="24"/>
                <w:szCs w:val="24"/>
                <w:u w:val="none" w:color="auto"/>
              </w:rPr>
              <w:t>本项目</w:t>
            </w:r>
            <w:r>
              <w:rPr>
                <w:rFonts w:hint="eastAsia"/>
                <w:color w:val="auto"/>
                <w:sz w:val="24"/>
                <w:szCs w:val="24"/>
                <w:u w:val="none" w:color="auto"/>
                <w:lang w:val="en-US" w:eastAsia="zh-CN"/>
              </w:rPr>
              <w:t>主要风险物质</w:t>
            </w:r>
            <w:r>
              <w:rPr>
                <w:rFonts w:hint="default" w:ascii="Times New Roman" w:hAnsi="Times New Roman" w:eastAsia="宋体" w:cs="Times New Roman"/>
                <w:color w:val="auto"/>
                <w:sz w:val="24"/>
                <w:szCs w:val="24"/>
                <w:lang w:val="en-US" w:eastAsia="zh-CN"/>
              </w:rPr>
              <w:t>次氯酸钠（</w:t>
            </w:r>
            <w:r>
              <w:rPr>
                <w:rFonts w:hint="default" w:ascii="Times New Roman" w:hAnsi="Times New Roman" w:eastAsia="宋体" w:cs="Times New Roman"/>
                <w:color w:val="auto"/>
                <w:kern w:val="2"/>
                <w:sz w:val="24"/>
                <w:szCs w:val="24"/>
                <w:lang w:val="en-US" w:eastAsia="zh-CN" w:bidi="ar-SA"/>
              </w:rPr>
              <w:t>84消毒液）</w:t>
            </w:r>
            <w:r>
              <w:rPr>
                <w:rFonts w:hint="default"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kern w:val="2"/>
                <w:sz w:val="24"/>
                <w:szCs w:val="24"/>
                <w:lang w:val="en-US" w:eastAsia="zh-CN" w:bidi="ar-SA"/>
              </w:rPr>
              <w:t>医疗废物、污水处理站污泥</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kern w:val="2"/>
                <w:sz w:val="24"/>
                <w:szCs w:val="24"/>
                <w:lang w:val="en-US" w:eastAsia="zh-CN" w:bidi="ar-SA"/>
              </w:rPr>
              <w:t>84消毒液</w:t>
            </w:r>
            <w:r>
              <w:rPr>
                <w:rFonts w:hint="default" w:ascii="Times New Roman" w:hAnsi="Times New Roman" w:eastAsia="宋体" w:cs="Times New Roman"/>
                <w:color w:val="auto"/>
                <w:sz w:val="24"/>
                <w:szCs w:val="24"/>
              </w:rPr>
              <w:t>分布于仓库及各科室，单瓶容量较小且分布较分散；医疗废物主要集中于医疗废物暂存间。</w:t>
            </w:r>
          </w:p>
          <w:p w14:paraId="43635DA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u w:val="none" w:color="auto"/>
              </w:rPr>
            </w:pPr>
            <w:r>
              <w:rPr>
                <w:color w:val="auto"/>
                <w:sz w:val="24"/>
                <w:szCs w:val="24"/>
                <w:u w:val="none" w:color="auto"/>
              </w:rPr>
              <w:t>项目主要风险类型有：</w:t>
            </w:r>
          </w:p>
          <w:p w14:paraId="49CB5E4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u w:val="none" w:color="auto"/>
              </w:rPr>
            </w:pPr>
            <w:r>
              <w:rPr>
                <w:color w:val="auto"/>
                <w:sz w:val="24"/>
                <w:szCs w:val="24"/>
                <w:u w:val="none" w:color="auto"/>
              </w:rPr>
              <w:t>①医疗废物在收集、贮存、运送过程中的存在的风险；</w:t>
            </w:r>
          </w:p>
          <w:p w14:paraId="4A1C90C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u w:val="none" w:color="auto"/>
              </w:rPr>
            </w:pPr>
            <w:r>
              <w:rPr>
                <w:color w:val="auto"/>
                <w:sz w:val="24"/>
                <w:szCs w:val="24"/>
                <w:u w:val="none" w:color="auto"/>
              </w:rPr>
              <w:t>②化学品使用及存储过程中存在的风险。</w:t>
            </w:r>
          </w:p>
          <w:p w14:paraId="2844CF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u w:val="none" w:color="auto"/>
              </w:rPr>
            </w:pPr>
            <w:r>
              <w:rPr>
                <w:color w:val="auto"/>
                <w:sz w:val="24"/>
                <w:szCs w:val="24"/>
                <w:u w:val="none" w:color="auto"/>
              </w:rPr>
              <w:t>③医疗废水事故排放</w:t>
            </w:r>
          </w:p>
          <w:p w14:paraId="1B7C90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u w:val="none" w:color="auto"/>
              </w:rPr>
            </w:pPr>
            <w:r>
              <w:rPr>
                <w:color w:val="auto"/>
                <w:sz w:val="24"/>
                <w:szCs w:val="24"/>
                <w:u w:val="none" w:color="auto"/>
              </w:rPr>
              <w:t>④易燃物质导致火灾次生环境污染事故</w:t>
            </w:r>
          </w:p>
          <w:p w14:paraId="6C1883C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color w:val="auto"/>
                <w:sz w:val="24"/>
                <w:szCs w:val="24"/>
                <w:u w:val="none" w:color="auto"/>
              </w:rPr>
            </w:pPr>
            <w:r>
              <w:rPr>
                <w:color w:val="auto"/>
                <w:sz w:val="24"/>
                <w:szCs w:val="24"/>
                <w:u w:val="none" w:color="auto"/>
              </w:rPr>
              <w:t>因此，本评价主要对医院营运期间可能存在的危险有害因素进行分析，并对可能发生的突发性事件提出合理的可行的防范、应急与减缓措施</w:t>
            </w:r>
          </w:p>
          <w:p w14:paraId="5ADBC6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color w:val="auto"/>
                <w:sz w:val="24"/>
                <w:szCs w:val="24"/>
                <w:u w:val="none" w:color="auto"/>
                <w:lang w:eastAsia="zh-CN"/>
              </w:rPr>
            </w:pPr>
            <w:r>
              <w:rPr>
                <w:rFonts w:hint="eastAsia" w:ascii="Times New Roman" w:hAnsi="Times New Roman" w:eastAsia="宋体" w:cs="Times New Roman"/>
                <w:color w:val="auto"/>
                <w:kern w:val="2"/>
                <w:sz w:val="24"/>
                <w:szCs w:val="24"/>
                <w:u w:val="none" w:color="auto"/>
                <w:lang w:val="en-US" w:eastAsia="zh-CN" w:bidi="ar-SA"/>
              </w:rPr>
              <w:t>（</w:t>
            </w:r>
            <w:r>
              <w:rPr>
                <w:rFonts w:hint="eastAsia" w:cs="Times New Roman"/>
                <w:color w:val="auto"/>
                <w:kern w:val="2"/>
                <w:sz w:val="24"/>
                <w:szCs w:val="24"/>
                <w:u w:val="none" w:color="auto"/>
                <w:lang w:val="en-US" w:eastAsia="zh-CN" w:bidi="ar-SA"/>
              </w:rPr>
              <w:t>3</w:t>
            </w:r>
            <w:r>
              <w:rPr>
                <w:rFonts w:hint="eastAsia" w:ascii="Times New Roman" w:hAnsi="Times New Roman" w:eastAsia="宋体" w:cs="Times New Roman"/>
                <w:color w:val="auto"/>
                <w:kern w:val="2"/>
                <w:sz w:val="24"/>
                <w:szCs w:val="24"/>
                <w:u w:val="none" w:color="auto"/>
                <w:lang w:val="en-US" w:eastAsia="zh-CN" w:bidi="ar-SA"/>
              </w:rPr>
              <w:t>）</w:t>
            </w:r>
            <w:r>
              <w:rPr>
                <w:rFonts w:hint="eastAsia"/>
                <w:color w:val="auto"/>
                <w:sz w:val="24"/>
                <w:szCs w:val="24"/>
                <w:u w:val="none" w:color="auto"/>
                <w:lang w:eastAsia="zh-CN"/>
              </w:rPr>
              <w:t>环境风险防范措施</w:t>
            </w:r>
          </w:p>
          <w:p w14:paraId="5671E46A">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b/>
                <w:bCs/>
                <w:color w:val="auto"/>
                <w:sz w:val="24"/>
                <w:szCs w:val="24"/>
                <w:u w:val="none" w:color="auto"/>
                <w:lang w:val="en-US" w:eastAsia="zh-CN"/>
              </w:rPr>
            </w:pPr>
            <w:r>
              <w:rPr>
                <w:rFonts w:hint="default"/>
                <w:b/>
                <w:bCs/>
                <w:color w:val="auto"/>
                <w:sz w:val="24"/>
                <w:szCs w:val="24"/>
                <w:u w:val="none" w:color="auto"/>
                <w:lang w:val="en-US" w:eastAsia="zh-CN"/>
              </w:rPr>
              <w:t>①医疗废物贮存和运输泄漏事故防范措施</w:t>
            </w:r>
          </w:p>
          <w:p w14:paraId="5871486A">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项目应当根据《医疗废物分类目录》，对医疗废物实施分类管理，应当按照以下要求，及时分类收集医疗废物；</w:t>
            </w:r>
          </w:p>
          <w:p w14:paraId="5160A8A4">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项目内医疗废物产生地点应当有医疗废物分类收集方法的示意图或者文字说明。</w:t>
            </w:r>
          </w:p>
          <w:p w14:paraId="0213C8F5">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盛装的医疗废物达到包装物或者容器的3/4时，应当使用有效的封口方式，使包装物或者容器的封口紧实、严密。</w:t>
            </w:r>
          </w:p>
          <w:p w14:paraId="6C5DB871">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包装物或者容器的外表面被感染性废物污染时，应当对被污染处进行消毒处理或者增加一层包装。</w:t>
            </w:r>
          </w:p>
          <w:p w14:paraId="009ED9F7">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盛装医疗废物的每个包装物、容器外表面应当有警示标识，在每个包装物、容器上应当系中文标签，中文标签的内容应当包括：医疗废物产生单位、产生日期、类别及需要的特别说明等。</w:t>
            </w:r>
          </w:p>
          <w:p w14:paraId="0A371441">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运送人员每天从医疗废物产生地点将分类包装的医疗废物按照规定的时间和路线运送至内部指定的暂时贮存地点；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w:t>
            </w:r>
          </w:p>
          <w:p w14:paraId="4B7C1283">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运送医疗废物应当使用防渗漏、防遗撒、无锐利边角、易于装卸和清洁的专用运送工具。每天运送工作结束后，应当对运送工具及时进行清洁和消毒。医院应当建立医疗废物暂时贮存设施、设备，不得露天存放医疗废物；医疗废物暂时贮存的时间不得超过2天。</w:t>
            </w:r>
          </w:p>
          <w:p w14:paraId="4D09316D">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医院建立的医疗废物暂时贮存设施、设备应当达到以下要求：医疗废物临时贮存间应按照《危险废物贮存污染控制标准》（GB18597-2023）的要求：地面与裙脚要用坚固、防渗的材料建造，建筑材料必须与危险废物不相容；必须有泄漏液体收集装置；不相容的危险废物必须分开存放，并设有隔离间隔断。用以存放装载液体、半固体危险废物容器的地方，必须有耐腐蚀的硬化地面，且表面无裂隙；贮存设施要防风、防雨、防晒；贮存设施都必须按规定设置警示标志</w:t>
            </w:r>
          </w:p>
          <w:p w14:paraId="3E3FE3A2">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医院应当将医疗废物交由取得县级以上人民政府环境保护行政主管部门许可的医疗废物集中处置单位处置，依照危险废物转移管理办法填写和保存转移联单。</w:t>
            </w:r>
          </w:p>
          <w:p w14:paraId="51E6A16B">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医院应当对医疗废物进行登记，登记内容应当包括医疗废物的来源、种类、重量或者数量、交接时间、最终去向以及经办人签名等项目。登记资料至少保存</w:t>
            </w:r>
            <w:r>
              <w:rPr>
                <w:rFonts w:hint="eastAsia"/>
                <w:color w:val="auto"/>
                <w:sz w:val="24"/>
                <w:szCs w:val="24"/>
                <w:u w:val="none" w:color="auto"/>
                <w:lang w:val="en-US" w:eastAsia="zh-CN"/>
              </w:rPr>
              <w:t>5</w:t>
            </w:r>
            <w:r>
              <w:rPr>
                <w:rFonts w:hint="default"/>
                <w:color w:val="auto"/>
                <w:sz w:val="24"/>
                <w:szCs w:val="24"/>
                <w:u w:val="none" w:color="auto"/>
                <w:lang w:val="en-US" w:eastAsia="zh-CN"/>
              </w:rPr>
              <w:t>年。</w:t>
            </w:r>
          </w:p>
          <w:p w14:paraId="224C03D5">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医疗废物转交出去后，应当对暂时贮存地点、设施及时进行清洁和消毒。</w:t>
            </w:r>
          </w:p>
          <w:p w14:paraId="3C31773A">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禁止项目及其工作人员转让、买卖医疗废物。禁止在非收集、非暂时贮存地点倾倒、堆放医疗废物，禁止将医疗废物混入</w:t>
            </w:r>
            <w:r>
              <w:rPr>
                <w:rFonts w:hint="eastAsia"/>
                <w:color w:val="auto"/>
                <w:sz w:val="24"/>
                <w:szCs w:val="24"/>
                <w:u w:val="none" w:color="auto"/>
                <w:lang w:val="en-US" w:eastAsia="zh-CN"/>
              </w:rPr>
              <w:t>其他</w:t>
            </w:r>
            <w:r>
              <w:rPr>
                <w:rFonts w:hint="default"/>
                <w:color w:val="auto"/>
                <w:sz w:val="24"/>
                <w:szCs w:val="24"/>
                <w:u w:val="none" w:color="auto"/>
                <w:lang w:val="en-US" w:eastAsia="zh-CN"/>
              </w:rPr>
              <w:t>废物和生活垃圾。</w:t>
            </w:r>
          </w:p>
          <w:p w14:paraId="53BFA10D">
            <w:pPr>
              <w:keepNext w:val="0"/>
              <w:keepLines w:val="0"/>
              <w:pageBreakBefore w:val="0"/>
              <w:widowControl w:val="0"/>
              <w:numPr>
                <w:ilvl w:val="0"/>
                <w:numId w:val="8"/>
              </w:numPr>
              <w:kinsoku/>
              <w:wordWrap/>
              <w:overflowPunct/>
              <w:topLinePunct w:val="0"/>
              <w:autoSpaceDE/>
              <w:autoSpaceDN/>
              <w:bidi w:val="0"/>
              <w:adjustRightInd/>
              <w:snapToGrid/>
              <w:spacing w:line="480" w:lineRule="exact"/>
              <w:ind w:left="0" w:leftChars="0" w:firstLine="480" w:firstLineChars="200"/>
              <w:textAlignment w:val="auto"/>
              <w:rPr>
                <w:rFonts w:hint="default"/>
                <w:color w:val="auto"/>
                <w:sz w:val="24"/>
                <w:szCs w:val="24"/>
                <w:u w:val="none" w:color="auto"/>
                <w:lang w:val="en-US" w:eastAsia="zh-CN"/>
              </w:rPr>
            </w:pPr>
            <w:r>
              <w:rPr>
                <w:rFonts w:hint="default"/>
                <w:color w:val="auto"/>
                <w:sz w:val="24"/>
                <w:szCs w:val="24"/>
                <w:u w:val="none" w:color="auto"/>
                <w:lang w:val="en-US" w:eastAsia="zh-CN"/>
              </w:rPr>
              <w:t>医疗卫生机构发生医疗废物流失、泄漏、扩散和意外事故时，应当按照以下要求及时采取紧急处理措施：①确定流失、泄漏、扩散的医疗废物的类别、数量、发生时间、影响范围及严重程度；②组织有关人员尽快按照应急方案，对发生医疗废物泄漏、扩散的现场进行处理；③对被医疗废物污染的区域进行处理时，应当尽可能减少对病人、医务人员、</w:t>
            </w:r>
            <w:r>
              <w:rPr>
                <w:rFonts w:hint="eastAsia"/>
                <w:color w:val="auto"/>
                <w:sz w:val="24"/>
                <w:szCs w:val="24"/>
                <w:u w:val="none" w:color="auto"/>
                <w:lang w:val="en-US" w:eastAsia="zh-CN"/>
              </w:rPr>
              <w:t>其他</w:t>
            </w:r>
            <w:r>
              <w:rPr>
                <w:rFonts w:hint="default"/>
                <w:color w:val="auto"/>
                <w:sz w:val="24"/>
                <w:szCs w:val="24"/>
                <w:u w:val="none" w:color="auto"/>
                <w:lang w:val="en-US" w:eastAsia="zh-CN"/>
              </w:rPr>
              <w:t>现场人员及环境的影响；④采取适当的安全处置措施，对泄漏物及受污染的区域、物品进行消毒或者其他无害化处置，必要时封锁污染区域，以防扩大污染；⑤对感染性废物污染区域进行消毒时，消毒工作从污染最轻区域向污染最严重区域进行，对可能被污染的所有使用过的工具也应当进行消毒；⑥工作人员应当做好卫生安全防护后进行工作。处理工作结束后，项目应当对事件的起因进行调查，并采取有效的防范措施预防类似事件的发生。</w:t>
            </w:r>
          </w:p>
          <w:p w14:paraId="07B2ED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②</w:t>
            </w:r>
            <w:r>
              <w:rPr>
                <w:rFonts w:hint="default" w:ascii="Times New Roman" w:hAnsi="Times New Roman" w:eastAsia="宋体" w:cs="Times New Roman"/>
                <w:b/>
                <w:bCs/>
                <w:color w:val="auto"/>
                <w:kern w:val="2"/>
                <w:sz w:val="24"/>
                <w:szCs w:val="24"/>
                <w:u w:val="none"/>
                <w:lang w:val="en-US" w:eastAsia="zh-CN" w:bidi="ar-SA"/>
              </w:rPr>
              <w:t>次氯酸钠（</w:t>
            </w:r>
            <w:r>
              <w:rPr>
                <w:rFonts w:hint="default" w:ascii="Times New Roman" w:hAnsi="Times New Roman" w:eastAsia="宋体" w:cs="Times New Roman"/>
                <w:b/>
                <w:bCs/>
                <w:color w:val="auto"/>
                <w:sz w:val="24"/>
                <w:szCs w:val="24"/>
                <w:u w:val="none"/>
                <w:lang w:val="en-US" w:eastAsia="zh-CN"/>
              </w:rPr>
              <w:t>84消毒液</w:t>
            </w:r>
            <w:r>
              <w:rPr>
                <w:rFonts w:hint="default" w:ascii="Times New Roman" w:hAnsi="Times New Roman" w:eastAsia="宋体" w:cs="Times New Roman"/>
                <w:b/>
                <w:bCs/>
                <w:color w:val="auto"/>
                <w:kern w:val="2"/>
                <w:sz w:val="24"/>
                <w:szCs w:val="24"/>
                <w:u w:val="none"/>
                <w:lang w:val="en-US" w:eastAsia="zh-CN" w:bidi="ar-SA"/>
              </w:rPr>
              <w:t>）</w:t>
            </w:r>
            <w:r>
              <w:rPr>
                <w:rFonts w:hint="default" w:ascii="Times New Roman" w:hAnsi="Times New Roman" w:eastAsia="宋体" w:cs="Times New Roman"/>
                <w:b/>
                <w:bCs/>
                <w:color w:val="auto"/>
                <w:sz w:val="24"/>
                <w:szCs w:val="24"/>
                <w:u w:val="none"/>
                <w:lang w:val="en-US" w:eastAsia="zh-CN"/>
              </w:rPr>
              <w:t>等化学品使用及存储过程中风险防范措施</w:t>
            </w:r>
          </w:p>
          <w:p w14:paraId="2860134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项目使用的化学品主要为</w:t>
            </w:r>
            <w:r>
              <w:rPr>
                <w:rFonts w:hint="default" w:ascii="Times New Roman" w:hAnsi="Times New Roman" w:eastAsia="宋体" w:cs="Times New Roman"/>
                <w:color w:val="auto"/>
                <w:kern w:val="2"/>
                <w:sz w:val="24"/>
                <w:szCs w:val="24"/>
                <w:u w:val="none"/>
                <w:lang w:val="en-US" w:eastAsia="zh-CN" w:bidi="ar-SA"/>
              </w:rPr>
              <w:t>次氯酸钠（</w:t>
            </w:r>
            <w:r>
              <w:rPr>
                <w:rFonts w:hint="default" w:ascii="Times New Roman" w:hAnsi="Times New Roman" w:eastAsia="宋体" w:cs="Times New Roman"/>
                <w:color w:val="auto"/>
                <w:sz w:val="24"/>
                <w:szCs w:val="24"/>
                <w:u w:val="none"/>
                <w:lang w:val="en-US" w:eastAsia="zh-CN"/>
              </w:rPr>
              <w:t>84消毒液），使用量较小且包装小，发生泄漏后及时清理对周边环境影响较小，建设单位应加强化学品的管理。</w:t>
            </w:r>
          </w:p>
          <w:p w14:paraId="6C2346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③医疗废水事故排放防范措施</w:t>
            </w:r>
          </w:p>
          <w:p w14:paraId="4AD20B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医院废水的事故排放，多为处理设施运行不稳定，或停止运行时出现的废水超标外排。因此，院方管理方应将医院污水处理设备的日常维护应纳入医院正常的设备维护管理工作。并根据工艺要求，定期对构筑物、设备、电气及自控仪表进行检查维护，确保处理设施稳定运行，提高污水处理设施的自动化程度，提高投药准确率和医疗污水处理站的处理效果，保证设备的正常运转率。</w:t>
            </w:r>
          </w:p>
          <w:p w14:paraId="28ACE716">
            <w:pPr>
              <w:keepNext w:val="0"/>
              <w:keepLines w:val="0"/>
              <w:pageBreakBefore w:val="0"/>
              <w:widowControl w:val="0"/>
              <w:kinsoku/>
              <w:wordWrap w:val="0"/>
              <w:overflowPunct/>
              <w:topLinePunct w:val="0"/>
              <w:autoSpaceDE w:val="0"/>
              <w:autoSpaceDN w:val="0"/>
              <w:bidi w:val="0"/>
              <w:adjustRightInd/>
              <w:snapToGrid/>
              <w:spacing w:line="480" w:lineRule="exact"/>
              <w:ind w:firstLine="482" w:firstLineChars="200"/>
              <w:jc w:val="both"/>
              <w:textAlignment w:val="auto"/>
              <w:rPr>
                <w:rFonts w:hint="default" w:ascii="Times New Roman" w:hAnsi="Times New Roman" w:eastAsia="宋体" w:cs="Times New Roman"/>
                <w:b/>
                <w:bCs/>
                <w:color w:val="auto"/>
                <w:kern w:val="2"/>
                <w:sz w:val="24"/>
                <w:szCs w:val="22"/>
                <w:u w:val="none"/>
                <w:lang w:val="en-US" w:eastAsia="zh-CN" w:bidi="ar-SA"/>
              </w:rPr>
            </w:pPr>
            <w:r>
              <w:rPr>
                <w:rFonts w:hint="default" w:ascii="Times New Roman" w:hAnsi="Times New Roman" w:eastAsia="宋体" w:cs="Times New Roman"/>
                <w:b/>
                <w:bCs/>
                <w:color w:val="auto"/>
                <w:kern w:val="2"/>
                <w:sz w:val="24"/>
                <w:szCs w:val="22"/>
                <w:u w:val="none"/>
                <w:lang w:val="en-US" w:eastAsia="zh-CN" w:bidi="ar-SA"/>
              </w:rPr>
              <w:t>④易燃物质导致火灾次生环境污染事故。</w:t>
            </w:r>
          </w:p>
          <w:p w14:paraId="7ECA1D45">
            <w:pPr>
              <w:keepNext w:val="0"/>
              <w:keepLines w:val="0"/>
              <w:pageBreakBefore w:val="0"/>
              <w:widowControl w:val="0"/>
              <w:kinsoku/>
              <w:wordWrap w:val="0"/>
              <w:overflowPunct/>
              <w:topLinePunct w:val="0"/>
              <w:autoSpaceDE w:val="0"/>
              <w:autoSpaceDN w:val="0"/>
              <w:bidi w:val="0"/>
              <w:adjustRightInd/>
              <w:snapToGrid/>
              <w:spacing w:line="480" w:lineRule="exact"/>
              <w:ind w:firstLine="480" w:firstLineChars="200"/>
              <w:jc w:val="both"/>
              <w:textAlignment w:val="auto"/>
              <w:rPr>
                <w:rFonts w:hint="default"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eastAsia="宋体" w:cs="Times New Roman"/>
                <w:color w:val="auto"/>
                <w:kern w:val="2"/>
                <w:sz w:val="24"/>
                <w:szCs w:val="24"/>
                <w:highlight w:val="none"/>
                <w:u w:val="none"/>
                <w:lang w:val="en-US" w:eastAsia="zh-CN" w:bidi="ar-SA"/>
              </w:rPr>
              <w:t>院内各楼栋分层布置有灭火器、消防栓及消防安全通道，布置有明确的消防平面疏散示意，确保火灾状态下厂内有充足的应对能力。</w:t>
            </w:r>
          </w:p>
          <w:p w14:paraId="6B7DFA99">
            <w:pPr>
              <w:pStyle w:val="3"/>
              <w:rPr>
                <w:rFonts w:hint="default"/>
                <w:color w:val="auto"/>
                <w:lang w:val="en-US" w:eastAsia="zh-CN"/>
              </w:rPr>
            </w:pPr>
          </w:p>
          <w:p w14:paraId="7F54EC0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b/>
                <w:bCs/>
                <w:color w:val="auto"/>
                <w:spacing w:val="0"/>
                <w:position w:val="0"/>
                <w:sz w:val="24"/>
                <w:szCs w:val="24"/>
                <w:u w:val="none" w:color="auto"/>
              </w:rPr>
            </w:pPr>
            <w:r>
              <w:rPr>
                <w:rFonts w:hint="eastAsia"/>
                <w:b/>
                <w:bCs/>
                <w:color w:val="auto"/>
                <w:spacing w:val="0"/>
                <w:position w:val="0"/>
                <w:sz w:val="24"/>
                <w:szCs w:val="24"/>
                <w:u w:val="none" w:color="auto"/>
                <w:lang w:val="en-US" w:eastAsia="zh-CN"/>
              </w:rPr>
              <w:t>8</w:t>
            </w:r>
            <w:r>
              <w:rPr>
                <w:rFonts w:ascii="Times New Roman" w:hAnsi="Times New Roman" w:eastAsia="宋体"/>
                <w:b/>
                <w:bCs/>
                <w:color w:val="auto"/>
                <w:sz w:val="24"/>
                <w:szCs w:val="24"/>
                <w:u w:val="none" w:color="auto"/>
              </w:rPr>
              <w:t>、</w:t>
            </w:r>
            <w:r>
              <w:rPr>
                <w:rFonts w:ascii="Times New Roman" w:hAnsi="Times New Roman" w:eastAsia="宋体"/>
                <w:b/>
                <w:bCs/>
                <w:color w:val="auto"/>
                <w:spacing w:val="0"/>
                <w:position w:val="0"/>
                <w:sz w:val="24"/>
                <w:szCs w:val="24"/>
                <w:u w:val="none" w:color="auto"/>
              </w:rPr>
              <w:t>项目环境保护投资估算</w:t>
            </w:r>
          </w:p>
          <w:p w14:paraId="59C963EA">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u w:val="none" w:color="auto"/>
              </w:rPr>
            </w:pPr>
            <w:r>
              <w:rPr>
                <w:rFonts w:ascii="Times New Roman" w:hAnsi="Times New Roman" w:eastAsia="宋体"/>
                <w:color w:val="auto"/>
                <w:spacing w:val="0"/>
                <w:position w:val="0"/>
                <w:sz w:val="24"/>
                <w:highlight w:val="none"/>
                <w:u w:val="none" w:color="auto"/>
              </w:rPr>
              <w:t>本工程总投资</w:t>
            </w:r>
            <w:r>
              <w:rPr>
                <w:rFonts w:hint="eastAsia"/>
                <w:color w:val="auto"/>
                <w:szCs w:val="21"/>
                <w:u w:val="none" w:color="auto"/>
                <w:lang w:val="en-US" w:eastAsia="zh-CN"/>
              </w:rPr>
              <w:t>374</w:t>
            </w:r>
            <w:r>
              <w:rPr>
                <w:rFonts w:ascii="Times New Roman" w:hAnsi="Times New Roman" w:eastAsia="宋体"/>
                <w:color w:val="auto"/>
                <w:spacing w:val="0"/>
                <w:position w:val="0"/>
                <w:sz w:val="24"/>
                <w:highlight w:val="none"/>
                <w:u w:val="none" w:color="auto"/>
              </w:rPr>
              <w:t>万元，项目环保总投资</w:t>
            </w:r>
            <w:r>
              <w:rPr>
                <w:rFonts w:hint="eastAsia" w:ascii="Times New Roman" w:hAnsi="Times New Roman"/>
                <w:color w:val="auto"/>
                <w:spacing w:val="0"/>
                <w:position w:val="0"/>
                <w:sz w:val="24"/>
                <w:highlight w:val="none"/>
                <w:u w:val="none" w:color="auto"/>
                <w:lang w:val="en-US" w:eastAsia="zh-CN"/>
              </w:rPr>
              <w:t>30</w:t>
            </w:r>
            <w:r>
              <w:rPr>
                <w:rFonts w:ascii="Times New Roman" w:hAnsi="Times New Roman" w:eastAsia="宋体"/>
                <w:color w:val="auto"/>
                <w:spacing w:val="0"/>
                <w:position w:val="0"/>
                <w:sz w:val="24"/>
                <w:highlight w:val="none"/>
                <w:u w:val="none" w:color="auto"/>
              </w:rPr>
              <w:t>万元</w:t>
            </w:r>
            <w:r>
              <w:rPr>
                <w:rFonts w:ascii="Times New Roman" w:hAnsi="Times New Roman" w:eastAsia="宋体"/>
                <w:color w:val="auto"/>
                <w:spacing w:val="0"/>
                <w:position w:val="0"/>
                <w:sz w:val="24"/>
                <w:u w:val="none" w:color="auto"/>
              </w:rPr>
              <w:t>，占总投资的</w:t>
            </w:r>
            <w:r>
              <w:rPr>
                <w:rFonts w:hint="eastAsia" w:ascii="Times New Roman" w:hAnsi="Times New Roman"/>
                <w:color w:val="auto"/>
                <w:spacing w:val="0"/>
                <w:position w:val="0"/>
                <w:sz w:val="24"/>
                <w:u w:val="none" w:color="auto"/>
                <w:lang w:val="en-US" w:eastAsia="zh-CN"/>
              </w:rPr>
              <w:t>8.02</w:t>
            </w:r>
            <w:r>
              <w:rPr>
                <w:rFonts w:ascii="Times New Roman" w:hAnsi="Times New Roman" w:eastAsia="宋体" w:cs="Times New Roman"/>
                <w:color w:val="auto"/>
                <w:spacing w:val="0"/>
                <w:position w:val="0"/>
                <w:sz w:val="24"/>
                <w:u w:val="none" w:color="auto"/>
              </w:rPr>
              <w:t>%</w:t>
            </w:r>
            <w:r>
              <w:rPr>
                <w:rFonts w:ascii="Times New Roman" w:hAnsi="Times New Roman" w:eastAsia="宋体"/>
                <w:color w:val="auto"/>
                <w:spacing w:val="0"/>
                <w:position w:val="0"/>
                <w:sz w:val="24"/>
                <w:u w:val="none" w:color="auto"/>
              </w:rPr>
              <w:t>，项目环保投资情况，见下表。</w:t>
            </w:r>
          </w:p>
          <w:p w14:paraId="45A64A5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b/>
                <w:bCs/>
                <w:color w:val="auto"/>
                <w:u w:val="none" w:color="auto"/>
              </w:rPr>
            </w:pPr>
            <w:r>
              <w:rPr>
                <w:rFonts w:ascii="Times New Roman" w:hAnsi="Times New Roman" w:eastAsia="宋体"/>
                <w:b/>
                <w:bCs/>
                <w:color w:val="auto"/>
                <w:u w:val="none" w:color="auto"/>
              </w:rPr>
              <w:t>表4-</w:t>
            </w:r>
            <w:r>
              <w:rPr>
                <w:rFonts w:hint="eastAsia"/>
                <w:b/>
                <w:bCs/>
                <w:color w:val="auto"/>
                <w:u w:val="none" w:color="auto"/>
                <w:lang w:val="en-US" w:eastAsia="zh-CN"/>
              </w:rPr>
              <w:t>18</w:t>
            </w:r>
            <w:r>
              <w:rPr>
                <w:rFonts w:ascii="Times New Roman" w:hAnsi="Times New Roman" w:eastAsia="宋体"/>
                <w:b/>
                <w:bCs/>
                <w:color w:val="auto"/>
                <w:u w:val="none" w:color="auto"/>
              </w:rPr>
              <w:t>项目环保投资情况一览表</w:t>
            </w:r>
          </w:p>
          <w:tbl>
            <w:tblPr>
              <w:tblStyle w:val="17"/>
              <w:tblpPr w:leftFromText="180" w:rightFromText="180" w:vertAnchor="text" w:horzAnchor="page" w:tblpX="100" w:tblpY="299"/>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602"/>
              <w:gridCol w:w="3376"/>
              <w:gridCol w:w="1366"/>
              <w:gridCol w:w="1937"/>
            </w:tblGrid>
            <w:tr w14:paraId="17C2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Align w:val="center"/>
                </w:tcPr>
                <w:p w14:paraId="4342DA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项目</w:t>
                  </w:r>
                </w:p>
              </w:tc>
              <w:tc>
                <w:tcPr>
                  <w:tcW w:w="827" w:type="pct"/>
                  <w:vAlign w:val="center"/>
                </w:tcPr>
                <w:p w14:paraId="64EA7A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污染源</w:t>
                  </w:r>
                </w:p>
              </w:tc>
              <w:tc>
                <w:tcPr>
                  <w:tcW w:w="1743" w:type="pct"/>
                  <w:vAlign w:val="center"/>
                </w:tcPr>
                <w:p w14:paraId="510594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环保措施</w:t>
                  </w:r>
                </w:p>
              </w:tc>
              <w:tc>
                <w:tcPr>
                  <w:tcW w:w="702" w:type="pct"/>
                  <w:vAlign w:val="center"/>
                </w:tcPr>
                <w:p w14:paraId="3996FDF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规模</w:t>
                  </w:r>
                </w:p>
              </w:tc>
              <w:tc>
                <w:tcPr>
                  <w:tcW w:w="1000" w:type="pct"/>
                  <w:vAlign w:val="center"/>
                </w:tcPr>
                <w:p w14:paraId="1DCF732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投资（万元）</w:t>
                  </w:r>
                </w:p>
              </w:tc>
            </w:tr>
            <w:tr w14:paraId="05FD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Align w:val="center"/>
                </w:tcPr>
                <w:p w14:paraId="474A85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废水治理</w:t>
                  </w:r>
                </w:p>
              </w:tc>
              <w:tc>
                <w:tcPr>
                  <w:tcW w:w="827" w:type="pct"/>
                  <w:vAlign w:val="center"/>
                </w:tcPr>
                <w:p w14:paraId="20A9BFA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废水</w:t>
                  </w:r>
                </w:p>
              </w:tc>
              <w:tc>
                <w:tcPr>
                  <w:tcW w:w="1743" w:type="pct"/>
                  <w:vAlign w:val="center"/>
                </w:tcPr>
                <w:p w14:paraId="5ED82B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配套污水处理站</w:t>
                  </w:r>
                </w:p>
              </w:tc>
              <w:tc>
                <w:tcPr>
                  <w:tcW w:w="702" w:type="pct"/>
                  <w:vAlign w:val="center"/>
                </w:tcPr>
                <w:p w14:paraId="05BFD99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rPr>
                    <w:t>1套</w:t>
                  </w:r>
                </w:p>
              </w:tc>
              <w:tc>
                <w:tcPr>
                  <w:tcW w:w="1000" w:type="pct"/>
                  <w:vAlign w:val="center"/>
                </w:tcPr>
                <w:p w14:paraId="31DAB6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18</w:t>
                  </w:r>
                </w:p>
              </w:tc>
            </w:tr>
            <w:tr w14:paraId="5096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restart"/>
                  <w:vAlign w:val="center"/>
                </w:tcPr>
                <w:p w14:paraId="220DF9C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废气治理</w:t>
                  </w:r>
                </w:p>
              </w:tc>
              <w:tc>
                <w:tcPr>
                  <w:tcW w:w="827" w:type="pct"/>
                  <w:vAlign w:val="center"/>
                </w:tcPr>
                <w:p w14:paraId="586C92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恶臭</w:t>
                  </w:r>
                </w:p>
              </w:tc>
              <w:tc>
                <w:tcPr>
                  <w:tcW w:w="1743" w:type="pct"/>
                  <w:vAlign w:val="center"/>
                </w:tcPr>
                <w:p w14:paraId="396B31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污水处理站加盖密闭+除臭</w:t>
                  </w:r>
                </w:p>
              </w:tc>
              <w:tc>
                <w:tcPr>
                  <w:tcW w:w="702" w:type="pct"/>
                  <w:vAlign w:val="center"/>
                </w:tcPr>
                <w:p w14:paraId="16D27CC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rPr>
                    <w:t>1套</w:t>
                  </w:r>
                </w:p>
              </w:tc>
              <w:tc>
                <w:tcPr>
                  <w:tcW w:w="1000" w:type="pct"/>
                  <w:vAlign w:val="center"/>
                </w:tcPr>
                <w:p w14:paraId="5E8CD61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1.5</w:t>
                  </w:r>
                </w:p>
              </w:tc>
            </w:tr>
            <w:tr w14:paraId="73E2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continue"/>
                  <w:vAlign w:val="center"/>
                </w:tcPr>
                <w:p w14:paraId="5EA632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p>
              </w:tc>
              <w:tc>
                <w:tcPr>
                  <w:tcW w:w="827" w:type="pct"/>
                  <w:vAlign w:val="center"/>
                </w:tcPr>
                <w:p w14:paraId="5453765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食堂油烟</w:t>
                  </w:r>
                </w:p>
              </w:tc>
              <w:tc>
                <w:tcPr>
                  <w:tcW w:w="1743" w:type="pct"/>
                  <w:vAlign w:val="center"/>
                </w:tcPr>
                <w:p w14:paraId="0A5CBBE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val="en-US" w:eastAsia="zh-CN"/>
                    </w:rPr>
                    <w:t>油烟净化器+食堂屋顶高排气筒</w:t>
                  </w:r>
                </w:p>
              </w:tc>
              <w:tc>
                <w:tcPr>
                  <w:tcW w:w="702" w:type="pct"/>
                  <w:vAlign w:val="center"/>
                </w:tcPr>
                <w:p w14:paraId="49D9043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rPr>
                    <w:t>1套</w:t>
                  </w:r>
                </w:p>
              </w:tc>
              <w:tc>
                <w:tcPr>
                  <w:tcW w:w="1000" w:type="pct"/>
                  <w:vAlign w:val="center"/>
                </w:tcPr>
                <w:p w14:paraId="44CBDB0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2</w:t>
                  </w:r>
                </w:p>
              </w:tc>
            </w:tr>
            <w:tr w14:paraId="547A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Align w:val="center"/>
                </w:tcPr>
                <w:p w14:paraId="3D93888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噪声治理</w:t>
                  </w:r>
                </w:p>
              </w:tc>
              <w:tc>
                <w:tcPr>
                  <w:tcW w:w="827" w:type="pct"/>
                  <w:vAlign w:val="center"/>
                </w:tcPr>
                <w:p w14:paraId="41A9CD1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设备噪声</w:t>
                  </w:r>
                </w:p>
              </w:tc>
              <w:tc>
                <w:tcPr>
                  <w:tcW w:w="2446" w:type="pct"/>
                  <w:gridSpan w:val="2"/>
                  <w:vAlign w:val="center"/>
                </w:tcPr>
                <w:p w14:paraId="5D90DE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隔声、减振处理，首选低噪设备，并进行合理放置，严格生产作业管理</w:t>
                  </w:r>
                </w:p>
              </w:tc>
              <w:tc>
                <w:tcPr>
                  <w:tcW w:w="1000" w:type="pct"/>
                  <w:vAlign w:val="center"/>
                </w:tcPr>
                <w:p w14:paraId="0B9674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5</w:t>
                  </w:r>
                </w:p>
              </w:tc>
            </w:tr>
            <w:tr w14:paraId="20BB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pct"/>
                  <w:vMerge w:val="restart"/>
                  <w:vAlign w:val="center"/>
                </w:tcPr>
                <w:p w14:paraId="033CF5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固废治理</w:t>
                  </w:r>
                </w:p>
              </w:tc>
              <w:tc>
                <w:tcPr>
                  <w:tcW w:w="827" w:type="pct"/>
                  <w:vAlign w:val="center"/>
                </w:tcPr>
                <w:p w14:paraId="74214B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生活垃圾</w:t>
                  </w:r>
                </w:p>
              </w:tc>
              <w:tc>
                <w:tcPr>
                  <w:tcW w:w="1743" w:type="pct"/>
                  <w:vAlign w:val="center"/>
                </w:tcPr>
                <w:p w14:paraId="48CD3B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生活垃圾收集箱</w:t>
                  </w:r>
                </w:p>
              </w:tc>
              <w:tc>
                <w:tcPr>
                  <w:tcW w:w="702" w:type="pct"/>
                  <w:vAlign w:val="center"/>
                </w:tcPr>
                <w:p w14:paraId="3D9F61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若干</w:t>
                  </w:r>
                </w:p>
              </w:tc>
              <w:tc>
                <w:tcPr>
                  <w:tcW w:w="1000" w:type="pct"/>
                  <w:vAlign w:val="center"/>
                </w:tcPr>
                <w:p w14:paraId="21438A6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0.5</w:t>
                  </w:r>
                </w:p>
              </w:tc>
            </w:tr>
            <w:tr w14:paraId="64FF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24" w:type="pct"/>
                  <w:vMerge w:val="continue"/>
                  <w:vAlign w:val="center"/>
                </w:tcPr>
                <w:p w14:paraId="23C7C0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p>
              </w:tc>
              <w:tc>
                <w:tcPr>
                  <w:tcW w:w="827" w:type="pct"/>
                  <w:vAlign w:val="center"/>
                </w:tcPr>
                <w:p w14:paraId="40C0CDF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rPr>
                    <w:t>危险废物</w:t>
                  </w:r>
                </w:p>
              </w:tc>
              <w:tc>
                <w:tcPr>
                  <w:tcW w:w="1743" w:type="pct"/>
                  <w:vAlign w:val="center"/>
                </w:tcPr>
                <w:p w14:paraId="4C907A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eastAsia="zh-CN"/>
                    </w:rPr>
                  </w:pPr>
                  <w:r>
                    <w:rPr>
                      <w:rFonts w:hint="default" w:ascii="Times New Roman" w:hAnsi="Times New Roman" w:eastAsia="宋体" w:cs="Times New Roman"/>
                      <w:color w:val="auto"/>
                      <w:szCs w:val="24"/>
                      <w:lang w:eastAsia="zh-CN"/>
                    </w:rPr>
                    <w:t>医疗</w:t>
                  </w:r>
                  <w:r>
                    <w:rPr>
                      <w:rFonts w:hint="default" w:ascii="Times New Roman" w:hAnsi="Times New Roman" w:eastAsia="宋体" w:cs="Times New Roman"/>
                      <w:color w:val="auto"/>
                      <w:szCs w:val="24"/>
                    </w:rPr>
                    <w:t>废物暂存间</w:t>
                  </w:r>
                </w:p>
              </w:tc>
              <w:tc>
                <w:tcPr>
                  <w:tcW w:w="702" w:type="pct"/>
                  <w:vAlign w:val="center"/>
                </w:tcPr>
                <w:p w14:paraId="5E9620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一个</w:t>
                  </w:r>
                </w:p>
              </w:tc>
              <w:tc>
                <w:tcPr>
                  <w:tcW w:w="1000" w:type="pct"/>
                  <w:vAlign w:val="center"/>
                </w:tcPr>
                <w:p w14:paraId="37B4884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3</w:t>
                  </w:r>
                </w:p>
              </w:tc>
            </w:tr>
            <w:tr w14:paraId="7CB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9" w:type="pct"/>
                  <w:gridSpan w:val="4"/>
                  <w:vAlign w:val="center"/>
                </w:tcPr>
                <w:p w14:paraId="7D4824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合计</w:t>
                  </w:r>
                </w:p>
              </w:tc>
              <w:tc>
                <w:tcPr>
                  <w:tcW w:w="1000" w:type="pct"/>
                  <w:vAlign w:val="center"/>
                </w:tcPr>
                <w:p w14:paraId="363B7A2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30</w:t>
                  </w:r>
                </w:p>
              </w:tc>
            </w:tr>
          </w:tbl>
          <w:p w14:paraId="77868927">
            <w:pPr>
              <w:pStyle w:val="6"/>
              <w:rPr>
                <w:color w:val="auto"/>
              </w:rPr>
            </w:pPr>
          </w:p>
          <w:p w14:paraId="4D32750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color w:val="auto"/>
                <w:sz w:val="24"/>
                <w:szCs w:val="24"/>
                <w:u w:val="none" w:color="auto"/>
                <w:lang w:val="en-US" w:eastAsia="zh-CN"/>
              </w:rPr>
            </w:pPr>
            <w:r>
              <w:rPr>
                <w:rFonts w:hint="eastAsia" w:eastAsia="宋体"/>
                <w:b/>
                <w:bCs/>
                <w:color w:val="auto"/>
                <w:sz w:val="24"/>
                <w:szCs w:val="24"/>
                <w:u w:val="none" w:color="auto"/>
                <w:lang w:val="en-US" w:eastAsia="zh-CN"/>
              </w:rPr>
              <w:t>9</w:t>
            </w:r>
            <w:r>
              <w:rPr>
                <w:rFonts w:ascii="Times New Roman" w:hAnsi="Times New Roman" w:eastAsia="宋体"/>
                <w:b/>
                <w:bCs/>
                <w:color w:val="auto"/>
                <w:sz w:val="24"/>
                <w:szCs w:val="24"/>
                <w:u w:val="none" w:color="auto"/>
              </w:rPr>
              <w:t>、</w:t>
            </w:r>
            <w:r>
              <w:rPr>
                <w:rFonts w:hint="eastAsia"/>
                <w:b/>
                <w:bCs/>
                <w:color w:val="auto"/>
                <w:sz w:val="24"/>
                <w:szCs w:val="24"/>
                <w:u w:val="none" w:color="auto"/>
                <w:lang w:val="en-US" w:eastAsia="zh-CN"/>
              </w:rPr>
              <w:t>排污许可管理要求</w:t>
            </w:r>
          </w:p>
          <w:p w14:paraId="2B5032CB">
            <w:pPr>
              <w:pStyle w:val="8"/>
              <w:keepNext w:val="0"/>
              <w:keepLines/>
              <w:pageBreakBefore w:val="0"/>
              <w:widowControl/>
              <w:kinsoku/>
              <w:wordWrap/>
              <w:bidi w:val="0"/>
              <w:snapToGrid w:val="0"/>
              <w:spacing w:after="0" w:line="360" w:lineRule="auto"/>
              <w:ind w:left="0" w:leftChars="0" w:firstLine="480" w:firstLineChars="200"/>
              <w:rPr>
                <w:rFonts w:hint="eastAsia"/>
                <w:color w:val="auto"/>
                <w:lang w:val="en-US" w:eastAsia="zh-CN"/>
              </w:rPr>
            </w:pPr>
            <w:r>
              <w:rPr>
                <w:rFonts w:hint="eastAsia"/>
                <w:color w:val="auto"/>
                <w:lang w:val="en-US" w:eastAsia="zh-CN"/>
              </w:rPr>
              <w:t>根据《建设项目环境影响评价分类管理名录》(2021年版)，本项目属于“四十九、卫生 108、基层医疗卫生服务 842”，不在《固定污染源排污许可分类管理名录（2019 版）》“四十九、卫生84”中，也不在“五十一、通用工序”范围内，本项目不需要纳入排污许可管理。均实行排污许可登记管理。实行登记管理的排污单位，不需要申请取得排污许可证，应当在全国排污许可证管理信息平台填报排污登记表，登记基本信息、污染物排放去向、执行的污染物排放标准以及采取的行染防治措施等信息。</w:t>
            </w:r>
          </w:p>
          <w:p w14:paraId="5E5262B1">
            <w:pPr>
              <w:keepNext w:val="0"/>
              <w:keepLines/>
              <w:pageBreakBefore w:val="0"/>
              <w:widowControl/>
              <w:kinsoku/>
              <w:wordWrap/>
              <w:bidi w:val="0"/>
              <w:adjustRightInd w:val="0"/>
              <w:snapToGrid w:val="0"/>
              <w:spacing w:line="271" w:lineRule="auto"/>
              <w:ind w:firstLine="422" w:firstLineChars="200"/>
              <w:jc w:val="center"/>
              <w:rPr>
                <w:rFonts w:hint="eastAsia" w:ascii="Times New Roman" w:hAnsi="Times New Roman" w:eastAsia="宋体" w:cs="Times New Roman"/>
                <w:b/>
                <w:color w:val="auto"/>
                <w:szCs w:val="21"/>
                <w:u w:val="none"/>
                <w:lang w:val="en-US" w:eastAsia="zh-CN"/>
              </w:rPr>
            </w:pPr>
          </w:p>
          <w:p w14:paraId="5AEACDCB">
            <w:pPr>
              <w:keepNext w:val="0"/>
              <w:keepLines/>
              <w:pageBreakBefore w:val="0"/>
              <w:widowControl/>
              <w:kinsoku/>
              <w:wordWrap/>
              <w:bidi w:val="0"/>
              <w:adjustRightInd w:val="0"/>
              <w:snapToGrid w:val="0"/>
              <w:spacing w:line="271" w:lineRule="auto"/>
              <w:ind w:firstLine="422" w:firstLineChars="200"/>
              <w:jc w:val="center"/>
              <w:rPr>
                <w:rFonts w:hint="eastAsia" w:ascii="Times New Roman" w:hAnsi="Times New Roman" w:eastAsia="宋体" w:cs="Times New Roman"/>
                <w:b/>
                <w:color w:val="auto"/>
                <w:szCs w:val="21"/>
                <w:u w:val="none"/>
                <w:lang w:val="en-US" w:eastAsia="zh-CN"/>
              </w:rPr>
            </w:pPr>
            <w:r>
              <w:rPr>
                <w:rFonts w:hint="eastAsia" w:ascii="Times New Roman" w:hAnsi="Times New Roman" w:eastAsia="宋体" w:cs="Times New Roman"/>
                <w:b/>
                <w:color w:val="auto"/>
                <w:szCs w:val="21"/>
                <w:u w:val="none"/>
                <w:lang w:val="en-US" w:eastAsia="zh-CN"/>
              </w:rPr>
              <w:t>表 4-1</w:t>
            </w:r>
            <w:r>
              <w:rPr>
                <w:rFonts w:hint="eastAsia" w:cs="Times New Roman"/>
                <w:b/>
                <w:color w:val="auto"/>
                <w:szCs w:val="21"/>
                <w:u w:val="none"/>
                <w:lang w:val="en-US" w:eastAsia="zh-CN"/>
              </w:rPr>
              <w:t>9</w:t>
            </w:r>
            <w:r>
              <w:rPr>
                <w:rFonts w:hint="eastAsia" w:ascii="Times New Roman" w:hAnsi="Times New Roman" w:eastAsia="宋体" w:cs="Times New Roman"/>
                <w:b/>
                <w:color w:val="auto"/>
                <w:szCs w:val="21"/>
                <w:u w:val="none"/>
                <w:lang w:val="en-US" w:eastAsia="zh-CN"/>
              </w:rPr>
              <w:t>污染物排放信息</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4113"/>
              <w:gridCol w:w="3650"/>
            </w:tblGrid>
            <w:tr w14:paraId="63B4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000" w:type="pct"/>
                  <w:gridSpan w:val="3"/>
                  <w:noWrap w:val="0"/>
                  <w:vAlign w:val="top"/>
                </w:tcPr>
                <w:p w14:paraId="7B608A10">
                  <w:pPr>
                    <w:keepNext w:val="0"/>
                    <w:keepLines/>
                    <w:pageBreakBefore w:val="0"/>
                    <w:widowControl/>
                    <w:suppressLineNumbers w:val="0"/>
                    <w:kinsoku/>
                    <w:wordWrap w:val="0"/>
                    <w:overflowPunct/>
                    <w:topLinePunct/>
                    <w:autoSpaceDE/>
                    <w:autoSpaceDN/>
                    <w:bidi w:val="0"/>
                    <w:adjustRightInd/>
                    <w:snapToGrid w:val="0"/>
                    <w:jc w:val="center"/>
                    <w:textAlignment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color w:val="auto"/>
                      <w:kern w:val="0"/>
                      <w:sz w:val="24"/>
                      <w:szCs w:val="20"/>
                      <w:lang w:val="en-US" w:eastAsia="zh-CN" w:bidi="ar-SA"/>
                    </w:rPr>
                    <w:t xml:space="preserve">废气  </w:t>
                  </w:r>
                  <w:r>
                    <w:rPr>
                      <w:rFonts w:hint="eastAsia" w:ascii="Times New Roman" w:hAnsi="Times New Roman" w:eastAsia="宋体" w:cs="Times New Roman"/>
                      <w:color w:val="auto"/>
                      <w:kern w:val="0"/>
                      <w:sz w:val="36"/>
                      <w:szCs w:val="24"/>
                      <w:lang w:val="en-US" w:eastAsia="zh-CN" w:bidi="ar-SA"/>
                    </w:rPr>
                    <w:t xml:space="preserve"> </w:t>
                  </w:r>
                  <w:r>
                    <w:rPr>
                      <w:rFonts w:hint="default" w:ascii="Times New Roman" w:hAnsi="Times New Roman" w:eastAsia="宋体" w:cs="Times New Roman"/>
                      <w:b w:val="0"/>
                      <w:bCs w:val="0"/>
                      <w:color w:val="auto"/>
                      <w:kern w:val="0"/>
                      <w:sz w:val="36"/>
                      <w:szCs w:val="24"/>
                      <w:vertAlign w:val="baseline"/>
                      <w:lang w:val="en-US" w:eastAsia="zh-CN" w:bidi="ar-SA"/>
                    </w:rPr>
                    <w:sym w:font="Wingdings" w:char="00FE"/>
                  </w:r>
                  <w:r>
                    <w:rPr>
                      <w:rFonts w:hint="eastAsia" w:ascii="Times New Roman" w:hAnsi="Times New Roman" w:eastAsia="宋体" w:cs="Times New Roman"/>
                      <w:color w:val="auto"/>
                      <w:kern w:val="0"/>
                      <w:sz w:val="24"/>
                      <w:szCs w:val="20"/>
                      <w:lang w:val="en-US" w:eastAsia="zh-CN" w:bidi="ar-SA"/>
                    </w:rPr>
                    <w:t xml:space="preserve">有组织排放     </w:t>
                  </w:r>
                  <w:r>
                    <w:rPr>
                      <w:rFonts w:hint="eastAsia" w:ascii="Times New Roman" w:eastAsia="宋体"/>
                      <w:color w:val="auto"/>
                      <w:sz w:val="32"/>
                      <w:szCs w:val="40"/>
                      <w:lang w:val="en-US" w:eastAsia="zh-CN"/>
                    </w:rPr>
                    <w:sym w:font="Wingdings" w:char="00FE"/>
                  </w:r>
                  <w:r>
                    <w:rPr>
                      <w:rFonts w:hint="eastAsia" w:ascii="Times New Roman" w:hAnsi="Times New Roman" w:eastAsia="宋体" w:cs="Times New Roman"/>
                      <w:color w:val="auto"/>
                      <w:kern w:val="0"/>
                      <w:sz w:val="24"/>
                      <w:szCs w:val="20"/>
                      <w:lang w:val="en-US" w:eastAsia="zh-CN" w:bidi="ar-SA"/>
                    </w:rPr>
                    <w:t xml:space="preserve">无组织排放     </w:t>
                  </w:r>
                  <w:r>
                    <w:rPr>
                      <w:rFonts w:hint="eastAsia"/>
                      <w:color w:val="auto"/>
                      <w:sz w:val="36"/>
                      <w:szCs w:val="44"/>
                      <w:lang w:val="en-US" w:eastAsia="zh-CN"/>
                    </w:rPr>
                    <w:sym w:font="Wingdings" w:char="00A8"/>
                  </w:r>
                  <w:r>
                    <w:rPr>
                      <w:rFonts w:hint="eastAsia" w:ascii="Times New Roman" w:hAnsi="Times New Roman" w:eastAsia="宋体" w:cs="Times New Roman"/>
                      <w:color w:val="auto"/>
                      <w:kern w:val="0"/>
                      <w:sz w:val="24"/>
                      <w:szCs w:val="20"/>
                      <w:lang w:val="en-US" w:eastAsia="zh-CN" w:bidi="ar-SA"/>
                    </w:rPr>
                    <w:t>无</w:t>
                  </w:r>
                </w:p>
              </w:tc>
            </w:tr>
            <w:tr w14:paraId="5FEE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AEFEC96">
                  <w:pPr>
                    <w:keepNext w:val="0"/>
                    <w:keepLines/>
                    <w:pageBreakBefore w:val="0"/>
                    <w:widowControl/>
                    <w:suppressLineNumbers w:val="0"/>
                    <w:kinsoku/>
                    <w:wordWrap/>
                    <w:bidi w:val="0"/>
                    <w:jc w:val="center"/>
                    <w:textAlignment w:val="center"/>
                    <w:rPr>
                      <w:rFonts w:hint="default" w:ascii="Times New Roman" w:hAnsi="Times New Roman" w:eastAsia="宋体" w:cs="Times New Roman"/>
                      <w:b/>
                      <w:bCs/>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废气污染治理设施</w:t>
                  </w:r>
                </w:p>
              </w:tc>
              <w:tc>
                <w:tcPr>
                  <w:tcW w:w="2122" w:type="pct"/>
                  <w:noWrap w:val="0"/>
                  <w:vAlign w:val="top"/>
                </w:tcPr>
                <w:p w14:paraId="36CCBB4D">
                  <w:pPr>
                    <w:keepNext w:val="0"/>
                    <w:keepLines/>
                    <w:pageBreakBefore w:val="0"/>
                    <w:widowControl/>
                    <w:suppressLineNumbers w:val="0"/>
                    <w:kinsoku/>
                    <w:wordWrap/>
                    <w:bidi w:val="0"/>
                    <w:jc w:val="center"/>
                    <w:textAlignment w:val="center"/>
                    <w:rPr>
                      <w:rFonts w:hint="default" w:ascii="Times New Roman" w:hAnsi="Times New Roman" w:eastAsia="宋体" w:cs="Times New Roman"/>
                      <w:b/>
                      <w:bCs/>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治理工艺</w:t>
                  </w:r>
                </w:p>
              </w:tc>
              <w:tc>
                <w:tcPr>
                  <w:tcW w:w="1882" w:type="pct"/>
                  <w:noWrap w:val="0"/>
                  <w:vAlign w:val="top"/>
                </w:tcPr>
                <w:p w14:paraId="66CC5695">
                  <w:pPr>
                    <w:keepNext w:val="0"/>
                    <w:keepLines/>
                    <w:pageBreakBefore w:val="0"/>
                    <w:widowControl/>
                    <w:suppressLineNumbers w:val="0"/>
                    <w:kinsoku/>
                    <w:wordWrap/>
                    <w:bidi w:val="0"/>
                    <w:jc w:val="center"/>
                    <w:textAlignment w:val="center"/>
                    <w:rPr>
                      <w:rFonts w:hint="default" w:ascii="Times New Roman" w:hAnsi="Times New Roman" w:eastAsia="宋体" w:cs="Times New Roman"/>
                      <w:b/>
                      <w:bCs/>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数量</w:t>
                  </w:r>
                </w:p>
              </w:tc>
            </w:tr>
            <w:tr w14:paraId="47BC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0C432196">
                  <w:pPr>
                    <w:keepNext w:val="0"/>
                    <w:keepLines/>
                    <w:pageBreakBefore w:val="0"/>
                    <w:widowControl/>
                    <w:suppressLineNumbers w:val="0"/>
                    <w:kinsoku/>
                    <w:wordWrap/>
                    <w:bidi w:val="0"/>
                    <w:jc w:val="center"/>
                    <w:textAlignment w:val="center"/>
                    <w:rPr>
                      <w:rFonts w:hint="eastAsia" w:ascii="Times New Roman" w:hAnsi="Times New Roman" w:eastAsia="宋体" w:cs="Times New Roman"/>
                      <w:snapToGrid w:val="0"/>
                      <w:color w:val="auto"/>
                      <w:kern w:val="0"/>
                      <w:sz w:val="21"/>
                      <w:szCs w:val="21"/>
                      <w:lang w:val="en-US" w:eastAsia="zh-CN"/>
                    </w:rPr>
                  </w:pPr>
                  <w:r>
                    <w:rPr>
                      <w:rFonts w:hint="eastAsia"/>
                      <w:color w:val="auto"/>
                      <w:szCs w:val="21"/>
                    </w:rPr>
                    <w:t>油烟废气</w:t>
                  </w:r>
                </w:p>
              </w:tc>
              <w:tc>
                <w:tcPr>
                  <w:tcW w:w="2122" w:type="pct"/>
                  <w:noWrap w:val="0"/>
                  <w:vAlign w:val="center"/>
                </w:tcPr>
                <w:p w14:paraId="752675C6">
                  <w:pPr>
                    <w:keepNext w:val="0"/>
                    <w:keepLines/>
                    <w:pageBreakBefore w:val="0"/>
                    <w:widowControl/>
                    <w:kinsoku/>
                    <w:wordWrap/>
                    <w:bidi w:val="0"/>
                    <w:jc w:val="center"/>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4"/>
                      <w:lang w:val="en-US" w:eastAsia="zh-CN"/>
                    </w:rPr>
                    <w:t>油烟净化器+食堂屋顶高排气筒</w:t>
                  </w:r>
                </w:p>
              </w:tc>
              <w:tc>
                <w:tcPr>
                  <w:tcW w:w="1882" w:type="pct"/>
                  <w:noWrap w:val="0"/>
                  <w:vAlign w:val="top"/>
                </w:tcPr>
                <w:p w14:paraId="1A3EC88B">
                  <w:pPr>
                    <w:keepNext w:val="0"/>
                    <w:keepLines/>
                    <w:pageBreakBefore w:val="0"/>
                    <w:widowControl/>
                    <w:suppressLineNumbers w:val="0"/>
                    <w:kinsoku/>
                    <w:wordWrap/>
                    <w:bidi w:val="0"/>
                    <w:jc w:val="center"/>
                    <w:textAlignment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snapToGrid w:val="0"/>
                      <w:color w:val="auto"/>
                      <w:kern w:val="0"/>
                      <w:sz w:val="21"/>
                      <w:szCs w:val="21"/>
                      <w:lang w:val="en-US" w:eastAsia="zh-CN"/>
                    </w:rPr>
                    <w:t>1</w:t>
                  </w:r>
                </w:p>
              </w:tc>
            </w:tr>
            <w:tr w14:paraId="5BD3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5A5CD0DD">
                  <w:pPr>
                    <w:keepNext w:val="0"/>
                    <w:keepLines/>
                    <w:pageBreakBefore w:val="0"/>
                    <w:widowControl/>
                    <w:suppressLineNumbers w:val="0"/>
                    <w:kinsoku/>
                    <w:wordWrap/>
                    <w:bidi w:val="0"/>
                    <w:jc w:val="center"/>
                    <w:textAlignment w:val="center"/>
                    <w:rPr>
                      <w:rFonts w:hint="eastAsia" w:ascii="Times New Roman" w:hAnsi="Times New Roman" w:eastAsia="宋体" w:cs="Times New Roman"/>
                      <w:snapToGrid w:val="0"/>
                      <w:color w:val="auto"/>
                      <w:kern w:val="0"/>
                      <w:sz w:val="21"/>
                      <w:szCs w:val="21"/>
                      <w:lang w:val="en-US" w:eastAsia="zh-CN"/>
                    </w:rPr>
                  </w:pPr>
                  <w:r>
                    <w:rPr>
                      <w:rFonts w:hint="eastAsia"/>
                      <w:color w:val="auto"/>
                      <w:lang w:eastAsia="zh-CN"/>
                    </w:rPr>
                    <w:t>污水处理站无组织废气</w:t>
                  </w:r>
                </w:p>
              </w:tc>
              <w:tc>
                <w:tcPr>
                  <w:tcW w:w="2122" w:type="pct"/>
                  <w:noWrap w:val="0"/>
                  <w:vAlign w:val="top"/>
                </w:tcPr>
                <w:p w14:paraId="2E3FF3C5">
                  <w:pPr>
                    <w:keepNext w:val="0"/>
                    <w:keepLines/>
                    <w:pageBreakBefore w:val="0"/>
                    <w:widowControl/>
                    <w:kinsoku/>
                    <w:wordWrap/>
                    <w:bidi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设备一体封闭</w:t>
                  </w:r>
                </w:p>
              </w:tc>
              <w:tc>
                <w:tcPr>
                  <w:tcW w:w="1882" w:type="pct"/>
                  <w:noWrap w:val="0"/>
                  <w:vAlign w:val="top"/>
                </w:tcPr>
                <w:p w14:paraId="3CF83D1F">
                  <w:pPr>
                    <w:keepNext w:val="0"/>
                    <w:keepLines/>
                    <w:pageBreakBefore w:val="0"/>
                    <w:widowControl/>
                    <w:suppressLineNumbers w:val="0"/>
                    <w:kinsoku/>
                    <w:wordWrap/>
                    <w:bidi w:val="0"/>
                    <w:jc w:val="center"/>
                    <w:textAlignment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snapToGrid w:val="0"/>
                      <w:color w:val="auto"/>
                      <w:kern w:val="0"/>
                      <w:sz w:val="21"/>
                      <w:szCs w:val="21"/>
                      <w:lang w:val="en-US" w:eastAsia="zh-CN"/>
                    </w:rPr>
                    <w:t>/</w:t>
                  </w:r>
                </w:p>
              </w:tc>
            </w:tr>
            <w:tr w14:paraId="2070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0874EC18">
                  <w:pPr>
                    <w:keepNext w:val="0"/>
                    <w:keepLines/>
                    <w:pageBreakBefore w:val="0"/>
                    <w:widowControl/>
                    <w:suppressLineNumbers w:val="0"/>
                    <w:kinsoku/>
                    <w:wordWrap/>
                    <w:bidi w:val="0"/>
                    <w:jc w:val="center"/>
                    <w:textAlignment w:val="center"/>
                    <w:rPr>
                      <w:rFonts w:hint="eastAsia"/>
                      <w:b/>
                      <w:bCs/>
                      <w:color w:val="auto"/>
                      <w:szCs w:val="21"/>
                      <w:lang w:val="en-US" w:eastAsia="zh-CN"/>
                    </w:rPr>
                  </w:pPr>
                  <w:r>
                    <w:rPr>
                      <w:rFonts w:hint="eastAsia"/>
                      <w:b/>
                      <w:bCs/>
                      <w:color w:val="auto"/>
                      <w:szCs w:val="21"/>
                      <w:lang w:val="en-US" w:eastAsia="zh-CN"/>
                    </w:rPr>
                    <w:t>排放口名称</w:t>
                  </w:r>
                </w:p>
              </w:tc>
              <w:tc>
                <w:tcPr>
                  <w:tcW w:w="2122" w:type="pct"/>
                  <w:noWrap w:val="0"/>
                  <w:vAlign w:val="top"/>
                </w:tcPr>
                <w:p w14:paraId="4AD3058B">
                  <w:pPr>
                    <w:keepNext w:val="0"/>
                    <w:keepLines/>
                    <w:pageBreakBefore w:val="0"/>
                    <w:widowControl/>
                    <w:kinsoku/>
                    <w:wordWrap/>
                    <w:bidi w:val="0"/>
                    <w:jc w:val="center"/>
                    <w:rPr>
                      <w:rFonts w:hint="eastAsia" w:ascii="Times New Roman" w:hAnsi="Times New Roman" w:eastAsia="宋体" w:cs="Times New Roman"/>
                      <w:b/>
                      <w:bCs/>
                      <w:color w:val="auto"/>
                      <w:szCs w:val="21"/>
                      <w:highlight w:val="none"/>
                      <w:lang w:val="en-US" w:eastAsia="zh-Hans"/>
                    </w:rPr>
                  </w:pPr>
                  <w:r>
                    <w:rPr>
                      <w:rFonts w:hint="eastAsia" w:ascii="Times New Roman" w:hAnsi="Times New Roman" w:eastAsia="宋体" w:cs="Times New Roman"/>
                      <w:b/>
                      <w:bCs/>
                      <w:color w:val="auto"/>
                      <w:szCs w:val="21"/>
                      <w:highlight w:val="none"/>
                      <w:lang w:val="en-US" w:eastAsia="zh-Hans"/>
                    </w:rPr>
                    <w:t>执行标准名称</w:t>
                  </w:r>
                </w:p>
              </w:tc>
              <w:tc>
                <w:tcPr>
                  <w:tcW w:w="1882" w:type="pct"/>
                  <w:noWrap w:val="0"/>
                  <w:vAlign w:val="top"/>
                </w:tcPr>
                <w:p w14:paraId="6ED15C74">
                  <w:pPr>
                    <w:keepNext w:val="0"/>
                    <w:keepLines/>
                    <w:pageBreakBefore w:val="0"/>
                    <w:widowControl/>
                    <w:suppressLineNumbers w:val="0"/>
                    <w:kinsoku/>
                    <w:wordWrap/>
                    <w:bidi w:val="0"/>
                    <w:jc w:val="center"/>
                    <w:textAlignment w:val="center"/>
                    <w:rPr>
                      <w:rFonts w:hint="eastAsia" w:ascii="Times New Roman" w:hAnsi="Times New Roman" w:eastAsia="宋体" w:cs="Times New Roman"/>
                      <w:b/>
                      <w:bCs/>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数量</w:t>
                  </w:r>
                </w:p>
              </w:tc>
            </w:tr>
            <w:tr w14:paraId="1237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18D2EB74">
                  <w:pPr>
                    <w:keepNext w:val="0"/>
                    <w:keepLines/>
                    <w:pageBreakBefore w:val="0"/>
                    <w:widowControl/>
                    <w:suppressLineNumbers w:val="0"/>
                    <w:kinsoku/>
                    <w:wordWrap/>
                    <w:bidi w:val="0"/>
                    <w:jc w:val="center"/>
                    <w:textAlignment w:val="center"/>
                    <w:rPr>
                      <w:rFonts w:hint="default" w:eastAsia="宋体"/>
                      <w:color w:val="auto"/>
                      <w:szCs w:val="21"/>
                      <w:lang w:val="en-US" w:eastAsia="zh-CN"/>
                    </w:rPr>
                  </w:pPr>
                  <w:r>
                    <w:rPr>
                      <w:rFonts w:hint="eastAsia"/>
                      <w:color w:val="auto"/>
                      <w:szCs w:val="21"/>
                      <w:lang w:val="en-US" w:eastAsia="zh-CN"/>
                    </w:rPr>
                    <w:t>无</w:t>
                  </w:r>
                </w:p>
              </w:tc>
              <w:tc>
                <w:tcPr>
                  <w:tcW w:w="2122" w:type="pct"/>
                  <w:noWrap w:val="0"/>
                  <w:vAlign w:val="top"/>
                </w:tcPr>
                <w:p w14:paraId="41F25A53">
                  <w:pPr>
                    <w:keepNext w:val="0"/>
                    <w:keepLines/>
                    <w:pageBreakBefore w:val="0"/>
                    <w:widowControl/>
                    <w:kinsoku/>
                    <w:wordWrap/>
                    <w:bidi w:val="0"/>
                    <w:jc w:val="center"/>
                    <w:rPr>
                      <w:rFonts w:hint="eastAsia" w:ascii="Times New Roman" w:hAnsi="Times New Roman" w:eastAsia="宋体" w:cs="Times New Roman"/>
                      <w:color w:val="auto"/>
                      <w:szCs w:val="21"/>
                      <w:highlight w:val="none"/>
                      <w:lang w:val="en-US" w:eastAsia="zh-CN"/>
                    </w:rPr>
                  </w:pPr>
                  <w:r>
                    <w:rPr>
                      <w:rFonts w:hint="eastAsia" w:eastAsia="宋体"/>
                      <w:color w:val="auto"/>
                      <w:szCs w:val="21"/>
                      <w:lang w:val="en-US" w:eastAsia="zh-CN"/>
                    </w:rPr>
                    <w:t>无</w:t>
                  </w:r>
                </w:p>
              </w:tc>
              <w:tc>
                <w:tcPr>
                  <w:tcW w:w="1882" w:type="pct"/>
                  <w:noWrap w:val="0"/>
                  <w:vAlign w:val="center"/>
                </w:tcPr>
                <w:p w14:paraId="7756B383">
                  <w:pPr>
                    <w:keepNext w:val="0"/>
                    <w:keepLines/>
                    <w:pageBreakBefore w:val="0"/>
                    <w:widowControl/>
                    <w:suppressLineNumbers w:val="0"/>
                    <w:kinsoku/>
                    <w:wordWrap/>
                    <w:bidi w:val="0"/>
                    <w:jc w:val="center"/>
                    <w:textAlignment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snapToGrid w:val="0"/>
                      <w:color w:val="auto"/>
                      <w:kern w:val="0"/>
                      <w:sz w:val="21"/>
                      <w:szCs w:val="21"/>
                      <w:lang w:val="en-US" w:eastAsia="zh-CN"/>
                    </w:rPr>
                    <w:t>/</w:t>
                  </w:r>
                </w:p>
              </w:tc>
            </w:tr>
            <w:tr w14:paraId="239A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top"/>
                </w:tcPr>
                <w:p w14:paraId="2A5EC5EB">
                  <w:pPr>
                    <w:keepNext w:val="0"/>
                    <w:keepLines/>
                    <w:pageBreakBefore w:val="0"/>
                    <w:widowControl/>
                    <w:suppressLineNumbers w:val="0"/>
                    <w:kinsoku/>
                    <w:wordWrap/>
                    <w:bidi w:val="0"/>
                    <w:jc w:val="center"/>
                    <w:textAlignment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snapToGrid w:val="0"/>
                      <w:color w:val="auto"/>
                      <w:kern w:val="0"/>
                      <w:sz w:val="21"/>
                      <w:szCs w:val="21"/>
                      <w:lang w:val="en-US" w:eastAsia="zh-CN"/>
                    </w:rPr>
                    <w:t>废水</w:t>
                  </w:r>
                  <w:r>
                    <w:rPr>
                      <w:rFonts w:hint="eastAsia" w:ascii="Times New Roman" w:hAnsi="Times New Roman" w:eastAsia="宋体" w:cs="Times New Roman"/>
                      <w:color w:val="auto"/>
                      <w:kern w:val="0"/>
                      <w:sz w:val="24"/>
                      <w:szCs w:val="20"/>
                      <w:lang w:val="en-US" w:eastAsia="zh-CN" w:bidi="ar-SA"/>
                    </w:rPr>
                    <w:t xml:space="preserve">  </w:t>
                  </w:r>
                  <w:r>
                    <w:rPr>
                      <w:rFonts w:hint="eastAsia" w:ascii="Times New Roman" w:eastAsia="宋体"/>
                      <w:color w:val="auto"/>
                      <w:sz w:val="32"/>
                      <w:szCs w:val="40"/>
                      <w:lang w:val="en-US" w:eastAsia="zh-CN"/>
                    </w:rPr>
                    <w:sym w:font="Wingdings" w:char="00FE"/>
                  </w:r>
                  <w:r>
                    <w:rPr>
                      <w:rFonts w:hint="eastAsia" w:ascii="Times New Roman" w:hAnsi="Times New Roman" w:eastAsia="宋体" w:cs="Times New Roman"/>
                      <w:color w:val="auto"/>
                      <w:kern w:val="0"/>
                      <w:sz w:val="24"/>
                      <w:szCs w:val="20"/>
                      <w:lang w:val="en-US" w:eastAsia="zh-CN" w:bidi="ar-SA"/>
                    </w:rPr>
                    <w:t xml:space="preserve">有     </w:t>
                  </w:r>
                  <w:r>
                    <w:rPr>
                      <w:rFonts w:hint="eastAsia"/>
                      <w:color w:val="auto"/>
                      <w:sz w:val="36"/>
                      <w:szCs w:val="44"/>
                      <w:lang w:val="en-US" w:eastAsia="zh-CN"/>
                    </w:rPr>
                    <w:sym w:font="Wingdings" w:char="00A8"/>
                  </w:r>
                  <w:r>
                    <w:rPr>
                      <w:rFonts w:hint="eastAsia" w:ascii="Times New Roman" w:hAnsi="Times New Roman" w:eastAsia="宋体" w:cs="Times New Roman"/>
                      <w:color w:val="auto"/>
                      <w:kern w:val="0"/>
                      <w:sz w:val="24"/>
                      <w:szCs w:val="20"/>
                      <w:lang w:val="en-US" w:eastAsia="zh-CN" w:bidi="ar-SA"/>
                    </w:rPr>
                    <w:t>无</w:t>
                  </w:r>
                </w:p>
              </w:tc>
            </w:tr>
            <w:tr w14:paraId="024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36D0713">
                  <w:pPr>
                    <w:keepNext w:val="0"/>
                    <w:keepLines/>
                    <w:pageBreakBefore w:val="0"/>
                    <w:widowControl/>
                    <w:suppressLineNumbers w:val="0"/>
                    <w:kinsoku/>
                    <w:wordWrap/>
                    <w:bidi w:val="0"/>
                    <w:jc w:val="center"/>
                    <w:textAlignment w:val="center"/>
                    <w:rPr>
                      <w:rFonts w:hint="default" w:ascii="Times New Roman" w:hAnsi="Times New Roman" w:eastAsia="宋体" w:cs="Times New Roman"/>
                      <w:b/>
                      <w:bCs/>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废水污染治理设施</w:t>
                  </w:r>
                </w:p>
              </w:tc>
              <w:tc>
                <w:tcPr>
                  <w:tcW w:w="2122" w:type="pct"/>
                  <w:noWrap w:val="0"/>
                  <w:vAlign w:val="top"/>
                </w:tcPr>
                <w:p w14:paraId="0754A52C">
                  <w:pPr>
                    <w:keepNext w:val="0"/>
                    <w:keepLines/>
                    <w:pageBreakBefore w:val="0"/>
                    <w:widowControl/>
                    <w:suppressLineNumbers w:val="0"/>
                    <w:kinsoku/>
                    <w:wordWrap/>
                    <w:bidi w:val="0"/>
                    <w:jc w:val="center"/>
                    <w:textAlignment w:val="center"/>
                    <w:rPr>
                      <w:rFonts w:hint="default" w:ascii="Times New Roman" w:hAnsi="Times New Roman" w:eastAsia="宋体" w:cs="Times New Roman"/>
                      <w:b/>
                      <w:bCs/>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治理工艺</w:t>
                  </w:r>
                </w:p>
              </w:tc>
              <w:tc>
                <w:tcPr>
                  <w:tcW w:w="1882" w:type="pct"/>
                  <w:noWrap w:val="0"/>
                  <w:vAlign w:val="top"/>
                </w:tcPr>
                <w:p w14:paraId="2968FADC">
                  <w:pPr>
                    <w:keepNext w:val="0"/>
                    <w:keepLines/>
                    <w:pageBreakBefore w:val="0"/>
                    <w:widowControl/>
                    <w:suppressLineNumbers w:val="0"/>
                    <w:kinsoku/>
                    <w:wordWrap/>
                    <w:bidi w:val="0"/>
                    <w:jc w:val="center"/>
                    <w:textAlignment w:val="center"/>
                    <w:rPr>
                      <w:rFonts w:hint="default" w:ascii="Times New Roman" w:hAnsi="Times New Roman" w:eastAsia="宋体" w:cs="Times New Roman"/>
                      <w:b/>
                      <w:bCs/>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数量</w:t>
                  </w:r>
                </w:p>
              </w:tc>
            </w:tr>
            <w:tr w14:paraId="2243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6D390354">
                  <w:pPr>
                    <w:keepNext w:val="0"/>
                    <w:keepLines/>
                    <w:pageBreakBefore w:val="0"/>
                    <w:widowControl/>
                    <w:suppressLineNumbers w:val="0"/>
                    <w:kinsoku/>
                    <w:wordWrap/>
                    <w:bidi w:val="0"/>
                    <w:jc w:val="center"/>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自建污水处理站</w:t>
                  </w:r>
                </w:p>
              </w:tc>
              <w:tc>
                <w:tcPr>
                  <w:tcW w:w="2122" w:type="pct"/>
                  <w:noWrap w:val="0"/>
                  <w:vAlign w:val="center"/>
                </w:tcPr>
                <w:p w14:paraId="19B66607">
                  <w:pPr>
                    <w:keepNext w:val="0"/>
                    <w:keepLines/>
                    <w:pageBreakBefore w:val="0"/>
                    <w:widowControl/>
                    <w:kinsoku/>
                    <w:wordWrap/>
                    <w:bidi w:val="0"/>
                    <w:jc w:val="cente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(隔栅池+调节池+AO生物接触氧化池+二沉池+活性氧消毒)，（二氧化氯消毒装置备用）</w:t>
                  </w:r>
                </w:p>
              </w:tc>
              <w:tc>
                <w:tcPr>
                  <w:tcW w:w="1882" w:type="pct"/>
                  <w:noWrap w:val="0"/>
                  <w:vAlign w:val="center"/>
                </w:tcPr>
                <w:p w14:paraId="77DB315E">
                  <w:pPr>
                    <w:keepNext w:val="0"/>
                    <w:keepLines/>
                    <w:pageBreakBefore w:val="0"/>
                    <w:widowControl/>
                    <w:suppressLineNumbers w:val="0"/>
                    <w:kinsoku/>
                    <w:wordWrap/>
                    <w:bidi w:val="0"/>
                    <w:jc w:val="center"/>
                    <w:textAlignment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w:t>
                  </w:r>
                </w:p>
              </w:tc>
            </w:tr>
            <w:tr w14:paraId="10AE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99FC3AA">
                  <w:pPr>
                    <w:keepNext w:val="0"/>
                    <w:keepLines/>
                    <w:pageBreakBefore w:val="0"/>
                    <w:widowControl/>
                    <w:suppressLineNumbers w:val="0"/>
                    <w:kinsoku/>
                    <w:wordWrap/>
                    <w:bidi w:val="0"/>
                    <w:jc w:val="center"/>
                    <w:textAlignment w:val="center"/>
                    <w:rPr>
                      <w:rFonts w:hint="eastAsia" w:ascii="Times New Roman" w:hAnsi="Times New Roman" w:eastAsia="宋体" w:cs="Times New Roman"/>
                      <w:snapToGrid w:val="0"/>
                      <w:color w:val="auto"/>
                      <w:kern w:val="0"/>
                      <w:sz w:val="21"/>
                      <w:szCs w:val="21"/>
                      <w:lang w:val="en-US" w:eastAsia="zh-CN"/>
                    </w:rPr>
                  </w:pPr>
                  <w:r>
                    <w:rPr>
                      <w:rFonts w:hint="eastAsia"/>
                      <w:b/>
                      <w:bCs/>
                      <w:color w:val="auto"/>
                      <w:szCs w:val="21"/>
                      <w:lang w:val="en-US" w:eastAsia="zh-CN"/>
                    </w:rPr>
                    <w:t>排放口名称</w:t>
                  </w:r>
                </w:p>
              </w:tc>
              <w:tc>
                <w:tcPr>
                  <w:tcW w:w="2122" w:type="pct"/>
                  <w:noWrap w:val="0"/>
                  <w:vAlign w:val="top"/>
                </w:tcPr>
                <w:p w14:paraId="280F343B">
                  <w:pPr>
                    <w:keepNext w:val="0"/>
                    <w:keepLines/>
                    <w:pageBreakBefore w:val="0"/>
                    <w:widowControl/>
                    <w:kinsoku/>
                    <w:wordWrap/>
                    <w:bidi w:val="0"/>
                    <w:jc w:val="center"/>
                    <w:rPr>
                      <w:rFonts w:hint="eastAsia"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b/>
                      <w:bCs/>
                      <w:color w:val="auto"/>
                      <w:szCs w:val="21"/>
                      <w:highlight w:val="none"/>
                      <w:lang w:val="en-US" w:eastAsia="zh-Hans"/>
                    </w:rPr>
                    <w:t>执行标准名称</w:t>
                  </w:r>
                </w:p>
              </w:tc>
              <w:tc>
                <w:tcPr>
                  <w:tcW w:w="1882" w:type="pct"/>
                  <w:noWrap w:val="0"/>
                  <w:vAlign w:val="top"/>
                </w:tcPr>
                <w:p w14:paraId="2D0D8035">
                  <w:pPr>
                    <w:keepNext w:val="0"/>
                    <w:keepLines/>
                    <w:pageBreakBefore w:val="0"/>
                    <w:widowControl/>
                    <w:suppressLineNumbers w:val="0"/>
                    <w:kinsoku/>
                    <w:wordWrap/>
                    <w:bidi w:val="0"/>
                    <w:jc w:val="center"/>
                    <w:textAlignment w:val="center"/>
                    <w:rPr>
                      <w:rFonts w:hint="default" w:ascii="Times New Roman" w:hAnsi="Times New Roman" w:eastAsia="宋体" w:cs="Times New Roman"/>
                      <w:snapToGrid w:val="0"/>
                      <w:color w:val="auto"/>
                      <w:kern w:val="0"/>
                      <w:sz w:val="21"/>
                      <w:szCs w:val="21"/>
                      <w:lang w:val="en-US" w:eastAsia="zh-CN"/>
                    </w:rPr>
                  </w:pPr>
                  <w:r>
                    <w:rPr>
                      <w:rFonts w:hint="eastAsia" w:ascii="Times New Roman" w:hAnsi="Times New Roman" w:eastAsia="宋体" w:cs="Times New Roman"/>
                      <w:b/>
                      <w:bCs/>
                      <w:snapToGrid w:val="0"/>
                      <w:color w:val="auto"/>
                      <w:kern w:val="0"/>
                      <w:sz w:val="21"/>
                      <w:szCs w:val="21"/>
                      <w:lang w:val="en-US" w:eastAsia="zh-CN"/>
                    </w:rPr>
                    <w:t>排放类型</w:t>
                  </w:r>
                </w:p>
              </w:tc>
            </w:tr>
            <w:tr w14:paraId="6639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5B74BB91">
                  <w:pPr>
                    <w:keepNext w:val="0"/>
                    <w:keepLines/>
                    <w:pageBreakBefore w:val="0"/>
                    <w:widowControl/>
                    <w:suppressLineNumbers w:val="0"/>
                    <w:kinsoku/>
                    <w:wordWrap/>
                    <w:bidi w:val="0"/>
                    <w:jc w:val="center"/>
                    <w:textAlignment w:val="center"/>
                    <w:rPr>
                      <w:rFonts w:hint="eastAsia" w:ascii="Times New Roman" w:hAnsi="Times New Roman" w:eastAsia="宋体" w:cs="Times New Roman"/>
                      <w:snapToGrid w:val="0"/>
                      <w:color w:val="auto"/>
                      <w:kern w:val="0"/>
                      <w:sz w:val="21"/>
                      <w:szCs w:val="21"/>
                      <w:lang w:val="en-US" w:eastAsia="zh-CN"/>
                    </w:rPr>
                  </w:pPr>
                  <w:r>
                    <w:rPr>
                      <w:rFonts w:hint="default"/>
                      <w:color w:val="auto"/>
                      <w:szCs w:val="21"/>
                      <w:lang w:val="en-US" w:eastAsia="zh-CN"/>
                    </w:rPr>
                    <w:t>DW</w:t>
                  </w:r>
                  <w:r>
                    <w:rPr>
                      <w:rFonts w:hint="eastAsia"/>
                      <w:color w:val="auto"/>
                      <w:szCs w:val="21"/>
                      <w:lang w:val="en-US" w:eastAsia="zh-CN"/>
                    </w:rPr>
                    <w:t>001废水总排口</w:t>
                  </w:r>
                </w:p>
              </w:tc>
              <w:tc>
                <w:tcPr>
                  <w:tcW w:w="2122" w:type="pct"/>
                  <w:noWrap w:val="0"/>
                  <w:vAlign w:val="center"/>
                </w:tcPr>
                <w:p w14:paraId="4C242D1F">
                  <w:pPr>
                    <w:keepNext w:val="0"/>
                    <w:keepLines/>
                    <w:pageBreakBefore w:val="0"/>
                    <w:widowControl/>
                    <w:suppressLineNumbers w:val="0"/>
                    <w:kinsoku/>
                    <w:wordWrap/>
                    <w:bidi w:val="0"/>
                    <w:jc w:val="center"/>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《污水综合排放标准》（GB8978-1996）</w:t>
                  </w:r>
                </w:p>
              </w:tc>
              <w:tc>
                <w:tcPr>
                  <w:tcW w:w="1882" w:type="pct"/>
                  <w:noWrap w:val="0"/>
                  <w:vAlign w:val="center"/>
                </w:tcPr>
                <w:p w14:paraId="2CE4D2C9">
                  <w:pPr>
                    <w:keepNext w:val="0"/>
                    <w:keepLines w:val="0"/>
                    <w:widowControl/>
                    <w:suppressLineNumbers w:val="0"/>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sym w:font="Wingdings" w:char="00A8"/>
                  </w:r>
                  <w:r>
                    <w:rPr>
                      <w:rFonts w:hint="eastAsia" w:ascii="宋体" w:hAnsi="宋体" w:eastAsia="宋体" w:cs="宋体"/>
                      <w:color w:val="auto"/>
                      <w:kern w:val="0"/>
                      <w:sz w:val="21"/>
                      <w:szCs w:val="21"/>
                      <w:lang w:val="en-US" w:eastAsia="zh-CN" w:bidi="ar"/>
                    </w:rPr>
                    <w:t>不外排</w:t>
                  </w:r>
                </w:p>
                <w:p w14:paraId="12CF5715">
                  <w:pPr>
                    <w:keepNext w:val="0"/>
                    <w:keepLines w:val="0"/>
                    <w:widowControl/>
                    <w:suppressLineNumbers w:val="0"/>
                    <w:jc w:val="left"/>
                    <w:rPr>
                      <w:rFonts w:hint="default"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sym w:font="Wingdings" w:char="00A8"/>
                  </w:r>
                  <w:r>
                    <w:rPr>
                      <w:rFonts w:hint="eastAsia" w:ascii="Times New Roman" w:hAnsi="Times New Roman" w:eastAsia="宋体" w:cs="Times New Roman"/>
                      <w:color w:val="auto"/>
                      <w:szCs w:val="21"/>
                      <w:highlight w:val="none"/>
                      <w:lang w:val="en-US" w:eastAsia="zh-CN"/>
                    </w:rPr>
                    <w:t>间接排放：</w:t>
                  </w:r>
                </w:p>
                <w:p w14:paraId="6374CCAC">
                  <w:pPr>
                    <w:keepNext w:val="0"/>
                    <w:keepLines w:val="0"/>
                    <w:widowControl/>
                    <w:suppressLineNumbers w:val="0"/>
                    <w:jc w:val="left"/>
                    <w:rPr>
                      <w:rFonts w:hint="eastAsia"/>
                      <w:color w:val="auto"/>
                      <w:lang w:val="en-US" w:eastAsia="zh-CN"/>
                    </w:rPr>
                  </w:pPr>
                  <w:r>
                    <w:rPr>
                      <w:rFonts w:hint="eastAsia" w:ascii="Times New Roman" w:hAnsi="Times New Roman" w:eastAsia="宋体" w:cs="Times New Roman"/>
                      <w:color w:val="auto"/>
                      <w:szCs w:val="21"/>
                      <w:highlight w:val="none"/>
                      <w:lang w:val="en-US" w:eastAsia="zh-CN"/>
                    </w:rPr>
                    <w:sym w:font="Wingdings" w:char="00FE"/>
                  </w:r>
                  <w:r>
                    <w:rPr>
                      <w:rFonts w:hint="eastAsia" w:ascii="宋体" w:hAnsi="宋体" w:eastAsia="宋体" w:cs="宋体"/>
                      <w:color w:val="auto"/>
                      <w:kern w:val="0"/>
                      <w:sz w:val="21"/>
                      <w:szCs w:val="21"/>
                      <w:lang w:val="en-US" w:eastAsia="zh-CN" w:bidi="ar"/>
                    </w:rPr>
                    <w:t>直接排放：</w:t>
                  </w:r>
                  <w:r>
                    <w:rPr>
                      <w:rFonts w:hint="eastAsia" w:ascii="Times New Roman" w:hAnsi="宋体" w:eastAsia="宋体" w:cs="Times New Roman"/>
                      <w:color w:val="auto"/>
                      <w:sz w:val="21"/>
                      <w:szCs w:val="21"/>
                      <w:vertAlign w:val="baseline"/>
                      <w:lang w:val="en-US" w:eastAsia="zh-CN"/>
                    </w:rPr>
                    <w:t>经</w:t>
                  </w:r>
                  <w:r>
                    <w:rPr>
                      <w:rFonts w:hint="eastAsia" w:ascii="Times New Roman" w:cs="Times New Roman"/>
                      <w:color w:val="auto"/>
                      <w:sz w:val="21"/>
                      <w:szCs w:val="21"/>
                      <w:u w:val="none"/>
                      <w:vertAlign w:val="baseline"/>
                      <w:lang w:val="en-US" w:eastAsia="zh-CN"/>
                    </w:rPr>
                    <w:t>自建污水处理站处理后达标排入东侧的洣水，最终汇入洣水。</w:t>
                  </w:r>
                </w:p>
              </w:tc>
            </w:tr>
          </w:tbl>
          <w:p w14:paraId="43706056">
            <w:pPr>
              <w:pStyle w:val="3"/>
              <w:numPr>
                <w:ilvl w:val="0"/>
                <w:numId w:val="0"/>
              </w:numPr>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企业必须在启动生产设施或者生实际排污之前填报排污登记表，按表排污，且不得超标、超总量排污，按要求做好台账记录和自行监测。</w:t>
            </w:r>
          </w:p>
          <w:p w14:paraId="22EE5693">
            <w:pPr>
              <w:rPr>
                <w:rFonts w:hint="eastAsia"/>
                <w:color w:val="auto"/>
                <w:lang w:val="en-US" w:eastAsia="zh-CN"/>
              </w:rPr>
            </w:pPr>
          </w:p>
          <w:p w14:paraId="798228E9">
            <w:pPr>
              <w:pStyle w:val="3"/>
              <w:numPr>
                <w:ilvl w:val="0"/>
                <w:numId w:val="0"/>
              </w:numPr>
              <w:jc w:val="left"/>
              <w:rPr>
                <w:rFonts w:hint="eastAsia"/>
                <w:b/>
                <w:bCs/>
                <w:color w:val="auto"/>
                <w:lang w:val="en-US" w:eastAsia="zh-CN"/>
              </w:rPr>
            </w:pPr>
            <w:r>
              <w:rPr>
                <w:rFonts w:hint="eastAsia"/>
                <w:b/>
                <w:bCs/>
                <w:color w:val="auto"/>
                <w:lang w:val="en-US" w:eastAsia="zh-CN"/>
              </w:rPr>
              <w:t>10</w:t>
            </w:r>
            <w:r>
              <w:rPr>
                <w:rFonts w:ascii="Times New Roman" w:hAnsi="Times New Roman" w:eastAsia="宋体"/>
                <w:b/>
                <w:bCs/>
                <w:color w:val="auto"/>
                <w:sz w:val="24"/>
                <w:szCs w:val="24"/>
                <w:u w:val="none" w:color="auto"/>
              </w:rPr>
              <w:t>、</w:t>
            </w:r>
            <w:r>
              <w:rPr>
                <w:rFonts w:hint="eastAsia"/>
                <w:b/>
                <w:bCs/>
                <w:color w:val="auto"/>
                <w:lang w:val="en-US" w:eastAsia="zh-CN"/>
              </w:rPr>
              <w:t>排污口设置规范化</w:t>
            </w:r>
          </w:p>
          <w:p w14:paraId="20E324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（1）排污口设置规范化</w:t>
            </w:r>
          </w:p>
          <w:p w14:paraId="60C0C79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按照国家和</w:t>
            </w:r>
            <w:r>
              <w:rPr>
                <w:rFonts w:hint="eastAsia" w:ascii="Times New Roman" w:hAnsi="Times New Roman" w:eastAsia="宋体" w:cs="Times New Roman"/>
                <w:color w:val="auto"/>
                <w:sz w:val="24"/>
                <w:szCs w:val="24"/>
                <w:u w:val="none"/>
                <w:lang w:val="en-US" w:eastAsia="zh-CN"/>
              </w:rPr>
              <w:t>湖南省</w:t>
            </w:r>
            <w:r>
              <w:rPr>
                <w:rFonts w:hint="default" w:ascii="Times New Roman" w:hAnsi="Times New Roman" w:eastAsia="宋体" w:cs="Times New Roman"/>
                <w:color w:val="auto"/>
                <w:sz w:val="24"/>
                <w:szCs w:val="24"/>
                <w:u w:val="none"/>
                <w:lang w:val="en-US" w:eastAsia="zh-CN"/>
              </w:rPr>
              <w:t>相关要求对污（废）水排放口、废气排气筒、固定噪声源以及固体废物贮存（处置）场所进行规范化整治。</w:t>
            </w:r>
          </w:p>
          <w:p w14:paraId="3D3529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①水排放口</w:t>
            </w:r>
          </w:p>
          <w:p w14:paraId="23C5BFC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本项目给排水管网应严格执行清污分流、雨污分开的排放口整治要求。在排口设置相应环保图形标志牌。</w:t>
            </w:r>
          </w:p>
          <w:p w14:paraId="458CEF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②固定噪声源在主要固定噪声源附近应设置环境保护图形标志牌</w:t>
            </w:r>
            <w:r>
              <w:rPr>
                <w:rFonts w:hint="eastAsia" w:ascii="Times New Roman" w:hAnsi="Times New Roman" w:eastAsia="宋体" w:cs="Times New Roman"/>
                <w:color w:val="auto"/>
                <w:sz w:val="24"/>
                <w:szCs w:val="24"/>
                <w:u w:val="none"/>
                <w:lang w:val="en-US" w:eastAsia="zh-CN"/>
              </w:rPr>
              <w:t>。</w:t>
            </w:r>
          </w:p>
          <w:p w14:paraId="18CEC8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（2）</w:t>
            </w:r>
            <w:r>
              <w:rPr>
                <w:rFonts w:hint="default" w:ascii="Times New Roman" w:hAnsi="Times New Roman" w:eastAsia="宋体" w:cs="Times New Roman"/>
                <w:color w:val="auto"/>
                <w:sz w:val="24"/>
                <w:szCs w:val="24"/>
                <w:u w:val="none"/>
                <w:lang w:val="en-US" w:eastAsia="zh-CN"/>
              </w:rPr>
              <w:t>排污口立标管理</w:t>
            </w:r>
          </w:p>
          <w:p w14:paraId="20F89E8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①企业污染物排放口的标志</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应按国家《环境保护图形标志排放口》</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15562.1-1995</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及《环境保护图形标志固体废物贮存</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处置）场》二</w:t>
            </w:r>
            <w:r>
              <w:rPr>
                <w:rFonts w:hint="eastAsia"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15562.2-1995</w:t>
            </w:r>
            <w:r>
              <w:rPr>
                <w:rFonts w:hint="eastAsia" w:ascii="Times New Roman" w:hAnsi="Times New Roman" w:eastAsia="宋体" w:cs="Times New Roman"/>
                <w:color w:val="auto"/>
                <w:sz w:val="24"/>
                <w:szCs w:val="24"/>
                <w:u w:val="none"/>
                <w:lang w:val="en-US" w:eastAsia="zh-CN"/>
              </w:rPr>
              <w:t>）（2023年修改单）</w:t>
            </w:r>
            <w:r>
              <w:rPr>
                <w:rFonts w:hint="default" w:ascii="Times New Roman" w:hAnsi="Times New Roman" w:eastAsia="宋体" w:cs="Times New Roman"/>
                <w:color w:val="auto"/>
                <w:sz w:val="24"/>
                <w:szCs w:val="24"/>
                <w:u w:val="none"/>
                <w:lang w:val="en-US" w:eastAsia="zh-CN"/>
              </w:rPr>
              <w:t>的规定，设置</w:t>
            </w:r>
            <w:r>
              <w:rPr>
                <w:rFonts w:hint="eastAsia" w:ascii="Times New Roman" w:hAnsi="Times New Roman" w:eastAsia="宋体" w:cs="Times New Roman"/>
                <w:color w:val="auto"/>
                <w:sz w:val="24"/>
                <w:szCs w:val="24"/>
                <w:u w:val="none"/>
                <w:lang w:val="en-US" w:eastAsia="zh-CN"/>
              </w:rPr>
              <w:t>生态环境部</w:t>
            </w:r>
            <w:r>
              <w:rPr>
                <w:rFonts w:hint="default" w:ascii="Times New Roman" w:hAnsi="Times New Roman" w:eastAsia="宋体" w:cs="Times New Roman"/>
                <w:color w:val="auto"/>
                <w:sz w:val="24"/>
                <w:szCs w:val="24"/>
                <w:u w:val="none"/>
                <w:lang w:val="en-US" w:eastAsia="zh-CN"/>
              </w:rPr>
              <w:t>统一制作的环境保护图形标志牌。</w:t>
            </w:r>
          </w:p>
          <w:p w14:paraId="4B78C6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②污染物排放口的环保图形标志牌应设置在靠近采样点的醒目处，标志牌设置高度为其上缘距地面2m。</w:t>
            </w:r>
          </w:p>
          <w:p w14:paraId="499E43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（3）</w:t>
            </w:r>
            <w:r>
              <w:rPr>
                <w:rFonts w:hint="default" w:ascii="Times New Roman" w:hAnsi="Times New Roman" w:eastAsia="宋体" w:cs="Times New Roman"/>
                <w:color w:val="auto"/>
                <w:sz w:val="24"/>
                <w:szCs w:val="24"/>
                <w:u w:val="none"/>
                <w:lang w:val="en-US" w:eastAsia="zh-CN"/>
              </w:rPr>
              <w:t>排污口建档管理</w:t>
            </w:r>
          </w:p>
          <w:p w14:paraId="4469815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①要求使用</w:t>
            </w:r>
            <w:r>
              <w:rPr>
                <w:rFonts w:hint="eastAsia" w:ascii="Times New Roman" w:hAnsi="Times New Roman" w:eastAsia="宋体" w:cs="Times New Roman"/>
                <w:color w:val="auto"/>
                <w:sz w:val="24"/>
                <w:szCs w:val="24"/>
                <w:u w:val="none"/>
                <w:lang w:val="en-US" w:eastAsia="zh-CN"/>
              </w:rPr>
              <w:t>生态环境部</w:t>
            </w:r>
            <w:r>
              <w:rPr>
                <w:rFonts w:hint="default" w:ascii="Times New Roman" w:hAnsi="Times New Roman" w:eastAsia="宋体" w:cs="Times New Roman"/>
                <w:color w:val="auto"/>
                <w:sz w:val="24"/>
                <w:szCs w:val="24"/>
                <w:u w:val="none"/>
                <w:lang w:val="en-US" w:eastAsia="zh-CN"/>
              </w:rPr>
              <w:t>统一印刷的《中华人民共和国规范化排污口标志登记证》，并按要求填写有关内容。</w:t>
            </w:r>
          </w:p>
          <w:p w14:paraId="41A624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②根据排污口管理档案内容要求，项目建成后，应将主要污染物种类、数量、浓度、排放去向、达标情况及设施运行情况记录于档案。</w:t>
            </w:r>
          </w:p>
          <w:p w14:paraId="4064E5C5">
            <w:pPr>
              <w:pStyle w:val="20"/>
              <w:rPr>
                <w:rFonts w:hint="default" w:ascii="Times New Roman" w:hAnsi="Times New Roman" w:eastAsia="宋体" w:cs="Times New Roman"/>
                <w:color w:val="auto"/>
                <w:sz w:val="24"/>
                <w:szCs w:val="24"/>
                <w:u w:val="none"/>
                <w:lang w:val="en-US" w:eastAsia="zh-CN"/>
              </w:rPr>
            </w:pPr>
          </w:p>
          <w:p w14:paraId="783910B9">
            <w:pPr>
              <w:numPr>
                <w:ilvl w:val="0"/>
                <w:numId w:val="9"/>
              </w:numPr>
              <w:spacing w:line="360" w:lineRule="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与项目有关的原有环境问题</w:t>
            </w:r>
          </w:p>
          <w:p w14:paraId="67863CD4">
            <w:pPr>
              <w:pStyle w:val="20"/>
              <w:ind w:firstLine="480" w:firstLineChars="200"/>
              <w:rPr>
                <w:rFonts w:hint="default" w:eastAsia="宋体"/>
                <w:lang w:val="en-US" w:eastAsia="zh-CN"/>
              </w:rPr>
            </w:pPr>
            <w:r>
              <w:rPr>
                <w:rFonts w:hint="eastAsia"/>
                <w:color w:val="000000"/>
                <w:sz w:val="24"/>
              </w:rPr>
              <w:t>本项目已投入运行多年，现为完善项目相关环保手续。根据湖南省卫生健康委湖南省生态环境厅《关于做好一级医疗机构污水处理问题排查整治工作的通知》（湘卫函</w:t>
            </w:r>
            <w:r>
              <w:rPr>
                <w:rFonts w:hint="eastAsia"/>
                <w:color w:val="000000"/>
                <w:sz w:val="24"/>
                <w:lang w:val="en-US" w:eastAsia="zh-CN"/>
              </w:rPr>
              <w:t>[</w:t>
            </w:r>
            <w:r>
              <w:rPr>
                <w:rFonts w:hint="eastAsia"/>
                <w:color w:val="000000"/>
                <w:sz w:val="24"/>
              </w:rPr>
              <w:t>2023</w:t>
            </w:r>
            <w:r>
              <w:rPr>
                <w:rFonts w:hint="eastAsia"/>
                <w:color w:val="000000"/>
                <w:sz w:val="24"/>
                <w:lang w:val="en-US" w:eastAsia="zh-CN"/>
              </w:rPr>
              <w:t>]</w:t>
            </w:r>
            <w:r>
              <w:rPr>
                <w:rFonts w:hint="eastAsia"/>
                <w:color w:val="000000"/>
                <w:sz w:val="24"/>
              </w:rPr>
              <w:t>60号）等文件，针对现场调查结果，环评</w:t>
            </w:r>
            <w:r>
              <w:rPr>
                <w:rFonts w:hint="eastAsia"/>
                <w:color w:val="000000"/>
                <w:sz w:val="24"/>
                <w:lang w:val="en-US" w:eastAsia="zh-CN"/>
              </w:rPr>
              <w:t>要求</w:t>
            </w:r>
            <w:r>
              <w:rPr>
                <w:rFonts w:hint="eastAsia"/>
                <w:color w:val="000000"/>
                <w:sz w:val="24"/>
              </w:rPr>
              <w:t>对不符合要求的相关环保设施进行整改，环评整改建议见表</w:t>
            </w:r>
            <w:r>
              <w:rPr>
                <w:rFonts w:hint="eastAsia"/>
                <w:color w:val="000000"/>
                <w:sz w:val="24"/>
                <w:lang w:val="en-US" w:eastAsia="zh-CN"/>
              </w:rPr>
              <w:t>4-20。</w:t>
            </w:r>
          </w:p>
          <w:p w14:paraId="0BCDECE8">
            <w:pPr>
              <w:pStyle w:val="9"/>
              <w:spacing w:line="240" w:lineRule="auto"/>
              <w:rPr>
                <w:rFonts w:hint="eastAsia" w:ascii="Times New Roman" w:hAnsi="Times New Roman" w:eastAsia="宋体" w:cs="Times New Roman"/>
                <w:b/>
                <w:bCs/>
                <w:spacing w:val="0"/>
                <w:kern w:val="2"/>
                <w:sz w:val="21"/>
                <w:szCs w:val="21"/>
                <w:lang w:val="en-US" w:eastAsia="zh-CN" w:bidi="ar-SA"/>
              </w:rPr>
            </w:pPr>
          </w:p>
          <w:p w14:paraId="7B0FC50A">
            <w:pPr>
              <w:pStyle w:val="9"/>
              <w:spacing w:line="240" w:lineRule="auto"/>
              <w:rPr>
                <w:rFonts w:hint="default"/>
                <w:lang w:val="en-US" w:eastAsia="zh-CN"/>
              </w:rPr>
            </w:pPr>
            <w:r>
              <w:rPr>
                <w:rFonts w:hint="eastAsia" w:ascii="Times New Roman" w:hAnsi="Times New Roman" w:eastAsia="宋体" w:cs="Times New Roman"/>
                <w:b/>
                <w:bCs/>
                <w:spacing w:val="0"/>
                <w:kern w:val="2"/>
                <w:sz w:val="21"/>
                <w:szCs w:val="21"/>
                <w:lang w:val="en-US" w:eastAsia="zh-CN" w:bidi="ar-SA"/>
              </w:rPr>
              <w:t xml:space="preserve">表4-20 </w:t>
            </w:r>
            <w:r>
              <w:rPr>
                <w:rFonts w:hint="default" w:ascii="Times New Roman" w:hAnsi="Times New Roman" w:eastAsia="宋体" w:cs="Times New Roman"/>
                <w:b/>
                <w:bCs/>
                <w:spacing w:val="0"/>
                <w:kern w:val="2"/>
                <w:sz w:val="21"/>
                <w:szCs w:val="21"/>
                <w:lang w:val="en-US" w:eastAsia="zh-CN" w:bidi="ar-SA"/>
              </w:rPr>
              <w:t>项目</w:t>
            </w:r>
            <w:r>
              <w:rPr>
                <w:rFonts w:hint="default" w:ascii="Times New Roman" w:hAnsi="Times New Roman" w:eastAsia="宋体" w:cs="Times New Roman"/>
                <w:b/>
                <w:bCs/>
                <w:sz w:val="21"/>
                <w:szCs w:val="21"/>
                <w:lang w:val="en-US" w:eastAsia="zh-CN"/>
              </w:rPr>
              <w:t>主要的环境问题、已采取的防治措施及整改措施</w:t>
            </w:r>
            <w:r>
              <w:rPr>
                <w:rFonts w:hint="default" w:ascii="Times New Roman" w:hAnsi="Times New Roman" w:eastAsia="宋体" w:cs="Times New Roman"/>
                <w:b/>
                <w:bCs/>
                <w:spacing w:val="0"/>
                <w:kern w:val="2"/>
                <w:sz w:val="21"/>
                <w:szCs w:val="21"/>
                <w:lang w:val="en-US" w:eastAsia="zh-CN" w:bidi="ar-SA"/>
              </w:rPr>
              <w:t>一览表</w:t>
            </w:r>
          </w:p>
          <w:tbl>
            <w:tblPr>
              <w:tblStyle w:val="17"/>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485"/>
              <w:gridCol w:w="1908"/>
              <w:gridCol w:w="4944"/>
            </w:tblGrid>
            <w:tr w14:paraId="7126E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7" w:type="pct"/>
                  <w:tcBorders>
                    <w:tl2br w:val="nil"/>
                    <w:tr2bl w:val="nil"/>
                  </w:tcBorders>
                  <w:noWrap w:val="0"/>
                  <w:vAlign w:val="center"/>
                </w:tcPr>
                <w:p w14:paraId="6DF179E5">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污染物</w:t>
                  </w:r>
                </w:p>
                <w:p w14:paraId="35264ACE">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项目</w:t>
                  </w:r>
                </w:p>
              </w:tc>
              <w:tc>
                <w:tcPr>
                  <w:tcW w:w="768" w:type="pct"/>
                  <w:tcBorders>
                    <w:tl2br w:val="nil"/>
                    <w:tr2bl w:val="nil"/>
                  </w:tcBorders>
                  <w:noWrap w:val="0"/>
                  <w:vAlign w:val="center"/>
                </w:tcPr>
                <w:p w14:paraId="2BDBEFC0">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污染因子</w:t>
                  </w:r>
                </w:p>
              </w:tc>
              <w:tc>
                <w:tcPr>
                  <w:tcW w:w="986" w:type="pct"/>
                  <w:tcBorders>
                    <w:tl2br w:val="nil"/>
                    <w:tr2bl w:val="nil"/>
                  </w:tcBorders>
                  <w:noWrap w:val="0"/>
                  <w:vAlign w:val="center"/>
                </w:tcPr>
                <w:p w14:paraId="2E3A73B2">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现有环境问题</w:t>
                  </w:r>
                </w:p>
              </w:tc>
              <w:tc>
                <w:tcPr>
                  <w:tcW w:w="2557" w:type="pct"/>
                  <w:tcBorders>
                    <w:tl2br w:val="nil"/>
                    <w:tr2bl w:val="nil"/>
                  </w:tcBorders>
                  <w:noWrap w:val="0"/>
                  <w:vAlign w:val="center"/>
                </w:tcPr>
                <w:p w14:paraId="5A122211">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整改要求</w:t>
                  </w:r>
                </w:p>
              </w:tc>
            </w:tr>
            <w:tr w14:paraId="168CF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5" w:type="pct"/>
                  <w:gridSpan w:val="2"/>
                  <w:tcBorders>
                    <w:tl2br w:val="nil"/>
                    <w:tr2bl w:val="nil"/>
                  </w:tcBorders>
                  <w:noWrap w:val="0"/>
                  <w:vAlign w:val="center"/>
                </w:tcPr>
                <w:p w14:paraId="715A928B">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医疗废物暂存间</w:t>
                  </w:r>
                </w:p>
              </w:tc>
              <w:tc>
                <w:tcPr>
                  <w:tcW w:w="986" w:type="pct"/>
                  <w:tcBorders>
                    <w:tl2br w:val="nil"/>
                    <w:tr2bl w:val="nil"/>
                  </w:tcBorders>
                  <w:noWrap w:val="0"/>
                  <w:vAlign w:val="center"/>
                </w:tcPr>
                <w:p w14:paraId="72D857F5">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未按要求设置标识标牌</w:t>
                  </w:r>
                </w:p>
              </w:tc>
              <w:tc>
                <w:tcPr>
                  <w:tcW w:w="2557" w:type="pct"/>
                  <w:tcBorders>
                    <w:tl2br w:val="nil"/>
                    <w:tr2bl w:val="nil"/>
                  </w:tcBorders>
                  <w:noWrap w:val="0"/>
                  <w:vAlign w:val="center"/>
                </w:tcPr>
                <w:p w14:paraId="4940641C">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将医疗废物暂存间内其他固废转移至一般固废暂存间。按照</w:t>
                  </w:r>
                  <w:r>
                    <w:rPr>
                      <w:rFonts w:hint="default" w:ascii="Times New Roman" w:hAnsi="Times New Roman" w:eastAsia="宋体" w:cs="Times New Roman"/>
                      <w:color w:val="auto"/>
                      <w:sz w:val="21"/>
                      <w:szCs w:val="21"/>
                      <w:highlight w:val="none"/>
                      <w:u w:val="none" w:color="auto"/>
                      <w:lang w:val="en-US" w:eastAsia="zh-CN"/>
                    </w:rPr>
                    <w:t>《危险废物贮存污染控制标准》（GB18597-2023）</w:t>
                  </w:r>
                  <w:r>
                    <w:rPr>
                      <w:rFonts w:hint="eastAsia" w:ascii="Times New Roman" w:hAnsi="Times New Roman" w:eastAsia="宋体" w:cs="Times New Roman"/>
                      <w:color w:val="auto"/>
                      <w:sz w:val="21"/>
                      <w:szCs w:val="21"/>
                      <w:highlight w:val="none"/>
                      <w:u w:val="none" w:color="auto"/>
                      <w:lang w:val="en-US" w:eastAsia="zh-CN"/>
                    </w:rPr>
                    <w:t>、《医疗废物专用包装袋、容器和警示标志标准》（HJ421-2008）等相关技术规范建设医疗废物暂存间</w:t>
                  </w:r>
                </w:p>
              </w:tc>
            </w:tr>
            <w:tr w14:paraId="7B91E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2" w:type="pct"/>
                  <w:gridSpan w:val="3"/>
                  <w:tcBorders>
                    <w:tl2br w:val="nil"/>
                    <w:tr2bl w:val="nil"/>
                  </w:tcBorders>
                  <w:noWrap w:val="0"/>
                  <w:vAlign w:val="center"/>
                </w:tcPr>
                <w:p w14:paraId="6DDFC4FB">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院区污水处理工程无事故应急池</w:t>
                  </w:r>
                </w:p>
              </w:tc>
              <w:tc>
                <w:tcPr>
                  <w:tcW w:w="2557" w:type="pct"/>
                  <w:tcBorders>
                    <w:tl2br w:val="nil"/>
                    <w:tr2bl w:val="nil"/>
                  </w:tcBorders>
                  <w:noWrap w:val="0"/>
                  <w:vAlign w:val="center"/>
                </w:tcPr>
                <w:p w14:paraId="3933D6BB">
                  <w:pPr>
                    <w:pStyle w:val="37"/>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根据《医疗机构水污染物排放标准》（GB 18466-2005）中“12.4应急措施：12.4.1医院污水处理工程应设应急事故池，以贮存处理系统事故</w:t>
                  </w:r>
                  <w:r>
                    <w:rPr>
                      <w:rFonts w:hint="eastAsia" w:cs="Times New Roman"/>
                      <w:color w:val="auto"/>
                      <w:sz w:val="21"/>
                      <w:szCs w:val="21"/>
                      <w:highlight w:val="none"/>
                      <w:u w:val="none" w:color="auto"/>
                      <w:lang w:val="en-US" w:eastAsia="zh-CN"/>
                    </w:rPr>
                    <w:t>或其他</w:t>
                  </w:r>
                  <w:r>
                    <w:rPr>
                      <w:rFonts w:hint="eastAsia" w:ascii="Times New Roman" w:hAnsi="Times New Roman" w:eastAsia="宋体" w:cs="Times New Roman"/>
                      <w:color w:val="auto"/>
                      <w:sz w:val="21"/>
                      <w:szCs w:val="21"/>
                      <w:highlight w:val="none"/>
                      <w:u w:val="none" w:color="auto"/>
                      <w:lang w:val="en-US" w:eastAsia="zh-CN"/>
                    </w:rPr>
                    <w:t>突发事件时医院污水。非传染病医院污水处理工程应急事故池容积不小于日排放量的30%”本项目日排水量为</w:t>
                  </w:r>
                  <w:r>
                    <w:rPr>
                      <w:rFonts w:hint="eastAsia" w:cs="Times New Roman"/>
                      <w:color w:val="auto"/>
                      <w:sz w:val="21"/>
                      <w:szCs w:val="21"/>
                      <w:highlight w:val="none"/>
                      <w:u w:val="none" w:color="auto"/>
                      <w:lang w:val="en-US" w:eastAsia="zh-CN"/>
                    </w:rPr>
                    <w:t>10.204t</w:t>
                  </w:r>
                  <w:r>
                    <w:rPr>
                      <w:rFonts w:hint="eastAsia" w:ascii="Times New Roman" w:hAnsi="Times New Roman" w:eastAsia="宋体" w:cs="Times New Roman"/>
                      <w:color w:val="auto"/>
                      <w:sz w:val="21"/>
                      <w:szCs w:val="21"/>
                      <w:highlight w:val="none"/>
                      <w:u w:val="none" w:color="auto"/>
                      <w:lang w:val="en-US" w:eastAsia="zh-CN"/>
                    </w:rPr>
                    <w:t>/d，故需设置一座约5m</w:t>
                  </w:r>
                  <w:r>
                    <w:rPr>
                      <w:rFonts w:hint="eastAsia" w:ascii="Times New Roman" w:hAnsi="Times New Roman" w:eastAsia="宋体" w:cs="Times New Roman"/>
                      <w:color w:val="auto"/>
                      <w:sz w:val="21"/>
                      <w:szCs w:val="21"/>
                      <w:highlight w:val="none"/>
                      <w:u w:val="none" w:color="auto"/>
                      <w:vertAlign w:val="superscript"/>
                      <w:lang w:val="en-US" w:eastAsia="zh-CN"/>
                    </w:rPr>
                    <w:t>3</w:t>
                  </w:r>
                  <w:r>
                    <w:rPr>
                      <w:rFonts w:hint="eastAsia" w:ascii="Times New Roman" w:hAnsi="Times New Roman" w:eastAsia="宋体" w:cs="Times New Roman"/>
                      <w:color w:val="auto"/>
                      <w:sz w:val="21"/>
                      <w:szCs w:val="21"/>
                      <w:highlight w:val="none"/>
                      <w:u w:val="none" w:color="auto"/>
                      <w:lang w:val="en-US" w:eastAsia="zh-CN"/>
                    </w:rPr>
                    <w:t>的事故应急池</w:t>
                  </w:r>
                </w:p>
              </w:tc>
            </w:tr>
            <w:tr w14:paraId="5186C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2" w:type="pct"/>
                  <w:gridSpan w:val="3"/>
                  <w:tcBorders>
                    <w:tl2br w:val="nil"/>
                    <w:tr2bl w:val="nil"/>
                  </w:tcBorders>
                  <w:noWrap w:val="0"/>
                  <w:vAlign w:val="center"/>
                </w:tcPr>
                <w:p w14:paraId="61B4F0E3">
                  <w:pPr>
                    <w:pStyle w:val="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废水排放口未设置规范化排污口标识标牌</w:t>
                  </w:r>
                </w:p>
              </w:tc>
              <w:tc>
                <w:tcPr>
                  <w:tcW w:w="2557" w:type="pct"/>
                  <w:tcBorders>
                    <w:tl2br w:val="nil"/>
                    <w:tr2bl w:val="nil"/>
                  </w:tcBorders>
                  <w:noWrap w:val="0"/>
                  <w:vAlign w:val="center"/>
                </w:tcPr>
                <w:p w14:paraId="13DEC996">
                  <w:pPr>
                    <w:pStyle w:val="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根据《排污口规范化整治技术要求（试行）》、《环境保护图形标识》（GB15562.1-1</w:t>
                  </w:r>
                  <w:r>
                    <w:rPr>
                      <w:rFonts w:hint="eastAsia" w:ascii="Times New Roman" w:hAnsi="Times New Roman" w:eastAsia="宋体" w:cs="Times New Roman"/>
                      <w:color w:val="auto"/>
                      <w:sz w:val="21"/>
                      <w:szCs w:val="21"/>
                      <w:highlight w:val="none"/>
                      <w:u w:val="none" w:color="auto"/>
                      <w:lang w:val="en-US" w:eastAsia="zh-CN"/>
                    </w:rPr>
                    <w:t>995</w:t>
                  </w:r>
                  <w:r>
                    <w:rPr>
                      <w:rFonts w:hint="default" w:ascii="Times New Roman" w:hAnsi="Times New Roman" w:eastAsia="宋体" w:cs="Times New Roman"/>
                      <w:color w:val="auto"/>
                      <w:sz w:val="21"/>
                      <w:szCs w:val="21"/>
                      <w:highlight w:val="none"/>
                      <w:u w:val="none" w:color="auto"/>
                      <w:lang w:val="en-US" w:eastAsia="zh-CN"/>
                    </w:rPr>
                    <w:t>）</w:t>
                  </w:r>
                  <w:r>
                    <w:rPr>
                      <w:rFonts w:hint="eastAsia" w:ascii="Times New Roman" w:hAnsi="Times New Roman" w:eastAsia="宋体" w:cs="Times New Roman"/>
                      <w:color w:val="auto"/>
                      <w:sz w:val="21"/>
                      <w:szCs w:val="21"/>
                      <w:highlight w:val="none"/>
                      <w:u w:val="none" w:color="auto"/>
                      <w:lang w:val="en-US" w:eastAsia="zh-CN"/>
                    </w:rPr>
                    <w:t>等</w:t>
                  </w:r>
                  <w:r>
                    <w:rPr>
                      <w:rFonts w:hint="default" w:ascii="Times New Roman" w:hAnsi="Times New Roman" w:eastAsia="宋体" w:cs="Times New Roman"/>
                      <w:color w:val="auto"/>
                      <w:sz w:val="21"/>
                      <w:szCs w:val="21"/>
                      <w:highlight w:val="none"/>
                      <w:u w:val="none" w:color="auto"/>
                      <w:lang w:val="en-US" w:eastAsia="zh-CN"/>
                    </w:rPr>
                    <w:t>规定，设置与之相应的环境保护图形标识牌，</w:t>
                  </w:r>
                  <w:r>
                    <w:rPr>
                      <w:rFonts w:hint="eastAsia" w:cs="Times New Roman"/>
                      <w:color w:val="auto"/>
                      <w:sz w:val="21"/>
                      <w:szCs w:val="21"/>
                      <w:highlight w:val="none"/>
                      <w:u w:val="none" w:color="auto"/>
                      <w:lang w:val="en-US" w:eastAsia="zh-CN"/>
                    </w:rPr>
                    <w:t>注明</w:t>
                  </w:r>
                  <w:r>
                    <w:rPr>
                      <w:rFonts w:hint="default" w:ascii="Times New Roman" w:hAnsi="Times New Roman" w:eastAsia="宋体" w:cs="Times New Roman"/>
                      <w:color w:val="auto"/>
                      <w:sz w:val="21"/>
                      <w:szCs w:val="21"/>
                      <w:highlight w:val="none"/>
                      <w:u w:val="none" w:color="auto"/>
                      <w:lang w:val="en-US" w:eastAsia="zh-CN"/>
                    </w:rPr>
                    <w:t>排污单位、排污口性质及编号，排污口地理位置、主要排放物污染种类等信息。</w:t>
                  </w:r>
                </w:p>
              </w:tc>
            </w:tr>
            <w:tr w14:paraId="6E578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2" w:type="pct"/>
                  <w:gridSpan w:val="3"/>
                  <w:tcBorders>
                    <w:tl2br w:val="nil"/>
                    <w:tr2bl w:val="nil"/>
                  </w:tcBorders>
                  <w:noWrap w:val="0"/>
                  <w:vAlign w:val="center"/>
                </w:tcPr>
                <w:p w14:paraId="245511D4">
                  <w:pPr>
                    <w:pStyle w:val="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食堂废水处理没有设隔油池</w:t>
                  </w:r>
                </w:p>
              </w:tc>
              <w:tc>
                <w:tcPr>
                  <w:tcW w:w="2557" w:type="pct"/>
                  <w:tcBorders>
                    <w:tl2br w:val="nil"/>
                    <w:tr2bl w:val="nil"/>
                  </w:tcBorders>
                  <w:noWrap w:val="0"/>
                  <w:vAlign w:val="center"/>
                </w:tcPr>
                <w:p w14:paraId="005C7F89">
                  <w:pPr>
                    <w:pStyle w:val="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根据《含油污水处理工程技术规范》（HJ 580-2010）中“5.1.1：对含油污水应进行单独除油处理，以保证城市污水处理系统或者后续污水处理工艺过程正常运行。”故对于食堂废水处理应设隔油池。</w:t>
                  </w:r>
                </w:p>
              </w:tc>
            </w:tr>
            <w:tr w14:paraId="21E29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2" w:type="pct"/>
                  <w:gridSpan w:val="3"/>
                  <w:tcBorders>
                    <w:tl2br w:val="nil"/>
                    <w:tr2bl w:val="nil"/>
                  </w:tcBorders>
                  <w:noWrap w:val="0"/>
                  <w:vAlign w:val="center"/>
                </w:tcPr>
                <w:p w14:paraId="7D4BA75E">
                  <w:pPr>
                    <w:pStyle w:val="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lang w:val="en-US" w:eastAsia="zh-CN"/>
                    </w:rPr>
                    <w:t>编制应急预案</w:t>
                  </w:r>
                </w:p>
              </w:tc>
              <w:tc>
                <w:tcPr>
                  <w:tcW w:w="2557" w:type="pct"/>
                  <w:tcBorders>
                    <w:tl2br w:val="nil"/>
                    <w:tr2bl w:val="nil"/>
                  </w:tcBorders>
                  <w:noWrap w:val="0"/>
                  <w:vAlign w:val="center"/>
                </w:tcPr>
                <w:p w14:paraId="701BF15E">
                  <w:pPr>
                    <w:pStyle w:val="3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及时编制</w:t>
                  </w:r>
                </w:p>
              </w:tc>
            </w:tr>
          </w:tbl>
          <w:p w14:paraId="071FF149">
            <w:pPr>
              <w:pStyle w:val="13"/>
              <w:jc w:val="both"/>
              <w:rPr>
                <w:rFonts w:hint="default"/>
                <w:color w:val="auto"/>
                <w:lang w:val="en-US" w:eastAsia="zh-CN"/>
              </w:rPr>
            </w:pPr>
          </w:p>
        </w:tc>
      </w:tr>
    </w:tbl>
    <w:p w14:paraId="43024CCA">
      <w:r>
        <w:br w:type="page"/>
      </w:r>
    </w:p>
    <w:p w14:paraId="6DCA3C26">
      <w:pPr>
        <w:pStyle w:val="14"/>
        <w:jc w:val="center"/>
        <w:outlineLvl w:val="0"/>
        <w:rPr>
          <w:rFonts w:hint="default" w:ascii="黑体" w:hAnsi="黑体" w:eastAsia="黑体"/>
          <w:snapToGrid w:val="0"/>
          <w:sz w:val="30"/>
          <w:szCs w:val="30"/>
          <w:lang w:val="en-US" w:eastAsia="zh-CN"/>
        </w:rPr>
      </w:pPr>
      <w:bookmarkStart w:id="20" w:name="_Toc18598"/>
      <w:bookmarkStart w:id="21" w:name="_Toc27210"/>
      <w:r>
        <w:rPr>
          <w:rFonts w:hint="eastAsia" w:ascii="黑体" w:hAnsi="黑体" w:eastAsia="黑体"/>
          <w:snapToGrid w:val="0"/>
          <w:sz w:val="30"/>
          <w:szCs w:val="30"/>
          <w:lang w:val="en-US" w:eastAsia="zh-CN"/>
        </w:rPr>
        <w:t>五</w:t>
      </w:r>
      <w:r>
        <w:rPr>
          <w:rFonts w:hint="eastAsia" w:ascii="黑体" w:hAnsi="黑体" w:eastAsia="黑体"/>
          <w:snapToGrid w:val="0"/>
          <w:sz w:val="30"/>
          <w:szCs w:val="30"/>
        </w:rPr>
        <w:t>、</w:t>
      </w:r>
      <w:r>
        <w:rPr>
          <w:rFonts w:hint="eastAsia" w:ascii="黑体" w:hAnsi="黑体" w:eastAsia="黑体"/>
          <w:snapToGrid w:val="0"/>
          <w:sz w:val="30"/>
          <w:szCs w:val="30"/>
          <w:lang w:val="en-US" w:eastAsia="zh-CN"/>
        </w:rPr>
        <w:t>入河排污口设置论证</w:t>
      </w:r>
      <w:bookmarkEnd w:id="20"/>
      <w:bookmarkEnd w:id="21"/>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94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noWrap w:val="0"/>
            <w:vAlign w:val="top"/>
          </w:tcPr>
          <w:p w14:paraId="61B21575">
            <w:pPr>
              <w:pStyle w:val="1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bookmarkStart w:id="22" w:name="_Toc30277"/>
            <w:r>
              <w:rPr>
                <w:rFonts w:hint="default" w:ascii="Times New Roman" w:hAnsi="Times New Roman" w:eastAsia="宋体" w:cs="Times New Roman"/>
                <w:b/>
                <w:bCs/>
                <w:snapToGrid w:val="0"/>
                <w:sz w:val="24"/>
                <w:szCs w:val="24"/>
                <w:u w:val="none" w:color="auto"/>
                <w:vertAlign w:val="baseline"/>
                <w:lang w:val="en-US" w:eastAsia="zh-CN"/>
              </w:rPr>
              <w:t>1、入河排污口设置方案概况</w:t>
            </w:r>
          </w:p>
          <w:p w14:paraId="12EFB0D4">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left"/>
              <w:textAlignment w:val="auto"/>
              <w:outlineLvl w:val="9"/>
              <w:rPr>
                <w:rFonts w:hint="default" w:ascii="Times New Roman" w:hAnsi="Times New Roman" w:eastAsia="宋体" w:cs="Times New Roman"/>
                <w:b/>
                <w:bCs/>
                <w:sz w:val="24"/>
                <w:szCs w:val="24"/>
                <w:u w:val="none" w:color="auto"/>
                <w:lang w:val="en-US" w:eastAsia="zh-CN"/>
              </w:rPr>
            </w:pPr>
            <w:r>
              <w:rPr>
                <w:rFonts w:hint="default" w:ascii="Times New Roman" w:hAnsi="Times New Roman" w:eastAsia="宋体" w:cs="Times New Roman"/>
                <w:b/>
                <w:bCs/>
                <w:sz w:val="24"/>
                <w:szCs w:val="24"/>
                <w:u w:val="none" w:color="auto"/>
                <w:lang w:val="en-US" w:eastAsia="zh-CN"/>
              </w:rPr>
              <w:t>1.1、入河排污口基本情况</w:t>
            </w:r>
          </w:p>
          <w:p w14:paraId="695EACFC">
            <w:pPr>
              <w:numPr>
                <w:ilvl w:val="0"/>
                <w:numId w:val="0"/>
              </w:numPr>
              <w:spacing w:line="360" w:lineRule="auto"/>
              <w:ind w:firstLine="480" w:firstLineChars="200"/>
              <w:jc w:val="both"/>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本项目产生的污水主要为医疗废水、食堂废水及生活污水。</w:t>
            </w:r>
          </w:p>
          <w:p w14:paraId="3238A5A1">
            <w:pPr>
              <w:numPr>
                <w:ilvl w:val="0"/>
                <w:numId w:val="0"/>
              </w:numPr>
              <w:spacing w:line="360" w:lineRule="auto"/>
              <w:ind w:firstLine="480" w:firstLineChars="200"/>
              <w:jc w:val="both"/>
              <w:rPr>
                <w:rFonts w:hint="default"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医疗废水主要为住院病人及陪护人废水、门诊废水、检验科清洗废水等</w:t>
            </w:r>
            <w:r>
              <w:rPr>
                <w:rFonts w:hint="default" w:ascii="Times New Roman" w:hAnsi="Times New Roman" w:eastAsia="宋体" w:cs="Times New Roman"/>
                <w:sz w:val="24"/>
                <w:szCs w:val="24"/>
                <w:highlight w:val="none"/>
                <w:u w:val="none" w:color="auto"/>
                <w:lang w:val="en-US" w:eastAsia="zh-CN"/>
              </w:rPr>
              <w:t>。</w:t>
            </w:r>
            <w:r>
              <w:rPr>
                <w:rFonts w:hint="eastAsia" w:ascii="Times New Roman" w:hAnsi="Times New Roman" w:eastAsia="宋体" w:cs="Times New Roman"/>
                <w:sz w:val="24"/>
                <w:szCs w:val="24"/>
                <w:highlight w:val="none"/>
                <w:u w:val="none" w:color="auto"/>
                <w:lang w:val="en-US" w:eastAsia="zh-CN"/>
              </w:rPr>
              <w:t>本项目食堂废水经隔油池预处理后与生活污水和医疗废水经化粪池处理后一起进入院内污水处理站处理达到《医疗机构水污染物排放标准》（GB18466-2005）表2中排放标准后经管网排入项目</w:t>
            </w:r>
            <w:r>
              <w:rPr>
                <w:rFonts w:hint="eastAsia" w:ascii="Times New Roman" w:hAnsi="Times New Roman" w:cs="Times New Roman"/>
                <w:sz w:val="24"/>
                <w:szCs w:val="24"/>
                <w:highlight w:val="none"/>
                <w:u w:val="none" w:color="auto"/>
                <w:lang w:val="en-US" w:eastAsia="zh-CN"/>
              </w:rPr>
              <w:t>北侧洣水</w:t>
            </w:r>
            <w:r>
              <w:rPr>
                <w:rFonts w:hint="eastAsia" w:ascii="Times New Roman" w:hAnsi="Times New Roman" w:eastAsia="宋体" w:cs="Times New Roman"/>
                <w:sz w:val="24"/>
                <w:szCs w:val="24"/>
                <w:highlight w:val="none"/>
                <w:u w:val="none" w:color="auto"/>
                <w:lang w:val="en-US" w:eastAsia="zh-CN"/>
              </w:rPr>
              <w:t>。</w:t>
            </w:r>
            <w:r>
              <w:rPr>
                <w:rFonts w:hint="default" w:ascii="Times New Roman" w:hAnsi="Times New Roman" w:eastAsia="宋体" w:cs="Times New Roman"/>
                <w:sz w:val="24"/>
                <w:szCs w:val="24"/>
                <w:highlight w:val="none"/>
                <w:u w:val="none" w:color="auto"/>
                <w:lang w:val="en-US" w:eastAsia="zh-CN"/>
              </w:rPr>
              <w:t>项目最大排水量约为</w:t>
            </w:r>
            <w:r>
              <w:rPr>
                <w:rFonts w:hint="eastAsia" w:cs="Times New Roman"/>
                <w:sz w:val="24"/>
                <w:szCs w:val="24"/>
                <w:highlight w:val="none"/>
                <w:u w:val="none" w:color="auto"/>
                <w:lang w:val="en-US" w:eastAsia="zh-CN"/>
              </w:rPr>
              <w:t>10.204t</w:t>
            </w:r>
            <w:r>
              <w:rPr>
                <w:rFonts w:hint="eastAsia" w:ascii="Times New Roman" w:hAnsi="Times New Roman" w:eastAsia="宋体" w:cs="Times New Roman"/>
                <w:sz w:val="24"/>
                <w:szCs w:val="24"/>
                <w:highlight w:val="none"/>
                <w:u w:val="none" w:color="auto"/>
                <w:lang w:val="en-US" w:eastAsia="zh-CN"/>
              </w:rPr>
              <w:t>/d（</w:t>
            </w:r>
            <w:r>
              <w:rPr>
                <w:rFonts w:hint="eastAsia" w:cs="Times New Roman"/>
                <w:sz w:val="24"/>
                <w:szCs w:val="24"/>
                <w:highlight w:val="none"/>
                <w:u w:val="none" w:color="auto"/>
                <w:lang w:val="en-US" w:eastAsia="zh-CN"/>
              </w:rPr>
              <w:t>3724.45t</w:t>
            </w:r>
            <w:r>
              <w:rPr>
                <w:rFonts w:hint="eastAsia" w:ascii="Times New Roman" w:hAnsi="Times New Roman" w:eastAsia="宋体" w:cs="Times New Roman"/>
                <w:sz w:val="24"/>
                <w:szCs w:val="24"/>
                <w:highlight w:val="none"/>
                <w:u w:val="none" w:color="auto"/>
                <w:lang w:val="en-US" w:eastAsia="zh-CN"/>
              </w:rPr>
              <w:t>/a）</w:t>
            </w:r>
            <w:r>
              <w:rPr>
                <w:rFonts w:hint="default" w:ascii="Times New Roman" w:hAnsi="Times New Roman" w:eastAsia="宋体" w:cs="Times New Roman"/>
                <w:sz w:val="24"/>
                <w:szCs w:val="24"/>
                <w:highlight w:val="none"/>
                <w:u w:val="none" w:color="auto"/>
                <w:lang w:val="en-US" w:eastAsia="zh-CN"/>
              </w:rPr>
              <w:t>。</w:t>
            </w:r>
          </w:p>
          <w:p w14:paraId="0B830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1</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废水入</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位置：</w:t>
            </w:r>
            <w:r>
              <w:rPr>
                <w:rFonts w:hint="default" w:ascii="Times New Roman" w:hAnsi="Times New Roman" w:eastAsia="宋体"/>
                <w:sz w:val="24"/>
                <w:szCs w:val="24"/>
                <w:u w:val="none" w:color="auto"/>
                <w:lang w:val="en-US" w:eastAsia="zh-CN"/>
              </w:rPr>
              <w:t>E113.</w:t>
            </w:r>
            <w:r>
              <w:rPr>
                <w:rFonts w:hint="eastAsia"/>
                <w:sz w:val="24"/>
                <w:szCs w:val="24"/>
                <w:u w:val="none" w:color="auto"/>
                <w:lang w:val="en-US" w:eastAsia="zh-CN"/>
              </w:rPr>
              <w:t>601731</w:t>
            </w:r>
            <w:r>
              <w:rPr>
                <w:rFonts w:hint="default" w:ascii="Times New Roman" w:hAnsi="Times New Roman" w:eastAsia="宋体"/>
                <w:sz w:val="24"/>
                <w:szCs w:val="24"/>
                <w:u w:val="none" w:color="auto"/>
                <w:lang w:val="en-US" w:eastAsia="zh-CN"/>
              </w:rPr>
              <w:t>，N2</w:t>
            </w:r>
            <w:r>
              <w:rPr>
                <w:rFonts w:hint="eastAsia" w:ascii="Times New Roman" w:hAnsi="Times New Roman" w:eastAsia="宋体"/>
                <w:sz w:val="24"/>
                <w:szCs w:val="24"/>
                <w:u w:val="none" w:color="auto"/>
                <w:lang w:val="en-US" w:eastAsia="zh-CN"/>
              </w:rPr>
              <w:t>6</w:t>
            </w:r>
            <w:r>
              <w:rPr>
                <w:rFonts w:hint="default" w:ascii="Times New Roman" w:hAnsi="Times New Roman" w:eastAsia="宋体"/>
                <w:sz w:val="24"/>
                <w:szCs w:val="24"/>
                <w:u w:val="none" w:color="auto"/>
                <w:lang w:val="en-US" w:eastAsia="zh-CN"/>
              </w:rPr>
              <w:t>.</w:t>
            </w:r>
            <w:r>
              <w:rPr>
                <w:rFonts w:hint="eastAsia"/>
                <w:sz w:val="24"/>
                <w:szCs w:val="24"/>
                <w:u w:val="none" w:color="auto"/>
                <w:lang w:val="en-US" w:eastAsia="zh-CN"/>
              </w:rPr>
              <w:t>564814</w:t>
            </w:r>
          </w:p>
          <w:p w14:paraId="23CF0D9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2</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入河排污口类型：新建</w:t>
            </w:r>
          </w:p>
          <w:p w14:paraId="0A81593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3</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入河排污口分类：综合废水入河排口</w:t>
            </w:r>
          </w:p>
          <w:p w14:paraId="4685F5D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4</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入河排污口排放方式：</w:t>
            </w:r>
            <w:r>
              <w:rPr>
                <w:rFonts w:hint="eastAsia" w:cs="Times New Roman"/>
                <w:color w:val="000000"/>
                <w:kern w:val="0"/>
                <w:sz w:val="24"/>
                <w:szCs w:val="24"/>
                <w:u w:val="none" w:color="auto"/>
                <w:lang w:val="en-US" w:eastAsia="zh-CN" w:bidi="ar"/>
              </w:rPr>
              <w:t>连续稳定</w:t>
            </w:r>
            <w:r>
              <w:rPr>
                <w:rFonts w:hint="default" w:ascii="Times New Roman" w:hAnsi="Times New Roman" w:eastAsia="宋体" w:cs="Times New Roman"/>
                <w:color w:val="000000"/>
                <w:kern w:val="0"/>
                <w:sz w:val="24"/>
                <w:szCs w:val="24"/>
                <w:u w:val="none" w:color="auto"/>
                <w:lang w:val="en-US" w:eastAsia="zh-CN" w:bidi="ar"/>
              </w:rPr>
              <w:t xml:space="preserve">排放 </w:t>
            </w:r>
          </w:p>
          <w:p w14:paraId="6FC5400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5</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入河排污口入河方式：通过院外</w:t>
            </w:r>
            <w:r>
              <w:rPr>
                <w:rFonts w:hint="eastAsia" w:ascii="Times New Roman" w:hAnsi="Times New Roman" w:eastAsia="宋体" w:cs="Times New Roman"/>
                <w:color w:val="000000"/>
                <w:kern w:val="0"/>
                <w:sz w:val="24"/>
                <w:szCs w:val="24"/>
                <w:u w:val="none" w:color="auto"/>
                <w:lang w:val="en-US" w:eastAsia="zh-CN" w:bidi="ar"/>
              </w:rPr>
              <w:t>市政管道</w:t>
            </w:r>
            <w:r>
              <w:rPr>
                <w:rFonts w:hint="eastAsia" w:ascii="Times New Roman" w:hAnsi="Times New Roman" w:cs="Times New Roman"/>
                <w:color w:val="000000"/>
                <w:kern w:val="0"/>
                <w:sz w:val="24"/>
                <w:szCs w:val="24"/>
                <w:u w:val="none" w:color="auto"/>
                <w:lang w:val="en-US" w:eastAsia="zh-CN" w:bidi="ar"/>
              </w:rPr>
              <w:t>排入</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w:t>
            </w:r>
          </w:p>
          <w:p w14:paraId="0E2DEDE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6</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kern w:val="0"/>
                <w:sz w:val="24"/>
                <w:szCs w:val="24"/>
                <w:u w:val="none" w:color="auto"/>
                <w:lang w:val="en-US" w:eastAsia="zh-CN" w:bidi="ar"/>
              </w:rPr>
              <w:t>影响范围：入河排污口上游500m、下游</w:t>
            </w:r>
            <w:r>
              <w:rPr>
                <w:rFonts w:hint="eastAsia" w:ascii="Times New Roman" w:hAnsi="Times New Roman" w:cs="Times New Roman"/>
                <w:color w:val="auto"/>
                <w:kern w:val="0"/>
                <w:sz w:val="24"/>
                <w:szCs w:val="24"/>
                <w:u w:val="none" w:color="auto"/>
                <w:lang w:val="en-US" w:eastAsia="zh-CN" w:bidi="ar"/>
              </w:rPr>
              <w:t>15</w:t>
            </w:r>
            <w:r>
              <w:rPr>
                <w:rFonts w:hint="default" w:ascii="Times New Roman" w:hAnsi="Times New Roman" w:eastAsia="宋体" w:cs="Times New Roman"/>
                <w:color w:val="auto"/>
                <w:kern w:val="0"/>
                <w:sz w:val="24"/>
                <w:szCs w:val="24"/>
                <w:u w:val="none" w:color="auto"/>
                <w:lang w:val="en-US" w:eastAsia="zh-CN" w:bidi="ar"/>
              </w:rPr>
              <w:t>00m</w:t>
            </w:r>
            <w:r>
              <w:rPr>
                <w:rFonts w:hint="eastAsia" w:ascii="Times New Roman" w:hAnsi="Times New Roman" w:eastAsia="宋体" w:cs="Times New Roman"/>
                <w:color w:val="auto"/>
                <w:kern w:val="0"/>
                <w:sz w:val="24"/>
                <w:szCs w:val="24"/>
                <w:u w:val="none" w:color="auto"/>
                <w:lang w:val="en-US" w:eastAsia="zh-CN" w:bidi="ar"/>
              </w:rPr>
              <w:t>。</w:t>
            </w:r>
          </w:p>
          <w:p w14:paraId="0E580E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7</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排放的污水量：</w:t>
            </w:r>
            <w:r>
              <w:rPr>
                <w:rFonts w:hint="default" w:cs="Times New Roman"/>
                <w:color w:val="000000"/>
                <w:kern w:val="0"/>
                <w:sz w:val="24"/>
                <w:szCs w:val="24"/>
                <w:u w:val="none" w:color="auto"/>
                <w:lang w:val="en-US" w:eastAsia="zh-CN" w:bidi="ar"/>
              </w:rPr>
              <w:t>3</w:t>
            </w:r>
            <w:r>
              <w:rPr>
                <w:rFonts w:hint="eastAsia" w:cs="Times New Roman"/>
                <w:color w:val="000000"/>
                <w:kern w:val="0"/>
                <w:sz w:val="24"/>
                <w:szCs w:val="24"/>
                <w:u w:val="none" w:color="auto"/>
                <w:lang w:val="en-US" w:eastAsia="zh-CN" w:bidi="ar"/>
              </w:rPr>
              <w:t>724.45</w:t>
            </w:r>
            <w:r>
              <w:rPr>
                <w:rFonts w:hint="default" w:cs="Times New Roman"/>
                <w:color w:val="000000"/>
                <w:kern w:val="0"/>
                <w:sz w:val="24"/>
                <w:szCs w:val="24"/>
                <w:u w:val="none" w:color="auto"/>
                <w:lang w:val="en-US" w:eastAsia="zh-CN" w:bidi="ar"/>
              </w:rPr>
              <w:t>t</w:t>
            </w:r>
            <w:r>
              <w:rPr>
                <w:rFonts w:hint="default" w:ascii="Times New Roman" w:hAnsi="Times New Roman" w:eastAsia="宋体" w:cs="Times New Roman"/>
                <w:color w:val="000000"/>
                <w:kern w:val="0"/>
                <w:sz w:val="24"/>
                <w:szCs w:val="24"/>
                <w:u w:val="none" w:color="auto"/>
                <w:lang w:val="en-US" w:eastAsia="zh-CN" w:bidi="ar"/>
              </w:rPr>
              <w:t>/a</w:t>
            </w:r>
            <w:r>
              <w:rPr>
                <w:rFonts w:hint="eastAsia" w:ascii="Times New Roman" w:hAnsi="Times New Roman" w:eastAsia="宋体" w:cs="Times New Roman"/>
                <w:color w:val="000000"/>
                <w:kern w:val="0"/>
                <w:sz w:val="24"/>
                <w:szCs w:val="24"/>
                <w:u w:val="none" w:color="auto"/>
                <w:lang w:val="en-US" w:eastAsia="zh-CN" w:bidi="ar"/>
              </w:rPr>
              <w:t>。</w:t>
            </w:r>
          </w:p>
          <w:p w14:paraId="6AF1CC9C">
            <w:pPr>
              <w:pStyle w:val="6"/>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u w:val="none" w:color="auto"/>
                <w:lang w:val="en-US" w:eastAsia="zh-CN"/>
              </w:rPr>
            </w:pPr>
            <w:r>
              <w:rPr>
                <w:rFonts w:hint="eastAsia" w:ascii="Times New Roman" w:hAnsi="Times New Roman" w:eastAsia="宋体" w:cs="Times New Roman"/>
                <w:kern w:val="2"/>
                <w:sz w:val="24"/>
                <w:szCs w:val="24"/>
                <w:u w:val="none" w:color="auto"/>
                <w:lang w:val="en-US" w:eastAsia="zh-CN" w:bidi="ar-SA"/>
              </w:rPr>
              <w:t>（8）污水处理设计规模：</w:t>
            </w:r>
            <w:r>
              <w:rPr>
                <w:rFonts w:hint="eastAsia" w:cs="Times New Roman"/>
                <w:kern w:val="2"/>
                <w:sz w:val="24"/>
                <w:szCs w:val="24"/>
                <w:u w:val="none" w:color="auto"/>
                <w:lang w:val="en-US" w:eastAsia="zh-CN" w:bidi="ar-SA"/>
              </w:rPr>
              <w:t>30</w:t>
            </w:r>
            <w:r>
              <w:rPr>
                <w:rFonts w:hint="eastAsia" w:cs="Times New Roman"/>
                <w:color w:val="000000"/>
                <w:kern w:val="0"/>
                <w:sz w:val="24"/>
                <w:szCs w:val="24"/>
                <w:u w:val="none" w:color="auto"/>
                <w:lang w:val="en-US" w:eastAsia="zh-CN" w:bidi="ar"/>
              </w:rPr>
              <w:t>t</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d。</w:t>
            </w:r>
          </w:p>
          <w:p w14:paraId="3BF5E57F">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left"/>
              <w:textAlignment w:val="auto"/>
              <w:outlineLvl w:val="9"/>
              <w:rPr>
                <w:rFonts w:hint="default" w:ascii="Times New Roman" w:hAnsi="Times New Roman" w:eastAsia="宋体" w:cs="Times New Roman"/>
                <w:b/>
                <w:bCs/>
                <w:sz w:val="24"/>
                <w:szCs w:val="24"/>
                <w:u w:val="none" w:color="auto"/>
                <w:lang w:val="en-US" w:eastAsia="zh-CN"/>
              </w:rPr>
            </w:pPr>
            <w:r>
              <w:rPr>
                <w:rFonts w:hint="default" w:ascii="Times New Roman" w:hAnsi="Times New Roman" w:eastAsia="宋体" w:cs="Times New Roman"/>
                <w:b/>
                <w:bCs/>
                <w:sz w:val="24"/>
                <w:szCs w:val="24"/>
                <w:u w:val="none" w:color="auto"/>
                <w:lang w:val="en-US" w:eastAsia="zh-CN"/>
              </w:rPr>
              <w:t>1.2、废水来源及构成</w:t>
            </w:r>
          </w:p>
          <w:p w14:paraId="768F20B0">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本项目产生的污水主要为医疗废水、食堂废水及生活污水。</w:t>
            </w:r>
          </w:p>
          <w:p w14:paraId="61BF9414">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highlight w:val="none"/>
                <w:u w:val="none" w:color="auto"/>
                <w:lang w:val="en-US" w:eastAsia="zh-CN"/>
              </w:rPr>
            </w:pPr>
            <w:r>
              <w:rPr>
                <w:rFonts w:hint="eastAsia" w:ascii="Times New Roman" w:hAnsi="Times New Roman" w:eastAsia="宋体" w:cs="Times New Roman"/>
                <w:sz w:val="24"/>
                <w:szCs w:val="24"/>
                <w:highlight w:val="none"/>
                <w:u w:val="none" w:color="auto"/>
                <w:lang w:val="en-US" w:eastAsia="zh-CN"/>
              </w:rPr>
              <w:t>食堂废水经隔油池预处理后与生活污水和医疗废水经化粪池处理后一起进入院内污水处理站处理达到《医疗机构水污染物排放标准》（GB18466-2005）表2中排放标准后外排。</w:t>
            </w:r>
          </w:p>
          <w:p w14:paraId="1376888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strike w:val="0"/>
                <w:dstrike w:val="0"/>
                <w:color w:val="auto"/>
                <w:sz w:val="24"/>
                <w:szCs w:val="24"/>
                <w:highlight w:val="none"/>
                <w:u w:val="none" w:color="auto"/>
                <w:lang w:val="en-US" w:eastAsia="zh-CN"/>
              </w:rPr>
              <w:t>废水排放路径为</w:t>
            </w:r>
            <w:r>
              <w:rPr>
                <w:rFonts w:hint="default" w:ascii="Times New Roman" w:hAnsi="Times New Roman" w:eastAsia="宋体" w:cs="Times New Roman"/>
                <w:color w:val="000000"/>
                <w:kern w:val="0"/>
                <w:sz w:val="24"/>
                <w:szCs w:val="24"/>
                <w:u w:val="none" w:color="auto"/>
                <w:lang w:val="en-US" w:eastAsia="zh-CN" w:bidi="ar"/>
              </w:rPr>
              <w:t>污水处理设</w:t>
            </w:r>
            <w:r>
              <w:rPr>
                <w:rFonts w:hint="default" w:ascii="Times New Roman" w:hAnsi="Times New Roman" w:eastAsia="宋体" w:cs="Times New Roman"/>
                <w:color w:val="auto"/>
                <w:kern w:val="0"/>
                <w:sz w:val="24"/>
                <w:szCs w:val="24"/>
                <w:u w:val="none" w:color="auto"/>
                <w:lang w:val="en-US" w:eastAsia="zh-CN" w:bidi="ar"/>
              </w:rPr>
              <w:t>施处理达标后的尾水</w:t>
            </w:r>
            <w:r>
              <w:rPr>
                <w:rFonts w:hint="eastAsia" w:ascii="Times New Roman" w:hAnsi="Times New Roman" w:eastAsia="宋体" w:cs="Times New Roman"/>
                <w:color w:val="auto"/>
                <w:sz w:val="24"/>
                <w:szCs w:val="24"/>
                <w:highlight w:val="none"/>
                <w:u w:val="none" w:color="auto"/>
                <w:lang w:val="en-US" w:eastAsia="zh-CN"/>
              </w:rPr>
              <w:t>经管网排入洣水。</w:t>
            </w:r>
            <w:r>
              <w:rPr>
                <w:rFonts w:hint="default" w:ascii="Times New Roman" w:hAnsi="Times New Roman" w:eastAsia="宋体" w:cs="Times New Roman"/>
                <w:color w:val="auto"/>
                <w:kern w:val="0"/>
                <w:sz w:val="24"/>
                <w:szCs w:val="24"/>
                <w:u w:val="none" w:color="auto"/>
                <w:lang w:val="en-US" w:eastAsia="zh-CN" w:bidi="ar"/>
              </w:rPr>
              <w:t>本项目废水外排污染物产生及排放情况见下表。</w:t>
            </w:r>
          </w:p>
          <w:p w14:paraId="20A3B220">
            <w:pPr>
              <w:bidi w:val="0"/>
              <w:jc w:val="center"/>
              <w:rPr>
                <w:rFonts w:hint="default"/>
                <w:b/>
                <w:bCs/>
                <w:sz w:val="21"/>
                <w:szCs w:val="21"/>
                <w:u w:val="none" w:color="auto"/>
              </w:rPr>
            </w:pPr>
            <w:r>
              <w:rPr>
                <w:rFonts w:hint="default"/>
                <w:b/>
                <w:bCs/>
                <w:sz w:val="21"/>
                <w:szCs w:val="21"/>
                <w:u w:val="none" w:color="auto"/>
              </w:rPr>
              <w:t>表</w:t>
            </w:r>
            <w:r>
              <w:rPr>
                <w:rFonts w:hint="default"/>
                <w:b/>
                <w:bCs/>
                <w:sz w:val="21"/>
                <w:szCs w:val="21"/>
                <w:u w:val="none" w:color="auto"/>
                <w:lang w:val="en-US" w:eastAsia="zh-CN"/>
              </w:rPr>
              <w:t>5-1</w:t>
            </w:r>
            <w:r>
              <w:rPr>
                <w:rFonts w:hint="default"/>
                <w:b/>
                <w:bCs/>
                <w:sz w:val="21"/>
                <w:szCs w:val="21"/>
                <w:u w:val="none" w:color="auto"/>
              </w:rPr>
              <w:t xml:space="preserve"> 项目</w:t>
            </w:r>
            <w:r>
              <w:rPr>
                <w:rFonts w:hint="default"/>
                <w:b/>
                <w:bCs/>
                <w:sz w:val="21"/>
                <w:szCs w:val="21"/>
                <w:u w:val="none" w:color="auto"/>
                <w:lang w:val="en-US" w:eastAsia="zh-CN"/>
              </w:rPr>
              <w:t>废水污染源</w:t>
            </w:r>
            <w:r>
              <w:rPr>
                <w:rFonts w:hint="default"/>
                <w:b/>
                <w:bCs/>
                <w:sz w:val="21"/>
                <w:szCs w:val="21"/>
                <w:u w:val="none" w:color="auto"/>
              </w:rPr>
              <w:t>一览表</w:t>
            </w:r>
          </w:p>
          <w:tbl>
            <w:tblPr>
              <w:tblStyle w:val="1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57" w:type="dxa"/>
                <w:bottom w:w="28" w:type="dxa"/>
                <w:right w:w="57" w:type="dxa"/>
              </w:tblCellMar>
            </w:tblPr>
            <w:tblGrid>
              <w:gridCol w:w="1427"/>
              <w:gridCol w:w="922"/>
              <w:gridCol w:w="990"/>
              <w:gridCol w:w="1275"/>
              <w:gridCol w:w="1233"/>
              <w:gridCol w:w="1038"/>
              <w:gridCol w:w="1388"/>
            </w:tblGrid>
            <w:tr w14:paraId="0EFF8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67" w:hRule="atLeast"/>
              </w:trPr>
              <w:tc>
                <w:tcPr>
                  <w:tcW w:w="862" w:type="pct"/>
                  <w:vMerge w:val="restart"/>
                  <w:tcBorders>
                    <w:tl2br w:val="nil"/>
                    <w:tr2bl w:val="nil"/>
                  </w:tcBorders>
                  <w:noWrap w:val="0"/>
                  <w:vAlign w:val="center"/>
                </w:tcPr>
                <w:p w14:paraId="1A129FDB">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废水类别</w:t>
                  </w:r>
                </w:p>
              </w:tc>
              <w:tc>
                <w:tcPr>
                  <w:tcW w:w="557" w:type="pct"/>
                  <w:vMerge w:val="restart"/>
                  <w:tcBorders>
                    <w:tl2br w:val="nil"/>
                    <w:tr2bl w:val="nil"/>
                  </w:tcBorders>
                  <w:noWrap w:val="0"/>
                  <w:vAlign w:val="center"/>
                </w:tcPr>
                <w:p w14:paraId="05441FD5">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w:t>
                  </w:r>
                </w:p>
                <w:p w14:paraId="3AEB5486">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因子</w:t>
                  </w:r>
                </w:p>
              </w:tc>
              <w:tc>
                <w:tcPr>
                  <w:tcW w:w="1368" w:type="pct"/>
                  <w:gridSpan w:val="2"/>
                  <w:tcBorders>
                    <w:tl2br w:val="nil"/>
                    <w:tr2bl w:val="nil"/>
                  </w:tcBorders>
                  <w:noWrap w:val="0"/>
                  <w:vAlign w:val="center"/>
                </w:tcPr>
                <w:p w14:paraId="285260FB">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产生情况</w:t>
                  </w:r>
                </w:p>
              </w:tc>
              <w:tc>
                <w:tcPr>
                  <w:tcW w:w="745" w:type="pct"/>
                  <w:vMerge w:val="restart"/>
                  <w:tcBorders>
                    <w:tl2br w:val="nil"/>
                    <w:tr2bl w:val="nil"/>
                  </w:tcBorders>
                  <w:noWrap w:val="0"/>
                  <w:vAlign w:val="center"/>
                </w:tcPr>
                <w:p w14:paraId="11B8D3F5">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治理措施</w:t>
                  </w:r>
                </w:p>
              </w:tc>
              <w:tc>
                <w:tcPr>
                  <w:tcW w:w="1465" w:type="pct"/>
                  <w:gridSpan w:val="2"/>
                  <w:tcBorders>
                    <w:tl2br w:val="nil"/>
                    <w:tr2bl w:val="nil"/>
                  </w:tcBorders>
                  <w:noWrap w:val="0"/>
                  <w:vAlign w:val="center"/>
                </w:tcPr>
                <w:p w14:paraId="5EA55476">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排放情况</w:t>
                  </w:r>
                </w:p>
              </w:tc>
            </w:tr>
            <w:tr w14:paraId="75815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67" w:hRule="atLeast"/>
              </w:trPr>
              <w:tc>
                <w:tcPr>
                  <w:tcW w:w="862" w:type="pct"/>
                  <w:vMerge w:val="continue"/>
                  <w:tcBorders>
                    <w:tl2br w:val="nil"/>
                    <w:tr2bl w:val="nil"/>
                  </w:tcBorders>
                  <w:noWrap w:val="0"/>
                  <w:vAlign w:val="center"/>
                </w:tcPr>
                <w:p w14:paraId="276F8D77">
                  <w:pPr>
                    <w:pStyle w:val="24"/>
                    <w:bidi w:val="0"/>
                    <w:jc w:val="center"/>
                    <w:rPr>
                      <w:rFonts w:hint="default" w:ascii="Times New Roman" w:hAnsi="Times New Roman" w:cs="Times New Roman"/>
                      <w:b/>
                      <w:bCs/>
                      <w:color w:val="000000"/>
                      <w:u w:val="none" w:color="auto"/>
                    </w:rPr>
                  </w:pPr>
                </w:p>
              </w:tc>
              <w:tc>
                <w:tcPr>
                  <w:tcW w:w="557" w:type="pct"/>
                  <w:vMerge w:val="continue"/>
                  <w:tcBorders>
                    <w:tl2br w:val="nil"/>
                    <w:tr2bl w:val="nil"/>
                  </w:tcBorders>
                  <w:noWrap w:val="0"/>
                  <w:vAlign w:val="center"/>
                </w:tcPr>
                <w:p w14:paraId="277EECB3">
                  <w:pPr>
                    <w:pStyle w:val="24"/>
                    <w:bidi w:val="0"/>
                    <w:jc w:val="center"/>
                    <w:rPr>
                      <w:rFonts w:hint="default" w:ascii="Times New Roman" w:hAnsi="Times New Roman" w:cs="Times New Roman"/>
                      <w:b/>
                      <w:bCs/>
                      <w:color w:val="000000"/>
                      <w:u w:val="none" w:color="auto"/>
                    </w:rPr>
                  </w:pPr>
                </w:p>
              </w:tc>
              <w:tc>
                <w:tcPr>
                  <w:tcW w:w="598" w:type="pct"/>
                  <w:tcBorders>
                    <w:tl2br w:val="nil"/>
                    <w:tr2bl w:val="nil"/>
                  </w:tcBorders>
                  <w:noWrap w:val="0"/>
                  <w:vAlign w:val="center"/>
                </w:tcPr>
                <w:p w14:paraId="61FAF69E">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产生量t/a</w:t>
                  </w:r>
                </w:p>
              </w:tc>
              <w:tc>
                <w:tcPr>
                  <w:tcW w:w="770" w:type="pct"/>
                  <w:tcBorders>
                    <w:tl2br w:val="nil"/>
                    <w:tr2bl w:val="nil"/>
                  </w:tcBorders>
                  <w:noWrap w:val="0"/>
                  <w:vAlign w:val="center"/>
                </w:tcPr>
                <w:p w14:paraId="7382957B">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产生浓度mg/L</w:t>
                  </w:r>
                </w:p>
              </w:tc>
              <w:tc>
                <w:tcPr>
                  <w:tcW w:w="745" w:type="pct"/>
                  <w:vMerge w:val="continue"/>
                  <w:tcBorders>
                    <w:tl2br w:val="nil"/>
                    <w:tr2bl w:val="nil"/>
                  </w:tcBorders>
                  <w:noWrap w:val="0"/>
                  <w:vAlign w:val="center"/>
                </w:tcPr>
                <w:p w14:paraId="00A0E83D">
                  <w:pPr>
                    <w:pStyle w:val="24"/>
                    <w:bidi w:val="0"/>
                    <w:jc w:val="center"/>
                    <w:rPr>
                      <w:rFonts w:hint="default" w:ascii="Times New Roman" w:hAnsi="Times New Roman" w:cs="Times New Roman"/>
                      <w:b/>
                      <w:bCs/>
                      <w:color w:val="000000"/>
                      <w:u w:val="none" w:color="auto"/>
                      <w:lang w:val="en-US" w:eastAsia="zh-CN"/>
                    </w:rPr>
                  </w:pPr>
                </w:p>
              </w:tc>
              <w:tc>
                <w:tcPr>
                  <w:tcW w:w="627" w:type="pct"/>
                  <w:tcBorders>
                    <w:tl2br w:val="nil"/>
                    <w:tr2bl w:val="nil"/>
                  </w:tcBorders>
                  <w:noWrap w:val="0"/>
                  <w:vAlign w:val="center"/>
                </w:tcPr>
                <w:p w14:paraId="06A279B0">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排放量t/a</w:t>
                  </w:r>
                </w:p>
              </w:tc>
              <w:tc>
                <w:tcPr>
                  <w:tcW w:w="837" w:type="pct"/>
                  <w:tcBorders>
                    <w:tl2br w:val="nil"/>
                    <w:tr2bl w:val="nil"/>
                  </w:tcBorders>
                  <w:noWrap w:val="0"/>
                  <w:vAlign w:val="center"/>
                </w:tcPr>
                <w:p w14:paraId="67068204">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排放浓度mg/L</w:t>
                  </w:r>
                </w:p>
              </w:tc>
            </w:tr>
            <w:tr w14:paraId="78CD2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862" w:type="pct"/>
                  <w:vMerge w:val="restart"/>
                  <w:tcBorders>
                    <w:tl2br w:val="nil"/>
                    <w:tr2bl w:val="nil"/>
                  </w:tcBorders>
                  <w:noWrap w:val="0"/>
                  <w:vAlign w:val="center"/>
                </w:tcPr>
                <w:p w14:paraId="1EF57510">
                  <w:pPr>
                    <w:pStyle w:val="24"/>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综合废水</w:t>
                  </w:r>
                  <w:r>
                    <w:rPr>
                      <w:rFonts w:hint="eastAsia" w:cs="Times New Roman"/>
                      <w:color w:val="000000"/>
                      <w:kern w:val="0"/>
                      <w:sz w:val="24"/>
                      <w:szCs w:val="24"/>
                      <w:u w:val="none" w:color="auto"/>
                      <w:lang w:val="en-US" w:eastAsia="zh-CN" w:bidi="ar"/>
                    </w:rPr>
                    <w:t>3724.45</w:t>
                  </w:r>
                  <w:r>
                    <w:rPr>
                      <w:rFonts w:hint="default" w:ascii="Times New Roman" w:hAnsi="Times New Roman" w:cs="Times New Roman"/>
                      <w:color w:val="000000"/>
                      <w:u w:val="none" w:color="auto"/>
                      <w:lang w:val="en-US" w:eastAsia="zh-CN"/>
                    </w:rPr>
                    <w:t>t/a</w:t>
                  </w:r>
                </w:p>
              </w:tc>
              <w:tc>
                <w:tcPr>
                  <w:tcW w:w="557" w:type="pct"/>
                  <w:tcBorders>
                    <w:tl2br w:val="nil"/>
                    <w:tr2bl w:val="nil"/>
                  </w:tcBorders>
                  <w:noWrap w:val="0"/>
                  <w:vAlign w:val="center"/>
                </w:tcPr>
                <w:p w14:paraId="335E54A7">
                  <w:pPr>
                    <w:pStyle w:val="24"/>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COD</w:t>
                  </w:r>
                  <w:r>
                    <w:rPr>
                      <w:rFonts w:hint="eastAsia" w:ascii="Times New Roman" w:hAnsi="Times New Roman" w:cs="Times New Roman"/>
                      <w:color w:val="000000"/>
                      <w:u w:val="none" w:color="auto"/>
                      <w:lang w:val="en-US" w:eastAsia="zh-CN"/>
                    </w:rPr>
                    <w:t>cr</w:t>
                  </w:r>
                </w:p>
              </w:tc>
              <w:tc>
                <w:tcPr>
                  <w:tcW w:w="598" w:type="pct"/>
                  <w:tcBorders>
                    <w:tl2br w:val="nil"/>
                    <w:tr2bl w:val="nil"/>
                  </w:tcBorders>
                  <w:noWrap w:val="0"/>
                  <w:vAlign w:val="center"/>
                </w:tcPr>
                <w:p w14:paraId="2C74390C">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u w:val="none" w:color="auto"/>
                      <w:lang w:val="en-US" w:eastAsia="zh-CN" w:bidi="ar-SA"/>
                    </w:rPr>
                  </w:pPr>
                  <w:r>
                    <w:rPr>
                      <w:rFonts w:hint="eastAsia" w:cs="Times New Roman"/>
                      <w:i w:val="0"/>
                      <w:iCs w:val="0"/>
                      <w:color w:val="auto"/>
                      <w:kern w:val="0"/>
                      <w:sz w:val="21"/>
                      <w:szCs w:val="21"/>
                      <w:u w:val="none" w:color="auto"/>
                      <w:lang w:val="en-US" w:eastAsia="zh-CN" w:bidi="ar"/>
                    </w:rPr>
                    <w:t>1.119</w:t>
                  </w:r>
                </w:p>
              </w:tc>
              <w:tc>
                <w:tcPr>
                  <w:tcW w:w="770" w:type="pct"/>
                  <w:tcBorders>
                    <w:tl2br w:val="nil"/>
                    <w:tr2bl w:val="nil"/>
                  </w:tcBorders>
                  <w:noWrap w:val="0"/>
                  <w:vAlign w:val="center"/>
                </w:tcPr>
                <w:p w14:paraId="6DA88EE1">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300</w:t>
                  </w:r>
                </w:p>
              </w:tc>
              <w:tc>
                <w:tcPr>
                  <w:tcW w:w="745" w:type="pct"/>
                  <w:vMerge w:val="restart"/>
                  <w:tcBorders>
                    <w:tl2br w:val="nil"/>
                    <w:tr2bl w:val="nil"/>
                  </w:tcBorders>
                  <w:noWrap w:val="0"/>
                  <w:vAlign w:val="center"/>
                </w:tcPr>
                <w:p w14:paraId="7BC7BBD9">
                  <w:pPr>
                    <w:pStyle w:val="24"/>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auto"/>
                      <w:sz w:val="21"/>
                      <w:szCs w:val="21"/>
                      <w:u w:val="none"/>
                      <w:lang w:val="en-US" w:eastAsia="zh-CN"/>
                    </w:rPr>
                    <w:t>(隔栅池+调节池+AO生物接触氧化池+二沉池+活性氧消毒)。（二氧化氯消毒装置备用）</w:t>
                  </w:r>
                </w:p>
              </w:tc>
              <w:tc>
                <w:tcPr>
                  <w:tcW w:w="627" w:type="pct"/>
                  <w:tcBorders>
                    <w:tl2br w:val="nil"/>
                    <w:tr2bl w:val="nil"/>
                  </w:tcBorders>
                  <w:noWrap w:val="0"/>
                  <w:vAlign w:val="center"/>
                </w:tcPr>
                <w:p w14:paraId="1CC38E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cs="Times New Roman"/>
                      <w:i w:val="0"/>
                      <w:iCs w:val="0"/>
                      <w:color w:val="000000"/>
                      <w:kern w:val="0"/>
                      <w:sz w:val="21"/>
                      <w:szCs w:val="21"/>
                      <w:u w:val="none" w:color="auto"/>
                      <w:lang w:val="en-US" w:eastAsia="zh-CN" w:bidi="ar"/>
                    </w:rPr>
                    <w:t>0.2236</w:t>
                  </w:r>
                  <w:r>
                    <w:rPr>
                      <w:rFonts w:hint="default" w:ascii="Times New Roman" w:hAnsi="Times New Roman" w:eastAsia="宋体" w:cs="Times New Roman"/>
                      <w:i w:val="0"/>
                      <w:iCs w:val="0"/>
                      <w:color w:val="000000"/>
                      <w:kern w:val="0"/>
                      <w:sz w:val="21"/>
                      <w:szCs w:val="21"/>
                      <w:u w:val="none" w:color="auto"/>
                      <w:lang w:val="en-US" w:eastAsia="zh-CN" w:bidi="ar"/>
                    </w:rPr>
                    <w:t xml:space="preserve"> </w:t>
                  </w:r>
                </w:p>
              </w:tc>
              <w:tc>
                <w:tcPr>
                  <w:tcW w:w="837" w:type="pct"/>
                  <w:tcBorders>
                    <w:tl2br w:val="nil"/>
                    <w:tr2bl w:val="nil"/>
                  </w:tcBorders>
                  <w:noWrap w:val="0"/>
                  <w:vAlign w:val="center"/>
                </w:tcPr>
                <w:p w14:paraId="79D0F0B0">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60</w:t>
                  </w:r>
                </w:p>
              </w:tc>
            </w:tr>
            <w:tr w14:paraId="20CFD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862" w:type="pct"/>
                  <w:vMerge w:val="continue"/>
                  <w:tcBorders>
                    <w:tl2br w:val="nil"/>
                    <w:tr2bl w:val="nil"/>
                  </w:tcBorders>
                  <w:noWrap w:val="0"/>
                  <w:vAlign w:val="center"/>
                </w:tcPr>
                <w:p w14:paraId="5FC5388D">
                  <w:pPr>
                    <w:pStyle w:val="24"/>
                    <w:bidi w:val="0"/>
                    <w:jc w:val="center"/>
                    <w:rPr>
                      <w:rFonts w:hint="default" w:ascii="Times New Roman" w:hAnsi="Times New Roman" w:cs="Times New Roman"/>
                      <w:color w:val="000000"/>
                      <w:u w:val="none" w:color="auto"/>
                      <w:lang w:val="en-US" w:eastAsia="zh-CN"/>
                    </w:rPr>
                  </w:pPr>
                </w:p>
              </w:tc>
              <w:tc>
                <w:tcPr>
                  <w:tcW w:w="557" w:type="pct"/>
                  <w:tcBorders>
                    <w:tl2br w:val="nil"/>
                    <w:tr2bl w:val="nil"/>
                  </w:tcBorders>
                  <w:noWrap w:val="0"/>
                  <w:vAlign w:val="center"/>
                </w:tcPr>
                <w:p w14:paraId="1C836FE1">
                  <w:pPr>
                    <w:pStyle w:val="24"/>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BOD</w:t>
                  </w:r>
                  <w:r>
                    <w:rPr>
                      <w:rFonts w:hint="default" w:ascii="Times New Roman" w:hAnsi="Times New Roman" w:cs="Times New Roman"/>
                      <w:color w:val="000000"/>
                      <w:u w:val="none" w:color="auto"/>
                      <w:vertAlign w:val="subscript"/>
                      <w:lang w:val="en-US" w:eastAsia="zh-CN"/>
                    </w:rPr>
                    <w:t>5</w:t>
                  </w:r>
                  <w:r>
                    <w:rPr>
                      <w:rFonts w:hint="default" w:ascii="Times New Roman" w:hAnsi="Times New Roman" w:cs="Times New Roman"/>
                      <w:color w:val="000000"/>
                      <w:u w:val="none" w:color="auto"/>
                      <w:lang w:val="en-US" w:eastAsia="zh-CN"/>
                    </w:rPr>
                    <w:t xml:space="preserve"> </w:t>
                  </w:r>
                </w:p>
              </w:tc>
              <w:tc>
                <w:tcPr>
                  <w:tcW w:w="598" w:type="pct"/>
                  <w:tcBorders>
                    <w:tl2br w:val="nil"/>
                    <w:tr2bl w:val="nil"/>
                  </w:tcBorders>
                  <w:noWrap w:val="0"/>
                  <w:vAlign w:val="center"/>
                </w:tcPr>
                <w:p w14:paraId="73B1C929">
                  <w:pPr>
                    <w:pStyle w:val="24"/>
                    <w:bidi w:val="0"/>
                    <w:rPr>
                      <w:rFonts w:hint="default" w:ascii="Times New Roman" w:hAnsi="Times New Roman" w:eastAsia="宋体" w:cs="Times New Roman"/>
                      <w:color w:val="000000"/>
                      <w:u w:val="none" w:color="auto"/>
                      <w:lang w:val="en-US" w:eastAsia="zh-CN"/>
                    </w:rPr>
                  </w:pPr>
                  <w:r>
                    <w:rPr>
                      <w:rFonts w:hint="eastAsia" w:cs="Times New Roman"/>
                      <w:color w:val="000000"/>
                      <w:u w:val="none" w:color="auto"/>
                      <w:lang w:val="en-US" w:eastAsia="zh-CN"/>
                    </w:rPr>
                    <w:t>0.559</w:t>
                  </w:r>
                </w:p>
              </w:tc>
              <w:tc>
                <w:tcPr>
                  <w:tcW w:w="770" w:type="pct"/>
                  <w:tcBorders>
                    <w:tl2br w:val="nil"/>
                    <w:tr2bl w:val="nil"/>
                  </w:tcBorders>
                  <w:noWrap w:val="0"/>
                  <w:vAlign w:val="center"/>
                </w:tcPr>
                <w:p w14:paraId="5B9187A3">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150</w:t>
                  </w:r>
                </w:p>
              </w:tc>
              <w:tc>
                <w:tcPr>
                  <w:tcW w:w="745" w:type="pct"/>
                  <w:vMerge w:val="continue"/>
                  <w:tcBorders>
                    <w:tl2br w:val="nil"/>
                    <w:tr2bl w:val="nil"/>
                  </w:tcBorders>
                  <w:noWrap w:val="0"/>
                  <w:vAlign w:val="center"/>
                </w:tcPr>
                <w:p w14:paraId="562CEC6D">
                  <w:pPr>
                    <w:pStyle w:val="24"/>
                    <w:bidi w:val="0"/>
                    <w:jc w:val="center"/>
                    <w:rPr>
                      <w:rFonts w:hint="default" w:ascii="Times New Roman" w:hAnsi="Times New Roman" w:eastAsia="宋体" w:cs="Times New Roman"/>
                      <w:color w:val="000000"/>
                      <w:u w:val="none" w:color="auto"/>
                      <w:lang w:val="en-US" w:eastAsia="zh-CN"/>
                    </w:rPr>
                  </w:pPr>
                </w:p>
              </w:tc>
              <w:tc>
                <w:tcPr>
                  <w:tcW w:w="627" w:type="pct"/>
                  <w:tcBorders>
                    <w:tl2br w:val="nil"/>
                    <w:tr2bl w:val="nil"/>
                  </w:tcBorders>
                  <w:noWrap w:val="0"/>
                  <w:vAlign w:val="center"/>
                </w:tcPr>
                <w:p w14:paraId="45C2E8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cs="Times New Roman"/>
                      <w:i w:val="0"/>
                      <w:iCs w:val="0"/>
                      <w:color w:val="000000"/>
                      <w:kern w:val="0"/>
                      <w:sz w:val="21"/>
                      <w:szCs w:val="21"/>
                      <w:u w:val="none" w:color="auto"/>
                      <w:lang w:val="en-US" w:eastAsia="zh-CN" w:bidi="ar"/>
                    </w:rPr>
                    <w:t>0.0745</w:t>
                  </w:r>
                  <w:r>
                    <w:rPr>
                      <w:rFonts w:hint="default" w:ascii="Times New Roman" w:hAnsi="Times New Roman" w:eastAsia="宋体" w:cs="Times New Roman"/>
                      <w:i w:val="0"/>
                      <w:iCs w:val="0"/>
                      <w:color w:val="000000"/>
                      <w:kern w:val="0"/>
                      <w:sz w:val="21"/>
                      <w:szCs w:val="21"/>
                      <w:u w:val="none" w:color="auto"/>
                      <w:lang w:val="en-US" w:eastAsia="zh-CN" w:bidi="ar"/>
                    </w:rPr>
                    <w:t xml:space="preserve"> </w:t>
                  </w:r>
                </w:p>
              </w:tc>
              <w:tc>
                <w:tcPr>
                  <w:tcW w:w="837" w:type="pct"/>
                  <w:tcBorders>
                    <w:tl2br w:val="nil"/>
                    <w:tr2bl w:val="nil"/>
                  </w:tcBorders>
                  <w:noWrap w:val="0"/>
                  <w:vAlign w:val="center"/>
                </w:tcPr>
                <w:p w14:paraId="524B99EE">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20</w:t>
                  </w:r>
                </w:p>
              </w:tc>
            </w:tr>
            <w:tr w14:paraId="669BE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862" w:type="pct"/>
                  <w:vMerge w:val="continue"/>
                  <w:tcBorders>
                    <w:tl2br w:val="nil"/>
                    <w:tr2bl w:val="nil"/>
                  </w:tcBorders>
                  <w:noWrap w:val="0"/>
                  <w:vAlign w:val="center"/>
                </w:tcPr>
                <w:p w14:paraId="087B521D">
                  <w:pPr>
                    <w:pStyle w:val="24"/>
                    <w:bidi w:val="0"/>
                    <w:jc w:val="center"/>
                    <w:rPr>
                      <w:rFonts w:hint="default" w:ascii="Times New Roman" w:hAnsi="Times New Roman" w:cs="Times New Roman"/>
                      <w:color w:val="000000"/>
                      <w:u w:val="none" w:color="auto"/>
                      <w:lang w:val="en-US" w:eastAsia="zh-CN"/>
                    </w:rPr>
                  </w:pPr>
                </w:p>
              </w:tc>
              <w:tc>
                <w:tcPr>
                  <w:tcW w:w="557" w:type="pct"/>
                  <w:tcBorders>
                    <w:tl2br w:val="nil"/>
                    <w:tr2bl w:val="nil"/>
                  </w:tcBorders>
                  <w:noWrap w:val="0"/>
                  <w:vAlign w:val="center"/>
                </w:tcPr>
                <w:p w14:paraId="788E3AAB">
                  <w:pPr>
                    <w:pStyle w:val="24"/>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NH</w:t>
                  </w:r>
                  <w:r>
                    <w:rPr>
                      <w:rFonts w:hint="default" w:ascii="Times New Roman" w:hAnsi="Times New Roman" w:cs="Times New Roman"/>
                      <w:color w:val="000000"/>
                      <w:u w:val="none" w:color="auto"/>
                      <w:vertAlign w:val="subscript"/>
                      <w:lang w:val="en-US" w:eastAsia="zh-CN"/>
                    </w:rPr>
                    <w:t>3</w:t>
                  </w:r>
                  <w:r>
                    <w:rPr>
                      <w:rFonts w:hint="default" w:ascii="Times New Roman" w:hAnsi="Times New Roman" w:cs="Times New Roman"/>
                      <w:color w:val="000000"/>
                      <w:u w:val="none" w:color="auto"/>
                      <w:lang w:val="en-US" w:eastAsia="zh-CN"/>
                    </w:rPr>
                    <w:t>-N</w:t>
                  </w:r>
                </w:p>
              </w:tc>
              <w:tc>
                <w:tcPr>
                  <w:tcW w:w="598" w:type="pct"/>
                  <w:tcBorders>
                    <w:tl2br w:val="nil"/>
                    <w:tr2bl w:val="nil"/>
                  </w:tcBorders>
                  <w:noWrap w:val="0"/>
                  <w:vAlign w:val="center"/>
                </w:tcPr>
                <w:p w14:paraId="622403EB">
                  <w:pPr>
                    <w:pStyle w:val="24"/>
                    <w:bidi w:val="0"/>
                    <w:rPr>
                      <w:rFonts w:hint="default" w:ascii="Times New Roman" w:hAnsi="Times New Roman" w:eastAsia="宋体" w:cs="Times New Roman"/>
                      <w:color w:val="000000"/>
                      <w:u w:val="none" w:color="auto"/>
                      <w:lang w:val="en-US" w:eastAsia="zh-CN"/>
                    </w:rPr>
                  </w:pPr>
                  <w:r>
                    <w:rPr>
                      <w:rFonts w:hint="eastAsia" w:cs="Times New Roman"/>
                      <w:color w:val="000000"/>
                      <w:u w:val="none" w:color="auto"/>
                      <w:lang w:val="en-US" w:eastAsia="zh-CN"/>
                    </w:rPr>
                    <w:t>0.186</w:t>
                  </w:r>
                </w:p>
              </w:tc>
              <w:tc>
                <w:tcPr>
                  <w:tcW w:w="770" w:type="pct"/>
                  <w:tcBorders>
                    <w:tl2br w:val="nil"/>
                    <w:tr2bl w:val="nil"/>
                  </w:tcBorders>
                  <w:noWrap w:val="0"/>
                  <w:vAlign w:val="center"/>
                </w:tcPr>
                <w:p w14:paraId="47B62690">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50</w:t>
                  </w:r>
                </w:p>
              </w:tc>
              <w:tc>
                <w:tcPr>
                  <w:tcW w:w="745" w:type="pct"/>
                  <w:vMerge w:val="continue"/>
                  <w:tcBorders>
                    <w:tl2br w:val="nil"/>
                    <w:tr2bl w:val="nil"/>
                  </w:tcBorders>
                  <w:noWrap w:val="0"/>
                  <w:vAlign w:val="center"/>
                </w:tcPr>
                <w:p w14:paraId="0618E3E1">
                  <w:pPr>
                    <w:pStyle w:val="24"/>
                    <w:bidi w:val="0"/>
                    <w:jc w:val="center"/>
                    <w:rPr>
                      <w:rFonts w:hint="default" w:ascii="Times New Roman" w:hAnsi="Times New Roman" w:eastAsia="宋体" w:cs="Times New Roman"/>
                      <w:color w:val="000000"/>
                      <w:u w:val="none" w:color="auto"/>
                      <w:lang w:val="en-US" w:eastAsia="zh-CN"/>
                    </w:rPr>
                  </w:pPr>
                </w:p>
              </w:tc>
              <w:tc>
                <w:tcPr>
                  <w:tcW w:w="627" w:type="pct"/>
                  <w:tcBorders>
                    <w:tl2br w:val="nil"/>
                    <w:tr2bl w:val="nil"/>
                  </w:tcBorders>
                  <w:noWrap w:val="0"/>
                  <w:vAlign w:val="center"/>
                </w:tcPr>
                <w:p w14:paraId="5F07C1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cs="Times New Roman"/>
                      <w:i w:val="0"/>
                      <w:iCs w:val="0"/>
                      <w:color w:val="000000"/>
                      <w:kern w:val="0"/>
                      <w:sz w:val="21"/>
                      <w:szCs w:val="21"/>
                      <w:u w:val="none" w:color="auto"/>
                      <w:lang w:val="en-US" w:eastAsia="zh-CN" w:bidi="ar"/>
                    </w:rPr>
                    <w:t>0.0559</w:t>
                  </w:r>
                </w:p>
              </w:tc>
              <w:tc>
                <w:tcPr>
                  <w:tcW w:w="837" w:type="pct"/>
                  <w:tcBorders>
                    <w:tl2br w:val="nil"/>
                    <w:tr2bl w:val="nil"/>
                  </w:tcBorders>
                  <w:noWrap w:val="0"/>
                  <w:vAlign w:val="center"/>
                </w:tcPr>
                <w:p w14:paraId="07C11D51">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15</w:t>
                  </w:r>
                </w:p>
              </w:tc>
            </w:tr>
            <w:tr w14:paraId="27C4B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862" w:type="pct"/>
                  <w:vMerge w:val="continue"/>
                  <w:tcBorders>
                    <w:tl2br w:val="nil"/>
                    <w:tr2bl w:val="nil"/>
                  </w:tcBorders>
                  <w:noWrap w:val="0"/>
                  <w:vAlign w:val="center"/>
                </w:tcPr>
                <w:p w14:paraId="2440224B">
                  <w:pPr>
                    <w:pStyle w:val="24"/>
                    <w:bidi w:val="0"/>
                    <w:jc w:val="center"/>
                    <w:rPr>
                      <w:rFonts w:hint="default" w:ascii="Times New Roman" w:hAnsi="Times New Roman" w:cs="Times New Roman"/>
                      <w:color w:val="000000"/>
                      <w:u w:val="none" w:color="auto"/>
                      <w:lang w:val="en-US" w:eastAsia="zh-CN"/>
                    </w:rPr>
                  </w:pPr>
                </w:p>
              </w:tc>
              <w:tc>
                <w:tcPr>
                  <w:tcW w:w="557" w:type="pct"/>
                  <w:tcBorders>
                    <w:tl2br w:val="nil"/>
                    <w:tr2bl w:val="nil"/>
                  </w:tcBorders>
                  <w:noWrap w:val="0"/>
                  <w:vAlign w:val="center"/>
                </w:tcPr>
                <w:p w14:paraId="777ACE4B">
                  <w:pPr>
                    <w:pStyle w:val="24"/>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SS</w:t>
                  </w:r>
                </w:p>
              </w:tc>
              <w:tc>
                <w:tcPr>
                  <w:tcW w:w="598" w:type="pct"/>
                  <w:tcBorders>
                    <w:tl2br w:val="nil"/>
                    <w:tr2bl w:val="nil"/>
                  </w:tcBorders>
                  <w:noWrap w:val="0"/>
                  <w:vAlign w:val="center"/>
                </w:tcPr>
                <w:p w14:paraId="68D5EDB4">
                  <w:pPr>
                    <w:pStyle w:val="24"/>
                    <w:bidi w:val="0"/>
                    <w:rPr>
                      <w:rFonts w:hint="default" w:ascii="Times New Roman" w:hAnsi="Times New Roman" w:eastAsia="宋体" w:cs="Times New Roman"/>
                      <w:color w:val="000000"/>
                      <w:u w:val="none" w:color="auto"/>
                      <w:lang w:val="en-US" w:eastAsia="zh-CN"/>
                    </w:rPr>
                  </w:pPr>
                  <w:r>
                    <w:rPr>
                      <w:rFonts w:hint="eastAsia" w:cs="Times New Roman"/>
                      <w:i w:val="0"/>
                      <w:iCs w:val="0"/>
                      <w:color w:val="000000"/>
                      <w:kern w:val="0"/>
                      <w:sz w:val="21"/>
                      <w:szCs w:val="21"/>
                      <w:u w:val="none" w:color="auto"/>
                      <w:lang w:val="en-US" w:eastAsia="zh-CN" w:bidi="ar"/>
                    </w:rPr>
                    <w:t>0.447</w:t>
                  </w:r>
                </w:p>
              </w:tc>
              <w:tc>
                <w:tcPr>
                  <w:tcW w:w="770" w:type="pct"/>
                  <w:tcBorders>
                    <w:tl2br w:val="nil"/>
                    <w:tr2bl w:val="nil"/>
                  </w:tcBorders>
                  <w:noWrap w:val="0"/>
                  <w:vAlign w:val="center"/>
                </w:tcPr>
                <w:p w14:paraId="3FED23E5">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120</w:t>
                  </w:r>
                </w:p>
              </w:tc>
              <w:tc>
                <w:tcPr>
                  <w:tcW w:w="745" w:type="pct"/>
                  <w:vMerge w:val="continue"/>
                  <w:tcBorders>
                    <w:tl2br w:val="nil"/>
                    <w:tr2bl w:val="nil"/>
                  </w:tcBorders>
                  <w:noWrap w:val="0"/>
                  <w:vAlign w:val="center"/>
                </w:tcPr>
                <w:p w14:paraId="691EA129">
                  <w:pPr>
                    <w:pStyle w:val="24"/>
                    <w:bidi w:val="0"/>
                    <w:jc w:val="center"/>
                    <w:rPr>
                      <w:rFonts w:hint="default" w:ascii="Times New Roman" w:hAnsi="Times New Roman" w:eastAsia="宋体" w:cs="Times New Roman"/>
                      <w:color w:val="000000"/>
                      <w:u w:val="none" w:color="auto"/>
                      <w:lang w:val="en-US" w:eastAsia="zh-CN"/>
                    </w:rPr>
                  </w:pPr>
                </w:p>
              </w:tc>
              <w:tc>
                <w:tcPr>
                  <w:tcW w:w="627" w:type="pct"/>
                  <w:tcBorders>
                    <w:tl2br w:val="nil"/>
                    <w:tr2bl w:val="nil"/>
                  </w:tcBorders>
                  <w:noWrap w:val="0"/>
                  <w:vAlign w:val="center"/>
                </w:tcPr>
                <w:p w14:paraId="557110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color="auto"/>
                      <w:lang w:val="en-US" w:eastAsia="zh-CN" w:bidi="ar-SA"/>
                    </w:rPr>
                  </w:pPr>
                  <w:r>
                    <w:rPr>
                      <w:rFonts w:hint="eastAsia" w:cs="Times New Roman"/>
                      <w:i w:val="0"/>
                      <w:iCs w:val="0"/>
                      <w:color w:val="000000"/>
                      <w:kern w:val="0"/>
                      <w:sz w:val="21"/>
                      <w:szCs w:val="21"/>
                      <w:u w:val="none" w:color="auto"/>
                      <w:lang w:val="en-US" w:eastAsia="zh-CN" w:bidi="ar"/>
                    </w:rPr>
                    <w:t>0.0743</w:t>
                  </w:r>
                  <w:r>
                    <w:rPr>
                      <w:rFonts w:hint="default" w:ascii="Times New Roman" w:hAnsi="Times New Roman" w:eastAsia="宋体" w:cs="Times New Roman"/>
                      <w:i w:val="0"/>
                      <w:iCs w:val="0"/>
                      <w:color w:val="000000"/>
                      <w:kern w:val="0"/>
                      <w:sz w:val="21"/>
                      <w:szCs w:val="21"/>
                      <w:u w:val="none" w:color="auto"/>
                      <w:lang w:val="en-US" w:eastAsia="zh-CN" w:bidi="ar"/>
                    </w:rPr>
                    <w:t xml:space="preserve"> </w:t>
                  </w:r>
                </w:p>
              </w:tc>
              <w:tc>
                <w:tcPr>
                  <w:tcW w:w="837" w:type="pct"/>
                  <w:tcBorders>
                    <w:tl2br w:val="nil"/>
                    <w:tr2bl w:val="nil"/>
                  </w:tcBorders>
                  <w:noWrap w:val="0"/>
                  <w:vAlign w:val="center"/>
                </w:tcPr>
                <w:p w14:paraId="6F151C0B">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20</w:t>
                  </w:r>
                </w:p>
              </w:tc>
            </w:tr>
          </w:tbl>
          <w:p w14:paraId="318B8647">
            <w:pPr>
              <w:pStyle w:val="14"/>
              <w:keepNext w:val="0"/>
              <w:keepLines w:val="0"/>
              <w:pageBreakBefore w:val="0"/>
              <w:widowControl/>
              <w:numPr>
                <w:ilvl w:val="0"/>
                <w:numId w:val="10"/>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水功能区</w:t>
            </w:r>
            <w:r>
              <w:rPr>
                <w:rFonts w:hint="eastAsia" w:ascii="Times New Roman" w:hAnsi="Times New Roman" w:eastAsia="宋体" w:cs="Times New Roman"/>
                <w:b/>
                <w:bCs/>
                <w:snapToGrid w:val="0"/>
                <w:sz w:val="24"/>
                <w:szCs w:val="24"/>
                <w:u w:val="none" w:color="auto"/>
                <w:vertAlign w:val="baseline"/>
                <w:lang w:val="en-US" w:eastAsia="zh-CN"/>
              </w:rPr>
              <w:t>（</w:t>
            </w:r>
            <w:r>
              <w:rPr>
                <w:rFonts w:hint="default" w:ascii="Times New Roman" w:hAnsi="Times New Roman" w:eastAsia="宋体" w:cs="Times New Roman"/>
                <w:b/>
                <w:bCs/>
                <w:snapToGrid w:val="0"/>
                <w:sz w:val="24"/>
                <w:szCs w:val="24"/>
                <w:u w:val="none" w:color="auto"/>
                <w:vertAlign w:val="baseline"/>
                <w:lang w:val="en-US" w:eastAsia="zh-CN"/>
              </w:rPr>
              <w:t>水域</w:t>
            </w:r>
            <w:r>
              <w:rPr>
                <w:rFonts w:hint="eastAsia" w:ascii="Times New Roman" w:hAnsi="Times New Roman" w:eastAsia="宋体" w:cs="Times New Roman"/>
                <w:b/>
                <w:bCs/>
                <w:snapToGrid w:val="0"/>
                <w:sz w:val="24"/>
                <w:szCs w:val="24"/>
                <w:u w:val="none" w:color="auto"/>
                <w:vertAlign w:val="baseline"/>
                <w:lang w:val="en-US" w:eastAsia="zh-CN"/>
              </w:rPr>
              <w:t>）</w:t>
            </w:r>
            <w:r>
              <w:rPr>
                <w:rFonts w:hint="default" w:ascii="Times New Roman" w:hAnsi="Times New Roman" w:eastAsia="宋体" w:cs="Times New Roman"/>
                <w:b/>
                <w:bCs/>
                <w:snapToGrid w:val="0"/>
                <w:sz w:val="24"/>
                <w:szCs w:val="24"/>
                <w:u w:val="none" w:color="auto"/>
                <w:vertAlign w:val="baseline"/>
                <w:lang w:val="en-US" w:eastAsia="zh-CN"/>
              </w:rPr>
              <w:t>保护水质管理目标与要求和现有取排水状况</w:t>
            </w:r>
          </w:p>
          <w:p w14:paraId="33A07EBA">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2.1水环境功能区划</w:t>
            </w:r>
          </w:p>
          <w:p w14:paraId="6DDC961E">
            <w:pPr>
              <w:keepNext w:val="0"/>
              <w:keepLines w:val="0"/>
              <w:widowControl/>
              <w:suppressLineNumbers w:val="0"/>
              <w:spacing w:line="360" w:lineRule="auto"/>
              <w:ind w:firstLine="480" w:firstLineChars="200"/>
              <w:jc w:val="left"/>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水功能区是指根据流域或区域的水资源状况，并考虑水资源开发利用现状和经济社会发展对水量和水质的需求，在相应水城划定的具有特定功能，有利于水资源的合理开发利用和保护，能够发挥最佳效益的区域。 </w:t>
            </w:r>
          </w:p>
          <w:p w14:paraId="328EC010">
            <w:pPr>
              <w:keepNext w:val="0"/>
              <w:keepLines w:val="0"/>
              <w:widowControl/>
              <w:suppressLineNumbers w:val="0"/>
              <w:spacing w:line="360" w:lineRule="auto"/>
              <w:ind w:firstLine="480" w:firstLineChars="200"/>
              <w:jc w:val="left"/>
              <w:rPr>
                <w:rFonts w:hint="default" w:ascii="Times New Roman" w:hAnsi="Times New Roman"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根据《湖南省水功能区划》、《株洲市水功能区划》可知，</w:t>
            </w:r>
            <w:r>
              <w:rPr>
                <w:rFonts w:hint="eastAsia" w:ascii="Times New Roman" w:hAnsi="Times New Roman" w:eastAsia="宋体" w:cs="Times New Roman"/>
                <w:color w:val="000000"/>
                <w:kern w:val="0"/>
                <w:sz w:val="24"/>
                <w:szCs w:val="24"/>
                <w:u w:val="none" w:color="auto"/>
                <w:lang w:val="en-US" w:eastAsia="zh-CN" w:bidi="ar"/>
              </w:rPr>
              <w:t>项目受纳水体</w:t>
            </w:r>
            <w:r>
              <w:rPr>
                <w:rFonts w:hint="eastAsia" w:ascii="Times New Roman" w:hAnsi="Times New Roman" w:cs="Times New Roman"/>
                <w:color w:val="000000"/>
                <w:kern w:val="0"/>
                <w:sz w:val="24"/>
                <w:szCs w:val="24"/>
                <w:u w:val="none" w:color="auto"/>
                <w:lang w:val="en-US" w:eastAsia="zh-CN" w:bidi="ar"/>
              </w:rPr>
              <w:t>洣水，为农业用水区</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按照株洲市环境质量要求，</w:t>
            </w:r>
            <w:r>
              <w:rPr>
                <w:rFonts w:hint="eastAsia" w:ascii="Times New Roman" w:hAnsi="Times New Roman" w:eastAsia="宋体" w:cs="Times New Roman"/>
                <w:color w:val="000000"/>
                <w:kern w:val="0"/>
                <w:sz w:val="24"/>
                <w:szCs w:val="24"/>
                <w:u w:val="none" w:color="auto"/>
                <w:lang w:val="en-US" w:eastAsia="zh-CN" w:bidi="ar"/>
              </w:rPr>
              <w:t>本项目废水受纳</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水质管理目标为III类，因此执行《地表水环境质量标准》（GB3838-2002）的III类水域水质标准</w:t>
            </w:r>
            <w:r>
              <w:rPr>
                <w:rFonts w:hint="default" w:ascii="Times New Roman" w:hAnsi="Times New Roman" w:cs="Times New Roman"/>
                <w:color w:val="000000"/>
                <w:kern w:val="0"/>
                <w:sz w:val="24"/>
                <w:szCs w:val="24"/>
                <w:u w:val="none" w:color="auto"/>
                <w:lang w:val="en-US" w:eastAsia="zh-CN" w:bidi="ar"/>
              </w:rPr>
              <w:t>。</w:t>
            </w:r>
          </w:p>
          <w:p w14:paraId="3E0FAC8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2.2管理目标与要求</w:t>
            </w:r>
          </w:p>
          <w:p w14:paraId="09B9C39F">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项目受纳水体为</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cs="Times New Roman"/>
                <w:color w:val="000000"/>
                <w:kern w:val="0"/>
                <w:sz w:val="24"/>
                <w:szCs w:val="24"/>
                <w:u w:val="none" w:color="auto"/>
                <w:lang w:val="en-US" w:eastAsia="zh-CN" w:bidi="ar"/>
              </w:rPr>
              <w:t>水质管理目标为</w:t>
            </w:r>
            <w:r>
              <w:rPr>
                <w:rFonts w:hint="default" w:ascii="Times New Roman" w:hAnsi="Times New Roman" w:eastAsia="宋体" w:cs="Times New Roman"/>
                <w:color w:val="000000"/>
                <w:kern w:val="0"/>
                <w:sz w:val="24"/>
                <w:szCs w:val="24"/>
                <w:u w:val="none" w:color="auto"/>
                <w:lang w:val="en-US" w:eastAsia="zh-CN" w:bidi="ar"/>
              </w:rPr>
              <w:t>III类，因此执行《地表水环境质量标准》（GB3838-2002）的III类水域水质标准</w:t>
            </w:r>
            <w:r>
              <w:rPr>
                <w:rFonts w:hint="default" w:ascii="Times New Roman" w:hAnsi="Times New Roman" w:cs="Times New Roman"/>
                <w:color w:val="000000"/>
                <w:kern w:val="0"/>
                <w:sz w:val="24"/>
                <w:szCs w:val="24"/>
                <w:u w:val="none" w:color="auto"/>
                <w:lang w:val="en-US" w:eastAsia="zh-CN" w:bidi="ar"/>
              </w:rPr>
              <w:t>。</w:t>
            </w:r>
          </w:p>
          <w:p w14:paraId="4BD1E623">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2.3排污口所在水域水质现状</w:t>
            </w:r>
          </w:p>
          <w:p w14:paraId="75658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rPr>
            </w:pPr>
            <w:r>
              <w:rPr>
                <w:rFonts w:hint="default" w:ascii="Times New Roman" w:hAnsi="Times New Roman" w:eastAsia="宋体"/>
                <w:sz w:val="24"/>
                <w:szCs w:val="24"/>
                <w:u w:val="none" w:color="auto"/>
                <w:lang w:val="en-US" w:eastAsia="zh-CN"/>
              </w:rPr>
              <w:t>本项目污水处理设施处理达标后的尾水排入</w:t>
            </w:r>
            <w:r>
              <w:rPr>
                <w:rFonts w:hint="eastAsia" w:ascii="Times New Roman" w:hAnsi="Times New Roman" w:eastAsia="宋体"/>
                <w:sz w:val="24"/>
                <w:szCs w:val="24"/>
                <w:u w:val="none" w:color="auto"/>
                <w:lang w:val="en-US" w:eastAsia="zh-CN"/>
              </w:rPr>
              <w:t>洣水</w:t>
            </w:r>
            <w:r>
              <w:rPr>
                <w:rFonts w:hint="default" w:ascii="Times New Roman" w:hAnsi="Times New Roman" w:eastAsia="宋体"/>
                <w:sz w:val="24"/>
                <w:szCs w:val="24"/>
                <w:u w:val="none" w:color="auto"/>
                <w:lang w:val="en-US" w:eastAsia="zh-CN"/>
              </w:rPr>
              <w:t>，执行《地表水环境质量标准》（GB3838-2002）</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sz w:val="24"/>
                <w:szCs w:val="24"/>
                <w:u w:val="none" w:color="auto"/>
                <w:lang w:val="en-US" w:eastAsia="zh-CN"/>
              </w:rPr>
              <w:t>类标准限值要求。</w:t>
            </w:r>
          </w:p>
          <w:p w14:paraId="7015C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为进一步了解项目所在地附近地表水水质情况，</w:t>
            </w:r>
            <w:r>
              <w:rPr>
                <w:rFonts w:hint="eastAsia" w:ascii="Times New Roman" w:hAnsi="Times New Roman" w:eastAsia="宋体"/>
                <w:sz w:val="24"/>
                <w:szCs w:val="24"/>
                <w:u w:val="none" w:color="auto"/>
                <w:lang w:val="en-US" w:eastAsia="zh-CN"/>
              </w:rPr>
              <w:t>本项目引用株洲市</w:t>
            </w:r>
            <w:r>
              <w:rPr>
                <w:rFonts w:hint="eastAsia"/>
                <w:sz w:val="24"/>
                <w:szCs w:val="24"/>
                <w:u w:val="none" w:color="auto"/>
                <w:lang w:val="en-US" w:eastAsia="zh-CN"/>
              </w:rPr>
              <w:t>2024</w:t>
            </w:r>
            <w:r>
              <w:rPr>
                <w:rFonts w:hint="eastAsia" w:ascii="Times New Roman" w:hAnsi="Times New Roman" w:eastAsia="宋体"/>
                <w:sz w:val="24"/>
                <w:szCs w:val="24"/>
                <w:u w:val="none" w:color="auto"/>
                <w:lang w:val="en-US" w:eastAsia="zh-CN"/>
              </w:rPr>
              <w:t>年</w:t>
            </w:r>
            <w:r>
              <w:rPr>
                <w:rFonts w:hint="eastAsia"/>
                <w:sz w:val="24"/>
                <w:szCs w:val="24"/>
                <w:u w:val="none" w:color="auto"/>
                <w:lang w:val="en-US" w:eastAsia="zh-CN"/>
              </w:rPr>
              <w:t>1</w:t>
            </w:r>
            <w:r>
              <w:rPr>
                <w:rFonts w:hint="eastAsia" w:ascii="Times New Roman" w:hAnsi="Times New Roman" w:eastAsia="宋体"/>
                <w:sz w:val="24"/>
                <w:szCs w:val="24"/>
                <w:u w:val="none" w:color="auto"/>
                <w:lang w:val="en-US" w:eastAsia="zh-CN"/>
              </w:rPr>
              <w:t>月茶陵县自来水厂、云阳自来水厂的地表水监测数据作为参考。</w:t>
            </w:r>
          </w:p>
          <w:p w14:paraId="116C8BA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u w:val="none" w:color="auto"/>
                <w:lang w:val="en-US" w:eastAsia="zh-CN"/>
              </w:rPr>
            </w:pPr>
            <w:r>
              <w:rPr>
                <w:rFonts w:hint="default" w:ascii="Times New Roman" w:hAnsi="Times New Roman" w:eastAsia="宋体"/>
                <w:b/>
                <w:bCs/>
                <w:sz w:val="21"/>
                <w:szCs w:val="21"/>
                <w:u w:val="none" w:color="auto"/>
              </w:rPr>
              <w:t>表</w:t>
            </w:r>
            <w:r>
              <w:rPr>
                <w:rFonts w:hint="default" w:ascii="Times New Roman" w:hAnsi="Times New Roman" w:eastAsia="宋体"/>
                <w:b/>
                <w:bCs/>
                <w:sz w:val="21"/>
                <w:szCs w:val="21"/>
                <w:u w:val="none" w:color="auto"/>
                <w:lang w:val="en-US" w:eastAsia="zh-CN"/>
              </w:rPr>
              <w:t>5-2</w:t>
            </w:r>
            <w:r>
              <w:rPr>
                <w:rFonts w:hint="default" w:ascii="Times New Roman" w:hAnsi="Times New Roman" w:eastAsia="宋体"/>
                <w:b/>
                <w:bCs/>
                <w:sz w:val="21"/>
                <w:szCs w:val="21"/>
                <w:u w:val="none" w:color="auto"/>
              </w:rPr>
              <w:t xml:space="preserve"> </w:t>
            </w:r>
            <w:r>
              <w:rPr>
                <w:rFonts w:hint="default" w:ascii="Times New Roman" w:hAnsi="Times New Roman" w:eastAsia="宋体"/>
                <w:b/>
                <w:bCs/>
                <w:sz w:val="21"/>
                <w:szCs w:val="21"/>
                <w:u w:val="none" w:color="auto"/>
                <w:lang w:val="en-US" w:eastAsia="zh-CN"/>
              </w:rPr>
              <w:t>地表水现状监测断面及监测因子一览表</w:t>
            </w:r>
          </w:p>
          <w:tbl>
            <w:tblPr>
              <w:tblStyle w:val="17"/>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28" w:type="dxa"/>
                <w:left w:w="57" w:type="dxa"/>
                <w:bottom w:w="28" w:type="dxa"/>
                <w:right w:w="57" w:type="dxa"/>
              </w:tblCellMar>
            </w:tblPr>
            <w:tblGrid>
              <w:gridCol w:w="1917"/>
              <w:gridCol w:w="2676"/>
              <w:gridCol w:w="3693"/>
            </w:tblGrid>
            <w:tr w14:paraId="7920B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14:paraId="02EEF6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监测点位</w:t>
                  </w:r>
                </w:p>
              </w:tc>
              <w:tc>
                <w:tcPr>
                  <w:tcW w:w="2850" w:type="dxa"/>
                  <w:tcBorders>
                    <w:tl2br w:val="nil"/>
                    <w:tr2bl w:val="nil"/>
                  </w:tcBorders>
                  <w:noWrap w:val="0"/>
                  <w:vAlign w:val="center"/>
                </w:tcPr>
                <w:p w14:paraId="0DF72B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监测位置</w:t>
                  </w:r>
                </w:p>
              </w:tc>
              <w:tc>
                <w:tcPr>
                  <w:tcW w:w="3937" w:type="dxa"/>
                  <w:tcBorders>
                    <w:tl2br w:val="nil"/>
                    <w:tr2bl w:val="nil"/>
                  </w:tcBorders>
                  <w:noWrap w:val="0"/>
                  <w:vAlign w:val="center"/>
                </w:tcPr>
                <w:p w14:paraId="229E6D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监测因子</w:t>
                  </w:r>
                </w:p>
              </w:tc>
            </w:tr>
            <w:tr w14:paraId="3859C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14:paraId="053465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茶陵自来水厂</w:t>
                  </w:r>
                </w:p>
              </w:tc>
              <w:tc>
                <w:tcPr>
                  <w:tcW w:w="2850" w:type="dxa"/>
                  <w:tcBorders>
                    <w:tl2br w:val="nil"/>
                    <w:tr2bl w:val="nil"/>
                  </w:tcBorders>
                  <w:noWrap w:val="0"/>
                  <w:vAlign w:val="center"/>
                </w:tcPr>
                <w:p w14:paraId="77EB5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上游约</w:t>
                  </w:r>
                  <w:r>
                    <w:rPr>
                      <w:rFonts w:hint="eastAsia" w:ascii="Times New Roman" w:hAnsi="Times New Roman" w:eastAsia="宋体"/>
                      <w:sz w:val="21"/>
                      <w:szCs w:val="21"/>
                      <w:u w:val="none" w:color="auto"/>
                      <w:lang w:val="en-US" w:eastAsia="zh-CN"/>
                    </w:rPr>
                    <w:t>1100</w:t>
                  </w:r>
                  <w:r>
                    <w:rPr>
                      <w:rFonts w:hint="default" w:ascii="Times New Roman" w:hAnsi="Times New Roman" w:eastAsia="宋体"/>
                      <w:sz w:val="21"/>
                      <w:szCs w:val="21"/>
                      <w:u w:val="none" w:color="auto"/>
                      <w:lang w:val="en-US" w:eastAsia="zh-CN"/>
                    </w:rPr>
                    <w:t>m处</w:t>
                  </w:r>
                </w:p>
              </w:tc>
              <w:tc>
                <w:tcPr>
                  <w:tcW w:w="3937" w:type="dxa"/>
                  <w:vMerge w:val="restart"/>
                  <w:tcBorders>
                    <w:tl2br w:val="nil"/>
                    <w:tr2bl w:val="nil"/>
                  </w:tcBorders>
                  <w:noWrap w:val="0"/>
                  <w:vAlign w:val="center"/>
                </w:tcPr>
                <w:p w14:paraId="29A557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BOD</w:t>
                  </w:r>
                  <w:r>
                    <w:rPr>
                      <w:rFonts w:hint="default" w:ascii="Times New Roman" w:hAnsi="Times New Roman" w:eastAsia="宋体"/>
                      <w:sz w:val="21"/>
                      <w:szCs w:val="21"/>
                      <w:u w:val="none" w:color="auto"/>
                      <w:lang w:val="en-US" w:eastAsia="zh-CN"/>
                    </w:rPr>
                    <w:t>、COD、NH</w:t>
                  </w:r>
                  <w:r>
                    <w:rPr>
                      <w:rFonts w:hint="default" w:ascii="Times New Roman" w:hAnsi="Times New Roman" w:eastAsia="宋体"/>
                      <w:sz w:val="21"/>
                      <w:szCs w:val="21"/>
                      <w:u w:val="none" w:color="auto"/>
                      <w:vertAlign w:val="subscript"/>
                      <w:lang w:val="en-US" w:eastAsia="zh-CN"/>
                    </w:rPr>
                    <w:t>3</w:t>
                  </w:r>
                  <w:r>
                    <w:rPr>
                      <w:rFonts w:hint="default" w:ascii="Times New Roman" w:hAnsi="Times New Roman" w:eastAsia="宋体"/>
                      <w:sz w:val="21"/>
                      <w:szCs w:val="21"/>
                      <w:u w:val="none" w:color="auto"/>
                      <w:lang w:val="en-US" w:eastAsia="zh-CN"/>
                    </w:rPr>
                    <w:t>-N、</w:t>
                  </w:r>
                  <w:r>
                    <w:rPr>
                      <w:rFonts w:hint="default" w:ascii="Times New Roman" w:hAnsi="Times New Roman" w:eastAsia="宋体"/>
                      <w:sz w:val="21"/>
                      <w:szCs w:val="21"/>
                      <w:u w:val="none" w:color="auto"/>
                    </w:rPr>
                    <w:t>pH</w:t>
                  </w:r>
                  <w:r>
                    <w:rPr>
                      <w:rFonts w:hint="default" w:ascii="Times New Roman" w:hAnsi="Times New Roman" w:eastAsia="宋体"/>
                      <w:sz w:val="21"/>
                      <w:szCs w:val="21"/>
                      <w:u w:val="none" w:color="auto"/>
                      <w:lang w:val="en-US" w:eastAsia="zh-CN"/>
                    </w:rPr>
                    <w:t>、LAS</w:t>
                  </w:r>
                </w:p>
              </w:tc>
            </w:tr>
            <w:tr w14:paraId="7D682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14:paraId="34B92F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云阳自来水厂</w:t>
                  </w:r>
                </w:p>
              </w:tc>
              <w:tc>
                <w:tcPr>
                  <w:tcW w:w="2850" w:type="dxa"/>
                  <w:tcBorders>
                    <w:tl2br w:val="nil"/>
                    <w:tr2bl w:val="nil"/>
                  </w:tcBorders>
                  <w:noWrap w:val="0"/>
                  <w:vAlign w:val="center"/>
                </w:tcPr>
                <w:p w14:paraId="44BC56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下游约</w:t>
                  </w:r>
                  <w:r>
                    <w:rPr>
                      <w:rFonts w:hint="eastAsia" w:ascii="Times New Roman" w:hAnsi="Times New Roman" w:eastAsia="宋体"/>
                      <w:sz w:val="21"/>
                      <w:szCs w:val="21"/>
                      <w:u w:val="none" w:color="auto"/>
                      <w:lang w:val="en-US" w:eastAsia="zh-CN"/>
                    </w:rPr>
                    <w:t>2800</w:t>
                  </w:r>
                  <w:r>
                    <w:rPr>
                      <w:rFonts w:hint="default" w:ascii="Times New Roman" w:hAnsi="Times New Roman" w:eastAsia="宋体"/>
                      <w:sz w:val="21"/>
                      <w:szCs w:val="21"/>
                      <w:u w:val="none" w:color="auto"/>
                      <w:lang w:val="en-US" w:eastAsia="zh-CN"/>
                    </w:rPr>
                    <w:t>m处</w:t>
                  </w:r>
                </w:p>
              </w:tc>
              <w:tc>
                <w:tcPr>
                  <w:tcW w:w="3937" w:type="dxa"/>
                  <w:vMerge w:val="continue"/>
                  <w:tcBorders>
                    <w:tl2br w:val="nil"/>
                    <w:tr2bl w:val="nil"/>
                  </w:tcBorders>
                  <w:noWrap w:val="0"/>
                  <w:vAlign w:val="center"/>
                </w:tcPr>
                <w:p w14:paraId="4136DD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r>
          </w:tbl>
          <w:p w14:paraId="29E4C0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bCs/>
                <w:sz w:val="21"/>
                <w:szCs w:val="21"/>
                <w:u w:val="none" w:color="auto"/>
              </w:rPr>
            </w:pPr>
            <w:r>
              <w:rPr>
                <w:rFonts w:hint="default" w:ascii="Times New Roman" w:hAnsi="Times New Roman" w:eastAsia="宋体"/>
                <w:sz w:val="24"/>
                <w:szCs w:val="24"/>
                <w:u w:val="none" w:color="auto"/>
                <w:lang w:val="en-US" w:eastAsia="zh-CN"/>
              </w:rPr>
              <w:t>地表水水质</w:t>
            </w:r>
            <w:r>
              <w:rPr>
                <w:rFonts w:hint="eastAsia"/>
                <w:sz w:val="24"/>
                <w:szCs w:val="24"/>
                <w:u w:val="none" w:color="auto"/>
                <w:lang w:val="en-US" w:eastAsia="zh-CN"/>
              </w:rPr>
              <w:t>监测</w:t>
            </w:r>
            <w:r>
              <w:rPr>
                <w:rFonts w:hint="default" w:ascii="Times New Roman" w:hAnsi="Times New Roman" w:eastAsia="宋体"/>
                <w:sz w:val="24"/>
                <w:szCs w:val="24"/>
                <w:u w:val="none" w:color="auto"/>
                <w:lang w:val="en-US" w:eastAsia="zh-CN"/>
              </w:rPr>
              <w:t>结果见表5-3。</w:t>
            </w:r>
          </w:p>
          <w:p w14:paraId="7B0CE14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u w:val="none" w:color="auto"/>
                <w:lang w:val="en-US" w:eastAsia="zh-CN"/>
              </w:rPr>
            </w:pPr>
            <w:r>
              <w:rPr>
                <w:rFonts w:hint="default" w:ascii="Times New Roman" w:hAnsi="Times New Roman" w:eastAsia="宋体"/>
                <w:b/>
                <w:bCs/>
                <w:sz w:val="21"/>
                <w:szCs w:val="21"/>
                <w:u w:val="none" w:color="auto"/>
              </w:rPr>
              <w:t>表</w:t>
            </w:r>
            <w:r>
              <w:rPr>
                <w:rFonts w:hint="default" w:ascii="Times New Roman" w:hAnsi="Times New Roman" w:eastAsia="宋体"/>
                <w:b/>
                <w:bCs/>
                <w:sz w:val="21"/>
                <w:szCs w:val="21"/>
                <w:u w:val="none" w:color="auto"/>
                <w:lang w:val="en-US" w:eastAsia="zh-CN"/>
              </w:rPr>
              <w:t>5-3</w:t>
            </w:r>
            <w:r>
              <w:rPr>
                <w:rFonts w:hint="default" w:ascii="Times New Roman" w:hAnsi="Times New Roman" w:eastAsia="宋体"/>
                <w:b/>
                <w:bCs/>
                <w:sz w:val="21"/>
                <w:szCs w:val="21"/>
                <w:u w:val="none" w:color="auto"/>
              </w:rPr>
              <w:t xml:space="preserve"> </w:t>
            </w:r>
            <w:r>
              <w:rPr>
                <w:rFonts w:hint="default" w:ascii="Times New Roman" w:hAnsi="Times New Roman" w:eastAsia="宋体"/>
                <w:b/>
                <w:bCs/>
                <w:sz w:val="21"/>
                <w:szCs w:val="21"/>
                <w:u w:val="none" w:color="auto"/>
                <w:lang w:val="en-US" w:eastAsia="zh-CN"/>
              </w:rPr>
              <w:t>地表水水质现状</w:t>
            </w:r>
            <w:r>
              <w:rPr>
                <w:rFonts w:hint="eastAsia"/>
                <w:b/>
                <w:bCs/>
                <w:sz w:val="21"/>
                <w:szCs w:val="21"/>
                <w:u w:val="none" w:color="auto"/>
                <w:lang w:val="en-US" w:eastAsia="zh-CN"/>
              </w:rPr>
              <w:t>监测</w:t>
            </w:r>
            <w:r>
              <w:rPr>
                <w:rFonts w:hint="default" w:ascii="Times New Roman" w:hAnsi="Times New Roman" w:eastAsia="宋体"/>
                <w:b/>
                <w:bCs/>
                <w:sz w:val="21"/>
                <w:szCs w:val="21"/>
                <w:u w:val="none" w:color="auto"/>
                <w:lang w:val="en-US" w:eastAsia="zh-CN"/>
              </w:rPr>
              <w:t>结果</w:t>
            </w:r>
          </w:p>
          <w:tbl>
            <w:tblPr>
              <w:tblStyle w:val="17"/>
              <w:tblW w:w="5000" w:type="pct"/>
              <w:tblInd w:w="-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750"/>
              <w:gridCol w:w="817"/>
              <w:gridCol w:w="1838"/>
              <w:gridCol w:w="1209"/>
              <w:gridCol w:w="1093"/>
              <w:gridCol w:w="1446"/>
              <w:gridCol w:w="1133"/>
            </w:tblGrid>
            <w:tr w14:paraId="6D647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74" w:hRule="atLeast"/>
              </w:trPr>
              <w:tc>
                <w:tcPr>
                  <w:tcW w:w="750" w:type="dxa"/>
                  <w:tcBorders>
                    <w:tl2br w:val="nil"/>
                    <w:tr2bl w:val="nil"/>
                  </w:tcBorders>
                  <w:noWrap w:val="0"/>
                  <w:vAlign w:val="center"/>
                </w:tcPr>
                <w:p w14:paraId="0BB9DE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河流名称</w:t>
                  </w:r>
                </w:p>
              </w:tc>
              <w:tc>
                <w:tcPr>
                  <w:tcW w:w="817" w:type="dxa"/>
                  <w:tcBorders>
                    <w:tl2br w:val="nil"/>
                    <w:tr2bl w:val="nil"/>
                  </w:tcBorders>
                  <w:noWrap w:val="0"/>
                  <w:vAlign w:val="center"/>
                </w:tcPr>
                <w:p w14:paraId="03C73E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监测</w:t>
                  </w:r>
                  <w:r>
                    <w:rPr>
                      <w:rFonts w:hint="default" w:ascii="Times New Roman" w:hAnsi="Times New Roman" w:eastAsia="宋体"/>
                      <w:sz w:val="21"/>
                      <w:szCs w:val="21"/>
                      <w:u w:val="none" w:color="auto"/>
                      <w:lang w:val="en-US" w:eastAsia="zh-CN"/>
                    </w:rPr>
                    <w:t>点位</w:t>
                  </w:r>
                </w:p>
              </w:tc>
              <w:tc>
                <w:tcPr>
                  <w:tcW w:w="1838" w:type="dxa"/>
                  <w:tcBorders>
                    <w:tl2br w:val="nil"/>
                    <w:tr2bl w:val="nil"/>
                  </w:tcBorders>
                  <w:noWrap w:val="0"/>
                  <w:vAlign w:val="center"/>
                </w:tcPr>
                <w:p w14:paraId="62DCF0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位置</w:t>
                  </w:r>
                </w:p>
              </w:tc>
              <w:tc>
                <w:tcPr>
                  <w:tcW w:w="1209" w:type="dxa"/>
                  <w:tcBorders>
                    <w:tl2br w:val="nil"/>
                    <w:tr2bl w:val="nil"/>
                  </w:tcBorders>
                  <w:noWrap w:val="0"/>
                  <w:vAlign w:val="center"/>
                </w:tcPr>
                <w:p w14:paraId="632C46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检测项目</w:t>
                  </w:r>
                </w:p>
              </w:tc>
              <w:tc>
                <w:tcPr>
                  <w:tcW w:w="1093" w:type="dxa"/>
                  <w:tcBorders>
                    <w:tl2br w:val="nil"/>
                    <w:tr2bl w:val="nil"/>
                  </w:tcBorders>
                  <w:noWrap w:val="0"/>
                  <w:vAlign w:val="center"/>
                </w:tcPr>
                <w:p w14:paraId="633ABE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单位</w:t>
                  </w:r>
                </w:p>
              </w:tc>
              <w:tc>
                <w:tcPr>
                  <w:tcW w:w="1446" w:type="dxa"/>
                  <w:tcBorders>
                    <w:tl2br w:val="nil"/>
                    <w:tr2bl w:val="nil"/>
                  </w:tcBorders>
                  <w:noWrap w:val="0"/>
                  <w:vAlign w:val="center"/>
                </w:tcPr>
                <w:p w14:paraId="60334A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监测值</w:t>
                  </w:r>
                </w:p>
              </w:tc>
              <w:tc>
                <w:tcPr>
                  <w:tcW w:w="1133" w:type="dxa"/>
                  <w:tcBorders>
                    <w:tl2br w:val="nil"/>
                    <w:tr2bl w:val="nil"/>
                  </w:tcBorders>
                  <w:noWrap w:val="0"/>
                  <w:vAlign w:val="center"/>
                </w:tcPr>
                <w:p w14:paraId="3EF5CD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标准值</w:t>
                  </w:r>
                </w:p>
              </w:tc>
            </w:tr>
            <w:tr w14:paraId="71E60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restart"/>
                  <w:tcBorders>
                    <w:tl2br w:val="nil"/>
                    <w:tr2bl w:val="nil"/>
                  </w:tcBorders>
                  <w:noWrap w:val="0"/>
                  <w:vAlign w:val="center"/>
                </w:tcPr>
                <w:p w14:paraId="2D7E2C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洣水</w:t>
                  </w:r>
                </w:p>
              </w:tc>
              <w:tc>
                <w:tcPr>
                  <w:tcW w:w="817" w:type="dxa"/>
                  <w:vMerge w:val="restart"/>
                  <w:tcBorders>
                    <w:tl2br w:val="nil"/>
                    <w:tr2bl w:val="nil"/>
                  </w:tcBorders>
                  <w:noWrap w:val="0"/>
                  <w:vAlign w:val="center"/>
                </w:tcPr>
                <w:p w14:paraId="015B9B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茶陵自来水厂</w:t>
                  </w:r>
                </w:p>
              </w:tc>
              <w:tc>
                <w:tcPr>
                  <w:tcW w:w="1838" w:type="dxa"/>
                  <w:vMerge w:val="restart"/>
                  <w:tcBorders>
                    <w:tl2br w:val="nil"/>
                    <w:tr2bl w:val="nil"/>
                  </w:tcBorders>
                  <w:noWrap w:val="0"/>
                  <w:vAlign w:val="center"/>
                </w:tcPr>
                <w:p w14:paraId="46FB9C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上游约</w:t>
                  </w:r>
                  <w:r>
                    <w:rPr>
                      <w:rFonts w:hint="eastAsia" w:ascii="Times New Roman" w:hAnsi="Times New Roman" w:eastAsia="宋体"/>
                      <w:sz w:val="21"/>
                      <w:szCs w:val="21"/>
                      <w:u w:val="none" w:color="auto"/>
                      <w:lang w:val="en-US" w:eastAsia="zh-CN"/>
                    </w:rPr>
                    <w:t>1100</w:t>
                  </w:r>
                  <w:r>
                    <w:rPr>
                      <w:rFonts w:hint="default" w:ascii="Times New Roman" w:hAnsi="Times New Roman" w:eastAsia="宋体"/>
                      <w:sz w:val="21"/>
                      <w:szCs w:val="21"/>
                      <w:u w:val="none" w:color="auto"/>
                      <w:lang w:val="en-US" w:eastAsia="zh-CN"/>
                    </w:rPr>
                    <w:t>m处</w:t>
                  </w:r>
                </w:p>
              </w:tc>
              <w:tc>
                <w:tcPr>
                  <w:tcW w:w="1209" w:type="dxa"/>
                  <w:tcBorders>
                    <w:tl2br w:val="nil"/>
                    <w:tr2bl w:val="nil"/>
                  </w:tcBorders>
                  <w:noWrap w:val="0"/>
                  <w:vAlign w:val="center"/>
                </w:tcPr>
                <w:p w14:paraId="0F9A74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COD</w:t>
                  </w:r>
                </w:p>
              </w:tc>
              <w:tc>
                <w:tcPr>
                  <w:tcW w:w="1093" w:type="dxa"/>
                  <w:tcBorders>
                    <w:tl2br w:val="nil"/>
                    <w:tr2bl w:val="nil"/>
                  </w:tcBorders>
                  <w:noWrap w:val="0"/>
                  <w:vAlign w:val="center"/>
                </w:tcPr>
                <w:p w14:paraId="31E207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7E03523F">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6</w:t>
                  </w:r>
                </w:p>
              </w:tc>
              <w:tc>
                <w:tcPr>
                  <w:tcW w:w="1133" w:type="dxa"/>
                  <w:tcBorders>
                    <w:tl2br w:val="nil"/>
                    <w:tr2bl w:val="nil"/>
                  </w:tcBorders>
                  <w:noWrap w:val="0"/>
                  <w:vAlign w:val="center"/>
                </w:tcPr>
                <w:p w14:paraId="136979B9">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15</w:t>
                  </w:r>
                </w:p>
              </w:tc>
            </w:tr>
            <w:tr w14:paraId="07A54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686D06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7B9E17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2C92EE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5EB00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NH</w:t>
                  </w:r>
                  <w:r>
                    <w:rPr>
                      <w:rFonts w:hint="default" w:ascii="Times New Roman" w:hAnsi="Times New Roman" w:eastAsia="宋体"/>
                      <w:sz w:val="21"/>
                      <w:szCs w:val="21"/>
                      <w:u w:val="none" w:color="auto"/>
                      <w:vertAlign w:val="subscript"/>
                      <w:lang w:val="en-US" w:eastAsia="zh-CN"/>
                    </w:rPr>
                    <w:t>3</w:t>
                  </w:r>
                  <w:r>
                    <w:rPr>
                      <w:rFonts w:hint="default" w:ascii="Times New Roman" w:hAnsi="Times New Roman" w:eastAsia="宋体"/>
                      <w:sz w:val="21"/>
                      <w:szCs w:val="21"/>
                      <w:u w:val="none" w:color="auto"/>
                      <w:lang w:val="en-US" w:eastAsia="zh-CN"/>
                    </w:rPr>
                    <w:t>-N</w:t>
                  </w:r>
                </w:p>
              </w:tc>
              <w:tc>
                <w:tcPr>
                  <w:tcW w:w="1093" w:type="dxa"/>
                  <w:tcBorders>
                    <w:tl2br w:val="nil"/>
                    <w:tr2bl w:val="nil"/>
                  </w:tcBorders>
                  <w:noWrap w:val="0"/>
                  <w:vAlign w:val="center"/>
                </w:tcPr>
                <w:p w14:paraId="4E82AB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589AAD93">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0.0</w:t>
                  </w:r>
                  <w:r>
                    <w:rPr>
                      <w:rFonts w:hint="eastAsia" w:cs="Times New Roman"/>
                      <w:i w:val="0"/>
                      <w:iCs w:val="0"/>
                      <w:color w:val="000000"/>
                      <w:kern w:val="0"/>
                      <w:sz w:val="21"/>
                      <w:szCs w:val="21"/>
                      <w:u w:val="none" w:color="auto"/>
                      <w:lang w:val="en-US" w:eastAsia="zh-CN" w:bidi="ar"/>
                    </w:rPr>
                    <w:t>4</w:t>
                  </w:r>
                </w:p>
              </w:tc>
              <w:tc>
                <w:tcPr>
                  <w:tcW w:w="1133" w:type="dxa"/>
                  <w:tcBorders>
                    <w:tl2br w:val="nil"/>
                    <w:tr2bl w:val="nil"/>
                  </w:tcBorders>
                  <w:noWrap w:val="0"/>
                  <w:vAlign w:val="center"/>
                </w:tcPr>
                <w:p w14:paraId="47971F2F">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0.5</w:t>
                  </w:r>
                </w:p>
              </w:tc>
            </w:tr>
            <w:tr w14:paraId="4081D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0E8EAC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1B68CA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48BB5B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26CA23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PH</w:t>
                  </w:r>
                </w:p>
              </w:tc>
              <w:tc>
                <w:tcPr>
                  <w:tcW w:w="1093" w:type="dxa"/>
                  <w:tcBorders>
                    <w:tl2br w:val="nil"/>
                    <w:tr2bl w:val="nil"/>
                  </w:tcBorders>
                  <w:noWrap w:val="0"/>
                  <w:vAlign w:val="center"/>
                </w:tcPr>
                <w:p w14:paraId="777A73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148F65FE">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7</w:t>
                  </w:r>
                  <w:r>
                    <w:rPr>
                      <w:rFonts w:hint="eastAsia" w:cs="Times New Roman"/>
                      <w:i w:val="0"/>
                      <w:iCs w:val="0"/>
                      <w:color w:val="000000"/>
                      <w:kern w:val="0"/>
                      <w:sz w:val="21"/>
                      <w:szCs w:val="21"/>
                      <w:u w:val="none" w:color="auto"/>
                      <w:lang w:val="en-US" w:eastAsia="zh-CN" w:bidi="ar"/>
                    </w:rPr>
                    <w:t>.1</w:t>
                  </w:r>
                </w:p>
              </w:tc>
              <w:tc>
                <w:tcPr>
                  <w:tcW w:w="1133" w:type="dxa"/>
                  <w:tcBorders>
                    <w:tl2br w:val="nil"/>
                    <w:tr2bl w:val="nil"/>
                  </w:tcBorders>
                  <w:noWrap w:val="0"/>
                  <w:vAlign w:val="center"/>
                </w:tcPr>
                <w:p w14:paraId="7DC575BE">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6-9</w:t>
                  </w:r>
                </w:p>
              </w:tc>
            </w:tr>
            <w:tr w14:paraId="524DE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307787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15C0C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608252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5BCDD4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LAS</w:t>
                  </w:r>
                </w:p>
              </w:tc>
              <w:tc>
                <w:tcPr>
                  <w:tcW w:w="1093" w:type="dxa"/>
                  <w:tcBorders>
                    <w:tl2br w:val="nil"/>
                    <w:tr2bl w:val="nil"/>
                  </w:tcBorders>
                  <w:noWrap w:val="0"/>
                  <w:vAlign w:val="center"/>
                </w:tcPr>
                <w:p w14:paraId="739553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490E6528">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0.05</w:t>
                  </w:r>
                  <w:r>
                    <w:rPr>
                      <w:rFonts w:hint="eastAsia" w:cs="Times New Roman"/>
                      <w:i w:val="0"/>
                      <w:iCs w:val="0"/>
                      <w:color w:val="000000"/>
                      <w:kern w:val="0"/>
                      <w:sz w:val="21"/>
                      <w:szCs w:val="21"/>
                      <w:u w:val="none" w:color="auto"/>
                      <w:lang w:val="en-US" w:eastAsia="zh-CN" w:bidi="ar"/>
                    </w:rPr>
                    <w:t>L</w:t>
                  </w:r>
                </w:p>
              </w:tc>
              <w:tc>
                <w:tcPr>
                  <w:tcW w:w="1133" w:type="dxa"/>
                  <w:tcBorders>
                    <w:tl2br w:val="nil"/>
                    <w:tr2bl w:val="nil"/>
                  </w:tcBorders>
                  <w:noWrap w:val="0"/>
                  <w:vAlign w:val="center"/>
                </w:tcPr>
                <w:p w14:paraId="44FBD680">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0.2</w:t>
                  </w:r>
                </w:p>
              </w:tc>
            </w:tr>
            <w:tr w14:paraId="477F9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2D2F03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5BAED1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03FFE0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5E3FEC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BOD</w:t>
                  </w:r>
                </w:p>
              </w:tc>
              <w:tc>
                <w:tcPr>
                  <w:tcW w:w="1093" w:type="dxa"/>
                  <w:tcBorders>
                    <w:tl2br w:val="nil"/>
                    <w:tr2bl w:val="nil"/>
                  </w:tcBorders>
                  <w:noWrap w:val="0"/>
                  <w:vAlign w:val="center"/>
                </w:tcPr>
                <w:p w14:paraId="656698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mg</w:t>
                  </w:r>
                  <w:r>
                    <w:rPr>
                      <w:rFonts w:hint="default" w:ascii="Times New Roman" w:hAnsi="Times New Roman" w:eastAsia="宋体"/>
                      <w:sz w:val="21"/>
                      <w:szCs w:val="21"/>
                      <w:u w:val="none" w:color="auto"/>
                      <w:lang w:val="en-US" w:eastAsia="zh-CN"/>
                    </w:rPr>
                    <w:t>/L</w:t>
                  </w:r>
                </w:p>
              </w:tc>
              <w:tc>
                <w:tcPr>
                  <w:tcW w:w="1446" w:type="dxa"/>
                  <w:tcBorders>
                    <w:tl2br w:val="nil"/>
                    <w:tr2bl w:val="nil"/>
                  </w:tcBorders>
                  <w:noWrap w:val="0"/>
                  <w:vAlign w:val="center"/>
                </w:tcPr>
                <w:p w14:paraId="569B35A0">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0.7</w:t>
                  </w:r>
                </w:p>
              </w:tc>
              <w:tc>
                <w:tcPr>
                  <w:tcW w:w="1133" w:type="dxa"/>
                  <w:tcBorders>
                    <w:tl2br w:val="nil"/>
                    <w:tr2bl w:val="nil"/>
                  </w:tcBorders>
                  <w:noWrap w:val="0"/>
                  <w:vAlign w:val="center"/>
                </w:tcPr>
                <w:p w14:paraId="2ADD6E56">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3</w:t>
                  </w:r>
                </w:p>
              </w:tc>
            </w:tr>
            <w:tr w14:paraId="33A38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693048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restart"/>
                  <w:tcBorders>
                    <w:tl2br w:val="nil"/>
                    <w:tr2bl w:val="nil"/>
                  </w:tcBorders>
                  <w:noWrap w:val="0"/>
                  <w:vAlign w:val="center"/>
                </w:tcPr>
                <w:p w14:paraId="4058D5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云阳自来水厂</w:t>
                  </w:r>
                </w:p>
              </w:tc>
              <w:tc>
                <w:tcPr>
                  <w:tcW w:w="1838" w:type="dxa"/>
                  <w:vMerge w:val="restart"/>
                  <w:tcBorders>
                    <w:tl2br w:val="nil"/>
                    <w:tr2bl w:val="nil"/>
                  </w:tcBorders>
                  <w:noWrap w:val="0"/>
                  <w:vAlign w:val="center"/>
                </w:tcPr>
                <w:p w14:paraId="7439B5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排污口</w:t>
                  </w:r>
                  <w:r>
                    <w:rPr>
                      <w:rFonts w:hint="default" w:ascii="Times New Roman" w:hAnsi="Times New Roman" w:eastAsia="宋体"/>
                      <w:sz w:val="21"/>
                      <w:szCs w:val="21"/>
                      <w:u w:val="none" w:color="auto"/>
                      <w:lang w:val="en-US" w:eastAsia="zh-CN"/>
                    </w:rPr>
                    <w:t>入</w:t>
                  </w:r>
                  <w:r>
                    <w:rPr>
                      <w:rFonts w:hint="eastAsia" w:ascii="Times New Roman" w:hAnsi="Times New Roman" w:eastAsia="宋体"/>
                      <w:sz w:val="21"/>
                      <w:szCs w:val="21"/>
                      <w:u w:val="none" w:color="auto"/>
                      <w:lang w:val="en-US" w:eastAsia="zh-CN"/>
                    </w:rPr>
                    <w:t>洣水</w:t>
                  </w:r>
                  <w:r>
                    <w:rPr>
                      <w:rFonts w:hint="default" w:ascii="Times New Roman" w:hAnsi="Times New Roman" w:eastAsia="宋体"/>
                      <w:sz w:val="21"/>
                      <w:szCs w:val="21"/>
                      <w:u w:val="none" w:color="auto"/>
                      <w:lang w:val="en-US" w:eastAsia="zh-CN"/>
                    </w:rPr>
                    <w:t>下游约</w:t>
                  </w:r>
                  <w:r>
                    <w:rPr>
                      <w:rFonts w:hint="eastAsia" w:ascii="Times New Roman" w:hAnsi="Times New Roman" w:eastAsia="宋体"/>
                      <w:sz w:val="21"/>
                      <w:szCs w:val="21"/>
                      <w:u w:val="none" w:color="auto"/>
                      <w:lang w:val="en-US" w:eastAsia="zh-CN"/>
                    </w:rPr>
                    <w:t>2800</w:t>
                  </w:r>
                  <w:r>
                    <w:rPr>
                      <w:rFonts w:hint="default" w:ascii="Times New Roman" w:hAnsi="Times New Roman" w:eastAsia="宋体"/>
                      <w:sz w:val="21"/>
                      <w:szCs w:val="21"/>
                      <w:u w:val="none" w:color="auto"/>
                      <w:lang w:val="en-US" w:eastAsia="zh-CN"/>
                    </w:rPr>
                    <w:t>m处</w:t>
                  </w:r>
                </w:p>
              </w:tc>
              <w:tc>
                <w:tcPr>
                  <w:tcW w:w="1209" w:type="dxa"/>
                  <w:tcBorders>
                    <w:tl2br w:val="nil"/>
                    <w:tr2bl w:val="nil"/>
                  </w:tcBorders>
                  <w:noWrap w:val="0"/>
                  <w:vAlign w:val="center"/>
                </w:tcPr>
                <w:p w14:paraId="04F1EB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COD</w:t>
                  </w:r>
                </w:p>
              </w:tc>
              <w:tc>
                <w:tcPr>
                  <w:tcW w:w="1093" w:type="dxa"/>
                  <w:tcBorders>
                    <w:tl2br w:val="nil"/>
                    <w:tr2bl w:val="nil"/>
                  </w:tcBorders>
                  <w:noWrap w:val="0"/>
                  <w:vAlign w:val="center"/>
                </w:tcPr>
                <w:p w14:paraId="4CBA22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796CB154">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cs="Times New Roman"/>
                      <w:i w:val="0"/>
                      <w:iCs w:val="0"/>
                      <w:color w:val="000000"/>
                      <w:kern w:val="0"/>
                      <w:sz w:val="21"/>
                      <w:szCs w:val="21"/>
                      <w:u w:val="none" w:color="auto"/>
                      <w:lang w:val="en-US" w:eastAsia="zh-CN" w:bidi="ar"/>
                    </w:rPr>
                    <w:t>6</w:t>
                  </w:r>
                </w:p>
              </w:tc>
              <w:tc>
                <w:tcPr>
                  <w:tcW w:w="1133" w:type="dxa"/>
                  <w:tcBorders>
                    <w:tl2br w:val="nil"/>
                    <w:tr2bl w:val="nil"/>
                  </w:tcBorders>
                  <w:noWrap w:val="0"/>
                  <w:vAlign w:val="center"/>
                </w:tcPr>
                <w:p w14:paraId="1E101A17">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15</w:t>
                  </w:r>
                </w:p>
              </w:tc>
            </w:tr>
            <w:tr w14:paraId="57479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5F8CB3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02ACB7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066AAF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3166EA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NH</w:t>
                  </w:r>
                  <w:r>
                    <w:rPr>
                      <w:rFonts w:hint="default" w:ascii="Times New Roman" w:hAnsi="Times New Roman" w:eastAsia="宋体"/>
                      <w:sz w:val="21"/>
                      <w:szCs w:val="21"/>
                      <w:u w:val="none" w:color="auto"/>
                      <w:vertAlign w:val="subscript"/>
                      <w:lang w:val="en-US" w:eastAsia="zh-CN"/>
                    </w:rPr>
                    <w:t>3</w:t>
                  </w:r>
                  <w:r>
                    <w:rPr>
                      <w:rFonts w:hint="default" w:ascii="Times New Roman" w:hAnsi="Times New Roman" w:eastAsia="宋体"/>
                      <w:sz w:val="21"/>
                      <w:szCs w:val="21"/>
                      <w:u w:val="none" w:color="auto"/>
                      <w:lang w:val="en-US" w:eastAsia="zh-CN"/>
                    </w:rPr>
                    <w:t>-N</w:t>
                  </w:r>
                </w:p>
              </w:tc>
              <w:tc>
                <w:tcPr>
                  <w:tcW w:w="1093" w:type="dxa"/>
                  <w:tcBorders>
                    <w:tl2br w:val="nil"/>
                    <w:tr2bl w:val="nil"/>
                  </w:tcBorders>
                  <w:noWrap w:val="0"/>
                  <w:vAlign w:val="center"/>
                </w:tcPr>
                <w:p w14:paraId="12768A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640566AB">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0.0</w:t>
                  </w:r>
                  <w:r>
                    <w:rPr>
                      <w:rFonts w:hint="eastAsia" w:cs="Times New Roman"/>
                      <w:i w:val="0"/>
                      <w:iCs w:val="0"/>
                      <w:color w:val="000000"/>
                      <w:kern w:val="0"/>
                      <w:sz w:val="21"/>
                      <w:szCs w:val="21"/>
                      <w:u w:val="none" w:color="auto"/>
                      <w:lang w:val="en-US" w:eastAsia="zh-CN" w:bidi="ar"/>
                    </w:rPr>
                    <w:t>5</w:t>
                  </w:r>
                </w:p>
              </w:tc>
              <w:tc>
                <w:tcPr>
                  <w:tcW w:w="1133" w:type="dxa"/>
                  <w:tcBorders>
                    <w:tl2br w:val="nil"/>
                    <w:tr2bl w:val="nil"/>
                  </w:tcBorders>
                  <w:noWrap w:val="0"/>
                  <w:vAlign w:val="center"/>
                </w:tcPr>
                <w:p w14:paraId="4EDE8643">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0.5</w:t>
                  </w:r>
                </w:p>
              </w:tc>
            </w:tr>
            <w:tr w14:paraId="6B0AB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319FCF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4EB602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73A1B4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3BAC1C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sz w:val="21"/>
                      <w:szCs w:val="21"/>
                      <w:u w:val="none" w:color="auto"/>
                      <w:lang w:val="en-US" w:eastAsia="zh-CN"/>
                    </w:rPr>
                    <w:t>PH</w:t>
                  </w:r>
                </w:p>
              </w:tc>
              <w:tc>
                <w:tcPr>
                  <w:tcW w:w="1093" w:type="dxa"/>
                  <w:tcBorders>
                    <w:tl2br w:val="nil"/>
                    <w:tr2bl w:val="nil"/>
                  </w:tcBorders>
                  <w:noWrap w:val="0"/>
                  <w:vAlign w:val="center"/>
                </w:tcPr>
                <w:p w14:paraId="6F699D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6CF0726C">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7</w:t>
                  </w:r>
                  <w:r>
                    <w:rPr>
                      <w:rFonts w:hint="eastAsia" w:cs="Times New Roman"/>
                      <w:i w:val="0"/>
                      <w:iCs w:val="0"/>
                      <w:color w:val="000000"/>
                      <w:kern w:val="0"/>
                      <w:sz w:val="21"/>
                      <w:szCs w:val="21"/>
                      <w:u w:val="none" w:color="auto"/>
                      <w:lang w:val="en-US" w:eastAsia="zh-CN" w:bidi="ar"/>
                    </w:rPr>
                    <w:t>.0</w:t>
                  </w:r>
                </w:p>
              </w:tc>
              <w:tc>
                <w:tcPr>
                  <w:tcW w:w="1133" w:type="dxa"/>
                  <w:tcBorders>
                    <w:tl2br w:val="nil"/>
                    <w:tr2bl w:val="nil"/>
                  </w:tcBorders>
                  <w:noWrap w:val="0"/>
                  <w:vAlign w:val="center"/>
                </w:tcPr>
                <w:p w14:paraId="210D37E0">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6-9</w:t>
                  </w:r>
                </w:p>
              </w:tc>
            </w:tr>
            <w:tr w14:paraId="72900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271293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5C1637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137A0E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5A7E75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LAS</w:t>
                  </w:r>
                </w:p>
              </w:tc>
              <w:tc>
                <w:tcPr>
                  <w:tcW w:w="1093" w:type="dxa"/>
                  <w:tcBorders>
                    <w:tl2br w:val="nil"/>
                    <w:tr2bl w:val="nil"/>
                  </w:tcBorders>
                  <w:noWrap w:val="0"/>
                  <w:vAlign w:val="center"/>
                </w:tcPr>
                <w:p w14:paraId="7504F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mg/L</w:t>
                  </w:r>
                </w:p>
              </w:tc>
              <w:tc>
                <w:tcPr>
                  <w:tcW w:w="1446" w:type="dxa"/>
                  <w:tcBorders>
                    <w:tl2br w:val="nil"/>
                    <w:tr2bl w:val="nil"/>
                  </w:tcBorders>
                  <w:noWrap w:val="0"/>
                  <w:vAlign w:val="center"/>
                </w:tcPr>
                <w:p w14:paraId="42F94D0D">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0.05</w:t>
                  </w:r>
                  <w:r>
                    <w:rPr>
                      <w:rFonts w:hint="eastAsia" w:cs="Times New Roman"/>
                      <w:i w:val="0"/>
                      <w:iCs w:val="0"/>
                      <w:color w:val="000000"/>
                      <w:kern w:val="0"/>
                      <w:sz w:val="21"/>
                      <w:szCs w:val="21"/>
                      <w:u w:val="none" w:color="auto"/>
                      <w:lang w:val="en-US" w:eastAsia="zh-CN" w:bidi="ar"/>
                    </w:rPr>
                    <w:t>L</w:t>
                  </w:r>
                </w:p>
              </w:tc>
              <w:tc>
                <w:tcPr>
                  <w:tcW w:w="1133" w:type="dxa"/>
                  <w:tcBorders>
                    <w:tl2br w:val="nil"/>
                    <w:tr2bl w:val="nil"/>
                  </w:tcBorders>
                  <w:noWrap w:val="0"/>
                  <w:vAlign w:val="center"/>
                </w:tcPr>
                <w:p w14:paraId="4D5C2601">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0.2</w:t>
                  </w:r>
                </w:p>
              </w:tc>
            </w:tr>
            <w:tr w14:paraId="21CF4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14:paraId="0AADF3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817" w:type="dxa"/>
                  <w:vMerge w:val="continue"/>
                  <w:tcBorders>
                    <w:tl2br w:val="nil"/>
                    <w:tr2bl w:val="nil"/>
                  </w:tcBorders>
                  <w:noWrap w:val="0"/>
                  <w:vAlign w:val="center"/>
                </w:tcPr>
                <w:p w14:paraId="78B26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838" w:type="dxa"/>
                  <w:vMerge w:val="continue"/>
                  <w:tcBorders>
                    <w:tl2br w:val="nil"/>
                    <w:tr2bl w:val="nil"/>
                  </w:tcBorders>
                  <w:noWrap w:val="0"/>
                  <w:vAlign w:val="center"/>
                </w:tcPr>
                <w:p w14:paraId="67C263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p>
              </w:tc>
              <w:tc>
                <w:tcPr>
                  <w:tcW w:w="1209" w:type="dxa"/>
                  <w:tcBorders>
                    <w:tl2br w:val="nil"/>
                    <w:tr2bl w:val="nil"/>
                  </w:tcBorders>
                  <w:noWrap w:val="0"/>
                  <w:vAlign w:val="center"/>
                </w:tcPr>
                <w:p w14:paraId="48B0AA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eastAsia" w:ascii="Times New Roman" w:hAnsi="Times New Roman" w:eastAsia="宋体"/>
                      <w:sz w:val="21"/>
                      <w:szCs w:val="21"/>
                      <w:u w:val="none" w:color="auto"/>
                      <w:lang w:val="en-US" w:eastAsia="zh-CN"/>
                    </w:rPr>
                    <w:t>BOD</w:t>
                  </w:r>
                </w:p>
              </w:tc>
              <w:tc>
                <w:tcPr>
                  <w:tcW w:w="1093" w:type="dxa"/>
                  <w:tcBorders>
                    <w:tl2br w:val="nil"/>
                    <w:tr2bl w:val="nil"/>
                  </w:tcBorders>
                  <w:noWrap w:val="0"/>
                  <w:vAlign w:val="center"/>
                </w:tcPr>
                <w:p w14:paraId="71E4E7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none" w:color="auto"/>
                      <w:lang w:val="en-US" w:eastAsia="zh-CN"/>
                    </w:rPr>
                  </w:pPr>
                  <w:r>
                    <w:rPr>
                      <w:rFonts w:hint="default" w:ascii="Times New Roman" w:hAnsi="Times New Roman" w:eastAsia="宋体"/>
                      <w:sz w:val="21"/>
                      <w:szCs w:val="21"/>
                      <w:u w:val="none" w:color="auto"/>
                      <w:lang w:val="en-US" w:eastAsia="zh-CN"/>
                    </w:rPr>
                    <w:t>个/L</w:t>
                  </w:r>
                </w:p>
              </w:tc>
              <w:tc>
                <w:tcPr>
                  <w:tcW w:w="1446" w:type="dxa"/>
                  <w:tcBorders>
                    <w:tl2br w:val="nil"/>
                    <w:tr2bl w:val="nil"/>
                  </w:tcBorders>
                  <w:noWrap w:val="0"/>
                  <w:vAlign w:val="center"/>
                </w:tcPr>
                <w:p w14:paraId="769344D7">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0</w:t>
                  </w:r>
                  <w:r>
                    <w:rPr>
                      <w:rFonts w:hint="eastAsia" w:cs="Times New Roman"/>
                      <w:i w:val="0"/>
                      <w:iCs w:val="0"/>
                      <w:color w:val="000000"/>
                      <w:kern w:val="0"/>
                      <w:sz w:val="21"/>
                      <w:szCs w:val="21"/>
                      <w:u w:val="none" w:color="auto"/>
                      <w:lang w:val="en-US" w:eastAsia="zh-CN" w:bidi="ar"/>
                    </w:rPr>
                    <w:t>.8</w:t>
                  </w:r>
                </w:p>
              </w:tc>
              <w:tc>
                <w:tcPr>
                  <w:tcW w:w="1133" w:type="dxa"/>
                  <w:tcBorders>
                    <w:tl2br w:val="nil"/>
                    <w:tr2bl w:val="nil"/>
                  </w:tcBorders>
                  <w:noWrap w:val="0"/>
                  <w:vAlign w:val="center"/>
                </w:tcPr>
                <w:p w14:paraId="22532156">
                  <w:pPr>
                    <w:pStyle w:val="24"/>
                    <w:bidi w:val="0"/>
                    <w:rPr>
                      <w:rFonts w:hint="default" w:ascii="Times New Roman" w:hAnsi="Times New Roman" w:eastAsia="宋体" w:cs="Times New Roman"/>
                      <w:i w:val="0"/>
                      <w:iCs w:val="0"/>
                      <w:color w:val="000000"/>
                      <w:kern w:val="0"/>
                      <w:sz w:val="21"/>
                      <w:szCs w:val="21"/>
                      <w:u w:val="none" w:color="auto"/>
                      <w:lang w:val="en-US" w:eastAsia="zh-CN" w:bidi="ar"/>
                    </w:rPr>
                  </w:pPr>
                  <w:r>
                    <w:rPr>
                      <w:rFonts w:hint="eastAsia" w:ascii="Times New Roman" w:hAnsi="Times New Roman" w:eastAsia="宋体" w:cs="Times New Roman"/>
                      <w:i w:val="0"/>
                      <w:iCs w:val="0"/>
                      <w:color w:val="000000"/>
                      <w:kern w:val="0"/>
                      <w:sz w:val="21"/>
                      <w:szCs w:val="21"/>
                      <w:u w:val="none" w:color="auto"/>
                      <w:lang w:val="en-US" w:eastAsia="zh-CN" w:bidi="ar"/>
                    </w:rPr>
                    <w:t>3</w:t>
                  </w:r>
                </w:p>
              </w:tc>
            </w:tr>
          </w:tbl>
          <w:p w14:paraId="79A4F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rPr>
            </w:pPr>
            <w:r>
              <w:rPr>
                <w:rFonts w:hint="default" w:ascii="Times New Roman" w:hAnsi="Times New Roman" w:eastAsia="宋体"/>
                <w:sz w:val="24"/>
                <w:szCs w:val="24"/>
                <w:u w:val="none" w:color="auto"/>
                <w:lang w:val="en-US" w:eastAsia="zh-CN"/>
              </w:rPr>
              <w:t>根据上表检测结果可知，</w:t>
            </w:r>
            <w:r>
              <w:rPr>
                <w:rFonts w:hint="eastAsia"/>
                <w:sz w:val="24"/>
                <w:szCs w:val="24"/>
                <w:u w:val="none" w:color="auto"/>
                <w:lang w:val="en-US" w:eastAsia="zh-CN"/>
              </w:rPr>
              <w:t>监测点位</w:t>
            </w:r>
            <w:r>
              <w:rPr>
                <w:rFonts w:hint="default" w:ascii="Times New Roman" w:hAnsi="Times New Roman" w:eastAsia="宋体"/>
                <w:sz w:val="24"/>
                <w:szCs w:val="24"/>
                <w:u w:val="none" w:color="auto"/>
                <w:lang w:val="en-US" w:eastAsia="zh-CN"/>
              </w:rPr>
              <w:t>均满足《地表水环境质量标准》（GB3838-2002）</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sz w:val="24"/>
                <w:szCs w:val="24"/>
                <w:u w:val="none" w:color="auto"/>
                <w:lang w:val="en-US" w:eastAsia="zh-CN"/>
              </w:rPr>
              <w:t>类标准</w:t>
            </w:r>
            <w:r>
              <w:rPr>
                <w:rFonts w:hint="default" w:ascii="Times New Roman" w:hAnsi="Times New Roman" w:eastAsia="宋体"/>
                <w:sz w:val="24"/>
                <w:szCs w:val="24"/>
                <w:u w:val="none" w:color="auto"/>
              </w:rPr>
              <w:t>。本项目所在区域地表水环境质量较好。</w:t>
            </w:r>
          </w:p>
          <w:p w14:paraId="4797789A">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2.4</w:t>
            </w:r>
            <w:r>
              <w:rPr>
                <w:rFonts w:hint="eastAsia" w:ascii="Times New Roman" w:hAnsi="Times New Roman" w:eastAsia="宋体" w:cs="Times New Roman"/>
                <w:b/>
                <w:bCs/>
                <w:snapToGrid w:val="0"/>
                <w:sz w:val="24"/>
                <w:szCs w:val="24"/>
                <w:u w:val="none" w:color="auto"/>
                <w:vertAlign w:val="baseline"/>
                <w:lang w:val="en-US" w:eastAsia="zh-CN"/>
              </w:rPr>
              <w:t>河流饮用水状况</w:t>
            </w:r>
          </w:p>
          <w:p w14:paraId="0D4F2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根据现状调查，纳污水域周边居民饮水由</w:t>
            </w:r>
            <w:r>
              <w:rPr>
                <w:rFonts w:hint="eastAsia"/>
                <w:sz w:val="24"/>
                <w:szCs w:val="24"/>
                <w:u w:val="none" w:color="auto"/>
                <w:lang w:val="en-US" w:eastAsia="zh-CN"/>
              </w:rPr>
              <w:t>市政供水</w:t>
            </w:r>
            <w:r>
              <w:rPr>
                <w:rFonts w:hint="default" w:ascii="Times New Roman" w:hAnsi="Times New Roman" w:eastAsia="宋体"/>
                <w:sz w:val="24"/>
                <w:szCs w:val="24"/>
                <w:u w:val="none" w:color="auto"/>
                <w:lang w:val="en-US" w:eastAsia="zh-CN"/>
              </w:rPr>
              <w:t>。项目排污口上下游论证范围内未设置生产及生活用水取水口，论证范围水功能区无集中式取水口存在。</w:t>
            </w:r>
          </w:p>
          <w:p w14:paraId="00AFCB88">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2.5水域内排水状况</w:t>
            </w:r>
          </w:p>
          <w:p w14:paraId="44494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项目论证范围无企业排污口。</w:t>
            </w:r>
          </w:p>
          <w:p w14:paraId="136B7A3E">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2.6水环境影响预测与评价</w:t>
            </w:r>
          </w:p>
          <w:p w14:paraId="636026BA">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2.6.1</w:t>
            </w:r>
            <w:r>
              <w:rPr>
                <w:rFonts w:hint="eastAsia" w:ascii="Times New Roman" w:hAnsi="Times New Roman" w:cs="Times New Roman"/>
                <w:b/>
                <w:bCs/>
                <w:snapToGrid w:val="0"/>
                <w:sz w:val="24"/>
                <w:szCs w:val="24"/>
                <w:u w:val="none" w:color="auto"/>
                <w:vertAlign w:val="baseline"/>
                <w:lang w:val="en-US" w:eastAsia="zh-CN"/>
              </w:rPr>
              <w:t>洣水</w:t>
            </w:r>
            <w:r>
              <w:rPr>
                <w:rFonts w:hint="eastAsia" w:ascii="Times New Roman" w:hAnsi="Times New Roman" w:eastAsia="宋体" w:cs="Times New Roman"/>
                <w:b/>
                <w:bCs/>
                <w:snapToGrid w:val="0"/>
                <w:sz w:val="24"/>
                <w:szCs w:val="24"/>
                <w:u w:val="none" w:color="auto"/>
                <w:vertAlign w:val="baseline"/>
                <w:lang w:val="en-US" w:eastAsia="zh-CN"/>
              </w:rPr>
              <w:t>影响分子</w:t>
            </w:r>
          </w:p>
          <w:p w14:paraId="139811EE">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（1）废水排放情况 </w:t>
            </w:r>
          </w:p>
          <w:p w14:paraId="0805202F">
            <w:pPr>
              <w:keepNext w:val="0"/>
              <w:keepLines w:val="0"/>
              <w:widowControl/>
              <w:suppressLineNumbers w:val="0"/>
              <w:spacing w:line="360" w:lineRule="auto"/>
              <w:ind w:firstLine="480" w:firstLineChars="200"/>
              <w:jc w:val="left"/>
              <w:rPr>
                <w:rFonts w:hint="default"/>
                <w:u w:val="none" w:color="auto"/>
                <w:lang w:val="en-US" w:eastAsia="zh-CN"/>
              </w:rPr>
            </w:pPr>
            <w:r>
              <w:rPr>
                <w:rFonts w:hint="eastAsia" w:ascii="Times New Roman" w:hAnsi="Times New Roman" w:eastAsia="宋体" w:cs="Times New Roman"/>
                <w:color w:val="000000"/>
                <w:kern w:val="0"/>
                <w:sz w:val="24"/>
                <w:szCs w:val="24"/>
                <w:highlight w:val="none"/>
                <w:u w:val="none" w:color="auto"/>
                <w:lang w:val="en-US" w:eastAsia="zh-CN" w:bidi="ar"/>
              </w:rPr>
              <w:t>本次论证按照污水设施设计规模进行论证，</w:t>
            </w:r>
            <w:r>
              <w:rPr>
                <w:rFonts w:hint="default" w:ascii="Times New Roman" w:hAnsi="Times New Roman" w:eastAsia="宋体" w:cs="Times New Roman"/>
                <w:color w:val="000000"/>
                <w:kern w:val="0"/>
                <w:sz w:val="24"/>
                <w:szCs w:val="24"/>
                <w:highlight w:val="none"/>
                <w:u w:val="none" w:color="auto"/>
                <w:lang w:val="en-US" w:eastAsia="zh-CN" w:bidi="ar"/>
              </w:rPr>
              <w:t>项目</w:t>
            </w:r>
            <w:r>
              <w:rPr>
                <w:rFonts w:hint="eastAsia" w:ascii="Times New Roman" w:hAnsi="Times New Roman" w:eastAsia="宋体" w:cs="Times New Roman"/>
                <w:color w:val="000000"/>
                <w:kern w:val="0"/>
                <w:sz w:val="24"/>
                <w:szCs w:val="24"/>
                <w:highlight w:val="none"/>
                <w:u w:val="none" w:color="auto"/>
                <w:lang w:val="en-US" w:eastAsia="zh-CN" w:bidi="ar"/>
              </w:rPr>
              <w:t>污水处理设施处理规模为</w:t>
            </w:r>
            <w:r>
              <w:rPr>
                <w:rFonts w:hint="eastAsia" w:cs="Times New Roman"/>
                <w:color w:val="000000"/>
                <w:kern w:val="0"/>
                <w:sz w:val="24"/>
                <w:szCs w:val="24"/>
                <w:highlight w:val="none"/>
                <w:u w:val="none" w:color="auto"/>
                <w:lang w:val="en-US" w:eastAsia="zh-CN" w:bidi="ar"/>
              </w:rPr>
              <w:t>30t</w:t>
            </w:r>
            <w:r>
              <w:rPr>
                <w:rFonts w:hint="eastAsia" w:ascii="Times New Roman" w:hAnsi="Times New Roman" w:eastAsia="宋体" w:cs="Times New Roman"/>
                <w:color w:val="000000"/>
                <w:kern w:val="0"/>
                <w:sz w:val="24"/>
                <w:szCs w:val="24"/>
                <w:highlight w:val="none"/>
                <w:u w:val="none" w:color="auto"/>
                <w:lang w:val="en-US" w:eastAsia="zh-CN" w:bidi="ar"/>
              </w:rPr>
              <w:t>/d（0.000</w:t>
            </w:r>
            <w:r>
              <w:rPr>
                <w:rFonts w:hint="eastAsia" w:cs="Times New Roman"/>
                <w:color w:val="000000"/>
                <w:kern w:val="0"/>
                <w:sz w:val="24"/>
                <w:szCs w:val="24"/>
                <w:highlight w:val="none"/>
                <w:u w:val="none" w:color="auto"/>
                <w:lang w:val="en-US" w:eastAsia="zh-CN" w:bidi="ar"/>
              </w:rPr>
              <w:t>348</w:t>
            </w:r>
            <w:r>
              <w:rPr>
                <w:rFonts w:hint="default" w:ascii="Times New Roman" w:hAnsi="Times New Roman" w:cs="Times New Roman"/>
                <w:highlight w:val="none"/>
                <w:u w:val="none" w:color="auto"/>
                <w:lang w:val="en-US" w:eastAsia="zh-CN"/>
              </w:rPr>
              <w:t>t/s</w:t>
            </w:r>
            <w:r>
              <w:rPr>
                <w:rFonts w:hint="eastAsia" w:ascii="Times New Roman" w:hAnsi="Times New Roman" w:eastAsia="宋体" w:cs="Times New Roman"/>
                <w:color w:val="000000"/>
                <w:kern w:val="0"/>
                <w:sz w:val="24"/>
                <w:szCs w:val="24"/>
                <w:highlight w:val="none"/>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项目事故排放时，按污水处理设施效率为0进行计算，所以事故排放与进水浓度一致。</w:t>
            </w:r>
          </w:p>
          <w:p w14:paraId="743D8944">
            <w:pPr>
              <w:adjustRightInd w:val="0"/>
              <w:snapToGrid w:val="0"/>
              <w:spacing w:line="240" w:lineRule="auto"/>
              <w:jc w:val="center"/>
              <w:rPr>
                <w:rFonts w:hint="default" w:ascii="Times New Roman" w:hAnsi="Times New Roman"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5-4</w:t>
            </w:r>
            <w:r>
              <w:rPr>
                <w:rFonts w:hint="default" w:ascii="Times New Roman" w:hAnsi="Times New Roman" w:cs="Times New Roman"/>
                <w:b/>
                <w:bCs/>
                <w:sz w:val="21"/>
                <w:szCs w:val="21"/>
                <w:u w:val="none" w:color="auto"/>
              </w:rPr>
              <w:t xml:space="preserve"> </w:t>
            </w:r>
            <w:r>
              <w:rPr>
                <w:rFonts w:hint="default" w:ascii="Times New Roman" w:hAnsi="Times New Roman" w:cs="Times New Roman"/>
                <w:b/>
                <w:bCs/>
                <w:sz w:val="21"/>
                <w:szCs w:val="21"/>
                <w:u w:val="none" w:color="auto"/>
                <w:lang w:val="en-US" w:eastAsia="zh-CN"/>
              </w:rPr>
              <w:t>废水排放情况      单位：mg/L</w:t>
            </w:r>
          </w:p>
          <w:tbl>
            <w:tblPr>
              <w:tblStyle w:val="17"/>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57" w:type="dxa"/>
                <w:bottom w:w="28" w:type="dxa"/>
                <w:right w:w="57" w:type="dxa"/>
              </w:tblCellMar>
            </w:tblPr>
            <w:tblGrid>
              <w:gridCol w:w="1272"/>
              <w:gridCol w:w="1493"/>
              <w:gridCol w:w="2824"/>
              <w:gridCol w:w="2687"/>
            </w:tblGrid>
            <w:tr w14:paraId="54211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restart"/>
                  <w:tcBorders>
                    <w:tl2br w:val="nil"/>
                    <w:tr2bl w:val="nil"/>
                  </w:tcBorders>
                  <w:noWrap w:val="0"/>
                  <w:vAlign w:val="center"/>
                </w:tcPr>
                <w:p w14:paraId="5442E2C2">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废水排放量</w:t>
                  </w:r>
                </w:p>
              </w:tc>
              <w:tc>
                <w:tcPr>
                  <w:tcW w:w="1587" w:type="dxa"/>
                  <w:vMerge w:val="restart"/>
                  <w:tcBorders>
                    <w:tl2br w:val="nil"/>
                    <w:tr2bl w:val="nil"/>
                  </w:tcBorders>
                  <w:noWrap w:val="0"/>
                  <w:vAlign w:val="center"/>
                </w:tcPr>
                <w:p w14:paraId="5B4AF5D3">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污染物名称</w:t>
                  </w:r>
                </w:p>
              </w:tc>
              <w:tc>
                <w:tcPr>
                  <w:tcW w:w="5978" w:type="dxa"/>
                  <w:gridSpan w:val="2"/>
                  <w:tcBorders>
                    <w:tl2br w:val="nil"/>
                    <w:tr2bl w:val="nil"/>
                  </w:tcBorders>
                  <w:noWrap w:val="0"/>
                  <w:vAlign w:val="center"/>
                </w:tcPr>
                <w:p w14:paraId="29E3BD87">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b/>
                      <w:bCs/>
                      <w:color w:val="000000"/>
                      <w:u w:val="none" w:color="auto"/>
                      <w:lang w:val="en-US" w:eastAsia="zh-CN"/>
                    </w:rPr>
                    <w:t>废水排放浓度</w:t>
                  </w:r>
                </w:p>
              </w:tc>
            </w:tr>
            <w:tr w14:paraId="46550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continue"/>
                  <w:tcBorders>
                    <w:tl2br w:val="nil"/>
                    <w:tr2bl w:val="nil"/>
                  </w:tcBorders>
                  <w:noWrap w:val="0"/>
                  <w:vAlign w:val="center"/>
                </w:tcPr>
                <w:p w14:paraId="05365C71">
                  <w:pPr>
                    <w:pStyle w:val="24"/>
                    <w:bidi w:val="0"/>
                    <w:jc w:val="center"/>
                    <w:rPr>
                      <w:rFonts w:hint="default" w:ascii="Times New Roman" w:hAnsi="Times New Roman" w:cs="Times New Roman"/>
                      <w:b/>
                      <w:bCs/>
                      <w:color w:val="000000"/>
                      <w:u w:val="none" w:color="auto"/>
                      <w:lang w:val="en-US" w:eastAsia="zh-CN"/>
                    </w:rPr>
                  </w:pPr>
                </w:p>
              </w:tc>
              <w:tc>
                <w:tcPr>
                  <w:tcW w:w="1587" w:type="dxa"/>
                  <w:vMerge w:val="continue"/>
                  <w:tcBorders>
                    <w:tl2br w:val="nil"/>
                    <w:tr2bl w:val="nil"/>
                  </w:tcBorders>
                  <w:noWrap w:val="0"/>
                  <w:vAlign w:val="center"/>
                </w:tcPr>
                <w:p w14:paraId="7FD3A1E2">
                  <w:pPr>
                    <w:pStyle w:val="24"/>
                    <w:bidi w:val="0"/>
                    <w:jc w:val="center"/>
                    <w:rPr>
                      <w:rFonts w:hint="default" w:ascii="Times New Roman" w:hAnsi="Times New Roman" w:cs="Times New Roman"/>
                      <w:b/>
                      <w:bCs/>
                      <w:color w:val="000000"/>
                      <w:u w:val="none" w:color="auto"/>
                      <w:lang w:val="en-US" w:eastAsia="zh-CN"/>
                    </w:rPr>
                  </w:pPr>
                </w:p>
              </w:tc>
              <w:tc>
                <w:tcPr>
                  <w:tcW w:w="3075" w:type="dxa"/>
                  <w:tcBorders>
                    <w:tl2br w:val="nil"/>
                    <w:tr2bl w:val="nil"/>
                  </w:tcBorders>
                  <w:noWrap w:val="0"/>
                  <w:vAlign w:val="center"/>
                </w:tcPr>
                <w:p w14:paraId="7E006013">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正常工况</w:t>
                  </w:r>
                </w:p>
              </w:tc>
              <w:tc>
                <w:tcPr>
                  <w:tcW w:w="2903" w:type="dxa"/>
                  <w:tcBorders>
                    <w:tl2br w:val="nil"/>
                    <w:tr2bl w:val="nil"/>
                  </w:tcBorders>
                  <w:noWrap w:val="0"/>
                  <w:vAlign w:val="center"/>
                </w:tcPr>
                <w:p w14:paraId="3B834960">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事故工况</w:t>
                  </w:r>
                  <w:r>
                    <w:rPr>
                      <w:rFonts w:hint="eastAsia" w:ascii="Times New Roman" w:hAnsi="Times New Roman" w:cs="Times New Roman"/>
                      <w:b/>
                      <w:bCs/>
                      <w:color w:val="000000"/>
                      <w:u w:val="none" w:color="auto"/>
                      <w:lang w:val="en-US" w:eastAsia="zh-CN"/>
                    </w:rPr>
                    <w:t>（</w:t>
                  </w:r>
                  <w:r>
                    <w:rPr>
                      <w:rFonts w:hint="default" w:ascii="Times New Roman" w:hAnsi="Times New Roman" w:cs="Times New Roman"/>
                      <w:b/>
                      <w:bCs/>
                      <w:color w:val="000000"/>
                      <w:u w:val="none" w:color="auto"/>
                      <w:lang w:val="en-US" w:eastAsia="zh-CN"/>
                    </w:rPr>
                    <w:t>处理效率为0</w:t>
                  </w:r>
                  <w:r>
                    <w:rPr>
                      <w:rFonts w:hint="eastAsia" w:ascii="Times New Roman" w:hAnsi="Times New Roman" w:cs="Times New Roman"/>
                      <w:b/>
                      <w:bCs/>
                      <w:color w:val="000000"/>
                      <w:u w:val="none" w:color="auto"/>
                      <w:lang w:val="en-US" w:eastAsia="zh-CN"/>
                    </w:rPr>
                    <w:t>）</w:t>
                  </w:r>
                </w:p>
              </w:tc>
            </w:tr>
            <w:tr w14:paraId="43168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restart"/>
                  <w:tcBorders>
                    <w:tl2br w:val="nil"/>
                    <w:tr2bl w:val="nil"/>
                  </w:tcBorders>
                  <w:noWrap w:val="0"/>
                  <w:vAlign w:val="center"/>
                </w:tcPr>
                <w:p w14:paraId="6412E64F">
                  <w:pPr>
                    <w:pStyle w:val="24"/>
                    <w:bidi w:val="0"/>
                    <w:rPr>
                      <w:rFonts w:hint="default" w:ascii="Times New Roman" w:hAnsi="Times New Roman" w:cs="Times New Roman"/>
                      <w:b/>
                      <w:bCs/>
                      <w:color w:val="000000"/>
                      <w:u w:val="none" w:color="auto"/>
                      <w:lang w:val="en-US" w:eastAsia="zh-CN"/>
                    </w:rPr>
                  </w:pPr>
                  <w:r>
                    <w:rPr>
                      <w:rFonts w:hint="eastAsia" w:ascii="Times New Roman" w:hAnsi="Times New Roman" w:eastAsia="宋体" w:cs="Times New Roman"/>
                      <w:color w:val="000000"/>
                      <w:kern w:val="0"/>
                      <w:sz w:val="24"/>
                      <w:szCs w:val="24"/>
                      <w:u w:val="none" w:color="auto"/>
                      <w:lang w:val="en-US" w:eastAsia="zh-CN" w:bidi="ar"/>
                    </w:rPr>
                    <w:t>0.000</w:t>
                  </w:r>
                  <w:r>
                    <w:rPr>
                      <w:rFonts w:hint="eastAsia" w:cs="Times New Roman"/>
                      <w:color w:val="000000"/>
                      <w:kern w:val="0"/>
                      <w:sz w:val="24"/>
                      <w:szCs w:val="24"/>
                      <w:u w:val="none" w:color="auto"/>
                      <w:lang w:val="en-US" w:eastAsia="zh-CN" w:bidi="ar"/>
                    </w:rPr>
                    <w:t>348</w:t>
                  </w:r>
                  <w:r>
                    <w:rPr>
                      <w:rFonts w:hint="default" w:ascii="Times New Roman" w:hAnsi="Times New Roman" w:cs="Times New Roman"/>
                      <w:u w:val="none" w:color="auto"/>
                      <w:lang w:val="en-US" w:eastAsia="zh-CN"/>
                    </w:rPr>
                    <w:t>t/s</w:t>
                  </w:r>
                </w:p>
              </w:tc>
              <w:tc>
                <w:tcPr>
                  <w:tcW w:w="1587" w:type="dxa"/>
                  <w:tcBorders>
                    <w:tl2br w:val="nil"/>
                    <w:tr2bl w:val="nil"/>
                  </w:tcBorders>
                  <w:noWrap w:val="0"/>
                  <w:vAlign w:val="center"/>
                </w:tcPr>
                <w:p w14:paraId="492F4AB2">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val="0"/>
                      <w:bCs w:val="0"/>
                      <w:color w:val="000000"/>
                      <w:u w:val="none" w:color="auto"/>
                      <w:lang w:val="en-US" w:eastAsia="zh-CN"/>
                    </w:rPr>
                    <w:t>COD</w:t>
                  </w:r>
                </w:p>
              </w:tc>
              <w:tc>
                <w:tcPr>
                  <w:tcW w:w="3075" w:type="dxa"/>
                  <w:tcBorders>
                    <w:tl2br w:val="nil"/>
                    <w:tr2bl w:val="nil"/>
                  </w:tcBorders>
                  <w:noWrap w:val="0"/>
                  <w:vAlign w:val="center"/>
                </w:tcPr>
                <w:p w14:paraId="1CE6781E">
                  <w:pPr>
                    <w:pStyle w:val="24"/>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60</w:t>
                  </w:r>
                </w:p>
              </w:tc>
              <w:tc>
                <w:tcPr>
                  <w:tcW w:w="2903" w:type="dxa"/>
                  <w:tcBorders>
                    <w:tl2br w:val="nil"/>
                    <w:tr2bl w:val="nil"/>
                  </w:tcBorders>
                  <w:noWrap w:val="0"/>
                  <w:vAlign w:val="center"/>
                </w:tcPr>
                <w:p w14:paraId="50F2EAA6">
                  <w:pPr>
                    <w:pStyle w:val="24"/>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300</w:t>
                  </w:r>
                </w:p>
              </w:tc>
            </w:tr>
            <w:tr w14:paraId="4183A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continue"/>
                  <w:tcBorders>
                    <w:tl2br w:val="nil"/>
                    <w:tr2bl w:val="nil"/>
                  </w:tcBorders>
                  <w:noWrap w:val="0"/>
                  <w:vAlign w:val="center"/>
                </w:tcPr>
                <w:p w14:paraId="3A0AD0F9">
                  <w:pPr>
                    <w:pStyle w:val="24"/>
                    <w:bidi w:val="0"/>
                    <w:jc w:val="center"/>
                    <w:rPr>
                      <w:rFonts w:hint="default" w:ascii="Times New Roman" w:hAnsi="Times New Roman" w:cs="Times New Roman"/>
                      <w:color w:val="000000"/>
                      <w:u w:val="none" w:color="auto"/>
                      <w:lang w:val="en-US" w:eastAsia="zh-CN"/>
                    </w:rPr>
                  </w:pPr>
                </w:p>
              </w:tc>
              <w:tc>
                <w:tcPr>
                  <w:tcW w:w="1587" w:type="dxa"/>
                  <w:tcBorders>
                    <w:tl2br w:val="nil"/>
                    <w:tr2bl w:val="nil"/>
                  </w:tcBorders>
                  <w:noWrap w:val="0"/>
                  <w:vAlign w:val="center"/>
                </w:tcPr>
                <w:p w14:paraId="123D1533">
                  <w:pPr>
                    <w:pStyle w:val="24"/>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氨氮</w:t>
                  </w:r>
                </w:p>
              </w:tc>
              <w:tc>
                <w:tcPr>
                  <w:tcW w:w="3075" w:type="dxa"/>
                  <w:tcBorders>
                    <w:tl2br w:val="nil"/>
                    <w:tr2bl w:val="nil"/>
                  </w:tcBorders>
                  <w:noWrap w:val="0"/>
                  <w:vAlign w:val="center"/>
                </w:tcPr>
                <w:p w14:paraId="682B7EAB">
                  <w:pPr>
                    <w:pStyle w:val="24"/>
                    <w:bidi w:val="0"/>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15</w:t>
                  </w:r>
                </w:p>
              </w:tc>
              <w:tc>
                <w:tcPr>
                  <w:tcW w:w="2903" w:type="dxa"/>
                  <w:tcBorders>
                    <w:tl2br w:val="nil"/>
                    <w:tr2bl w:val="nil"/>
                  </w:tcBorders>
                  <w:noWrap w:val="0"/>
                  <w:vAlign w:val="center"/>
                </w:tcPr>
                <w:p w14:paraId="569AE5B3">
                  <w:pPr>
                    <w:pStyle w:val="24"/>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50</w:t>
                  </w:r>
                </w:p>
              </w:tc>
            </w:tr>
          </w:tbl>
          <w:p w14:paraId="204BBB07">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（2）现状本底浓度值 </w:t>
            </w:r>
          </w:p>
          <w:p w14:paraId="4DFFA59D">
            <w:pPr>
              <w:keepNext w:val="0"/>
              <w:keepLines w:val="0"/>
              <w:widowControl/>
              <w:suppressLineNumbers w:val="0"/>
              <w:spacing w:line="360" w:lineRule="auto"/>
              <w:ind w:firstLine="480" w:firstLineChars="200"/>
              <w:jc w:val="left"/>
              <w:rPr>
                <w:rFonts w:hint="default" w:ascii="Times New Roman" w:hAnsi="Times New Roman" w:eastAsia="宋体" w:cs="Times New Roman"/>
                <w:color w:val="FF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w:t>
            </w:r>
            <w:r>
              <w:rPr>
                <w:rFonts w:hint="default" w:ascii="Times New Roman" w:hAnsi="Times New Roman" w:eastAsia="宋体" w:cs="Times New Roman"/>
                <w:color w:val="auto"/>
                <w:kern w:val="0"/>
                <w:sz w:val="24"/>
                <w:szCs w:val="24"/>
                <w:u w:val="none" w:color="auto"/>
                <w:lang w:val="en-US" w:eastAsia="zh-CN" w:bidi="ar"/>
              </w:rPr>
              <w:t>次论证过程，采用</w:t>
            </w:r>
            <w:r>
              <w:rPr>
                <w:rFonts w:hint="eastAsia" w:cs="Times New Roman"/>
                <w:color w:val="auto"/>
                <w:kern w:val="0"/>
                <w:sz w:val="24"/>
                <w:szCs w:val="24"/>
                <w:u w:val="none" w:color="auto"/>
                <w:lang w:val="en-US" w:eastAsia="zh-CN" w:bidi="ar"/>
              </w:rPr>
              <w:t>茶陵县自来水厂2024年1月监测值</w:t>
            </w:r>
            <w:r>
              <w:rPr>
                <w:rFonts w:hint="default" w:ascii="Times New Roman" w:hAnsi="Times New Roman" w:eastAsia="宋体" w:cs="Times New Roman"/>
                <w:color w:val="auto"/>
                <w:kern w:val="0"/>
                <w:sz w:val="24"/>
                <w:szCs w:val="24"/>
                <w:u w:val="none" w:color="auto"/>
                <w:lang w:val="en-US" w:eastAsia="zh-CN" w:bidi="ar"/>
              </w:rPr>
              <w:t>中COD、氨氮数据作为预测本底值数据</w:t>
            </w:r>
            <w:r>
              <w:rPr>
                <w:rFonts w:hint="eastAsia" w:cs="Times New Roman"/>
                <w:color w:val="auto"/>
                <w:kern w:val="0"/>
                <w:sz w:val="24"/>
                <w:szCs w:val="24"/>
                <w:u w:val="none" w:color="auto"/>
                <w:lang w:val="en-US" w:eastAsia="zh-CN" w:bidi="ar"/>
              </w:rPr>
              <w:t>，茶陵县自来水厂1月监测COD、氨氮分别为6mg/L、0.04mg/L</w:t>
            </w:r>
            <w:r>
              <w:rPr>
                <w:rFonts w:hint="default" w:ascii="Times New Roman" w:hAnsi="Times New Roman" w:eastAsia="宋体" w:cs="Times New Roman"/>
                <w:color w:val="auto"/>
                <w:kern w:val="0"/>
                <w:sz w:val="24"/>
                <w:szCs w:val="24"/>
                <w:u w:val="none" w:color="auto"/>
                <w:lang w:val="en-US" w:eastAsia="zh-CN" w:bidi="ar"/>
              </w:rPr>
              <w:t>。</w:t>
            </w:r>
          </w:p>
          <w:p w14:paraId="76BA084F">
            <w:pPr>
              <w:adjustRightInd w:val="0"/>
              <w:snapToGrid w:val="0"/>
              <w:spacing w:line="240" w:lineRule="auto"/>
              <w:jc w:val="center"/>
              <w:rPr>
                <w:rFonts w:hint="default" w:ascii="Times New Roman" w:hAnsi="Times New Roman"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5-5</w:t>
            </w:r>
            <w:r>
              <w:rPr>
                <w:rFonts w:hint="default" w:ascii="Times New Roman" w:hAnsi="Times New Roman" w:cs="Times New Roman"/>
                <w:b/>
                <w:bCs/>
                <w:sz w:val="21"/>
                <w:szCs w:val="21"/>
                <w:u w:val="none" w:color="auto"/>
              </w:rPr>
              <w:t xml:space="preserve"> </w:t>
            </w:r>
            <w:r>
              <w:rPr>
                <w:rFonts w:hint="eastAsia" w:ascii="Times New Roman" w:hAnsi="Times New Roman" w:cs="Times New Roman"/>
                <w:b/>
                <w:bCs/>
                <w:sz w:val="21"/>
                <w:szCs w:val="21"/>
                <w:u w:val="none" w:color="auto"/>
                <w:lang w:val="en-US" w:eastAsia="zh-CN"/>
              </w:rPr>
              <w:t>河流</w:t>
            </w:r>
            <w:r>
              <w:rPr>
                <w:rFonts w:hint="default" w:ascii="Times New Roman" w:hAnsi="Times New Roman" w:cs="Times New Roman"/>
                <w:b/>
                <w:bCs/>
                <w:sz w:val="21"/>
                <w:szCs w:val="21"/>
                <w:u w:val="none" w:color="auto"/>
                <w:lang w:val="en-US" w:eastAsia="zh-CN"/>
              </w:rPr>
              <w:t>本底浓度值     单位：mg/L</w:t>
            </w:r>
          </w:p>
          <w:tbl>
            <w:tblPr>
              <w:tblStyle w:val="17"/>
              <w:tblW w:w="47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57" w:type="dxa"/>
                <w:bottom w:w="28" w:type="dxa"/>
                <w:right w:w="57" w:type="dxa"/>
              </w:tblCellMar>
            </w:tblPr>
            <w:tblGrid>
              <w:gridCol w:w="1831"/>
              <w:gridCol w:w="1462"/>
              <w:gridCol w:w="1462"/>
              <w:gridCol w:w="3172"/>
            </w:tblGrid>
            <w:tr w14:paraId="194A4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14:paraId="2D850CE4">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污染物名称</w:t>
                  </w:r>
                </w:p>
              </w:tc>
              <w:tc>
                <w:tcPr>
                  <w:tcW w:w="1462" w:type="dxa"/>
                  <w:tcBorders>
                    <w:tl2br w:val="nil"/>
                    <w:tr2bl w:val="nil"/>
                  </w:tcBorders>
                  <w:noWrap w:val="0"/>
                  <w:vAlign w:val="center"/>
                </w:tcPr>
                <w:p w14:paraId="2E011B90">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现状监测最大值</w:t>
                  </w:r>
                </w:p>
              </w:tc>
              <w:tc>
                <w:tcPr>
                  <w:tcW w:w="1462" w:type="dxa"/>
                  <w:tcBorders>
                    <w:tl2br w:val="nil"/>
                    <w:tr2bl w:val="nil"/>
                  </w:tcBorders>
                  <w:noWrap w:val="0"/>
                  <w:vAlign w:val="center"/>
                </w:tcPr>
                <w:p w14:paraId="355092C0">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标准限值</w:t>
                  </w:r>
                </w:p>
              </w:tc>
              <w:tc>
                <w:tcPr>
                  <w:tcW w:w="3172" w:type="dxa"/>
                  <w:tcBorders>
                    <w:tl2br w:val="nil"/>
                    <w:tr2bl w:val="nil"/>
                  </w:tcBorders>
                  <w:noWrap w:val="0"/>
                  <w:vAlign w:val="center"/>
                </w:tcPr>
                <w:p w14:paraId="1B9D538B">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备注</w:t>
                  </w:r>
                </w:p>
              </w:tc>
            </w:tr>
            <w:tr w14:paraId="3AD91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14:paraId="13CF81C4">
                  <w:pPr>
                    <w:pStyle w:val="24"/>
                    <w:bidi w:val="0"/>
                    <w:ind w:firstLine="0" w:firstLineChars="0"/>
                    <w:jc w:val="center"/>
                    <w:rPr>
                      <w:rFonts w:hint="default" w:ascii="Times New Roman" w:hAnsi="Times New Roman" w:cs="Times New Roman"/>
                      <w:color w:val="000000"/>
                      <w:u w:val="none" w:color="auto"/>
                      <w:lang w:val="en-US" w:eastAsia="zh-CN"/>
                    </w:rPr>
                  </w:pPr>
                  <w:r>
                    <w:rPr>
                      <w:rFonts w:hint="default" w:ascii="Times New Roman" w:hAnsi="Times New Roman" w:cs="Times New Roman"/>
                      <w:b w:val="0"/>
                      <w:bCs w:val="0"/>
                      <w:color w:val="000000"/>
                      <w:u w:val="none" w:color="auto"/>
                      <w:lang w:val="en-US" w:eastAsia="zh-CN"/>
                    </w:rPr>
                    <w:t>COD</w:t>
                  </w:r>
                </w:p>
              </w:tc>
              <w:tc>
                <w:tcPr>
                  <w:tcW w:w="1462" w:type="dxa"/>
                  <w:tcBorders>
                    <w:tl2br w:val="nil"/>
                    <w:tr2bl w:val="nil"/>
                  </w:tcBorders>
                  <w:noWrap w:val="0"/>
                  <w:vAlign w:val="center"/>
                </w:tcPr>
                <w:p w14:paraId="1C9E7618">
                  <w:pPr>
                    <w:pStyle w:val="24"/>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6</w:t>
                  </w:r>
                </w:p>
              </w:tc>
              <w:tc>
                <w:tcPr>
                  <w:tcW w:w="1462" w:type="dxa"/>
                  <w:tcBorders>
                    <w:tl2br w:val="nil"/>
                    <w:tr2bl w:val="nil"/>
                  </w:tcBorders>
                  <w:noWrap w:val="0"/>
                  <w:vAlign w:val="center"/>
                </w:tcPr>
                <w:p w14:paraId="36D79C38">
                  <w:pPr>
                    <w:pStyle w:val="24"/>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20</w:t>
                  </w:r>
                </w:p>
              </w:tc>
              <w:tc>
                <w:tcPr>
                  <w:tcW w:w="3172" w:type="dxa"/>
                  <w:vMerge w:val="restart"/>
                  <w:tcBorders>
                    <w:tl2br w:val="nil"/>
                    <w:tr2bl w:val="nil"/>
                  </w:tcBorders>
                  <w:noWrap w:val="0"/>
                  <w:vAlign w:val="center"/>
                </w:tcPr>
                <w:p w14:paraId="5703C114">
                  <w:pPr>
                    <w:pStyle w:val="24"/>
                    <w:bidi w:val="0"/>
                    <w:jc w:val="center"/>
                    <w:rPr>
                      <w:rFonts w:hint="default" w:ascii="Times New Roman" w:hAnsi="Times New Roman" w:cs="Times New Roman"/>
                      <w:b w:val="0"/>
                      <w:bCs w:val="0"/>
                      <w:color w:val="000000"/>
                      <w:u w:val="none" w:color="auto"/>
                      <w:lang w:val="en-US" w:eastAsia="zh-CN"/>
                    </w:rPr>
                  </w:pPr>
                  <w:r>
                    <w:rPr>
                      <w:rFonts w:hint="default" w:ascii="Times New Roman" w:hAnsi="Times New Roman" w:cs="Times New Roman"/>
                      <w:u w:val="none" w:color="auto"/>
                      <w:lang w:val="en-US" w:eastAsia="zh-CN"/>
                    </w:rPr>
                    <w:t>参考标准为（GB3838-2002）中的</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cs="Times New Roman"/>
                      <w:u w:val="none" w:color="auto"/>
                      <w:lang w:val="en-US" w:eastAsia="zh-CN"/>
                    </w:rPr>
                    <w:t>类标准限值</w:t>
                  </w:r>
                </w:p>
              </w:tc>
            </w:tr>
            <w:tr w14:paraId="728A9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14:paraId="5867B485">
                  <w:pPr>
                    <w:pStyle w:val="24"/>
                    <w:bidi w:val="0"/>
                    <w:ind w:firstLine="0" w:firstLineChars="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氨氮</w:t>
                  </w:r>
                </w:p>
              </w:tc>
              <w:tc>
                <w:tcPr>
                  <w:tcW w:w="1462" w:type="dxa"/>
                  <w:tcBorders>
                    <w:tl2br w:val="nil"/>
                    <w:tr2bl w:val="nil"/>
                  </w:tcBorders>
                  <w:noWrap w:val="0"/>
                  <w:vAlign w:val="center"/>
                </w:tcPr>
                <w:p w14:paraId="655BAE4D">
                  <w:pPr>
                    <w:pStyle w:val="24"/>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0.04</w:t>
                  </w:r>
                </w:p>
              </w:tc>
              <w:tc>
                <w:tcPr>
                  <w:tcW w:w="1462" w:type="dxa"/>
                  <w:tcBorders>
                    <w:tl2br w:val="nil"/>
                    <w:tr2bl w:val="nil"/>
                  </w:tcBorders>
                  <w:noWrap w:val="0"/>
                  <w:vAlign w:val="center"/>
                </w:tcPr>
                <w:p w14:paraId="1FA3359F">
                  <w:pPr>
                    <w:pStyle w:val="24"/>
                    <w:bidi w:val="0"/>
                    <w:jc w:val="center"/>
                    <w:rPr>
                      <w:rFonts w:hint="default" w:ascii="Times New Roman" w:hAnsi="Times New Roman" w:cs="Times New Roman"/>
                      <w:b w:val="0"/>
                      <w:bCs w:val="0"/>
                      <w:color w:val="000000"/>
                      <w:u w:val="none" w:color="auto"/>
                      <w:lang w:val="en-US" w:eastAsia="zh-CN"/>
                    </w:rPr>
                  </w:pPr>
                  <w:r>
                    <w:rPr>
                      <w:rFonts w:hint="eastAsia" w:cs="Times New Roman"/>
                      <w:b w:val="0"/>
                      <w:bCs w:val="0"/>
                      <w:color w:val="000000"/>
                      <w:u w:val="none" w:color="auto"/>
                      <w:lang w:val="en-US" w:eastAsia="zh-CN"/>
                    </w:rPr>
                    <w:t>1</w:t>
                  </w:r>
                </w:p>
              </w:tc>
              <w:tc>
                <w:tcPr>
                  <w:tcW w:w="3172" w:type="dxa"/>
                  <w:vMerge w:val="continue"/>
                  <w:tcBorders>
                    <w:tl2br w:val="nil"/>
                    <w:tr2bl w:val="nil"/>
                  </w:tcBorders>
                  <w:noWrap w:val="0"/>
                  <w:vAlign w:val="center"/>
                </w:tcPr>
                <w:p w14:paraId="0A3A62F6">
                  <w:pPr>
                    <w:pStyle w:val="24"/>
                    <w:bidi w:val="0"/>
                    <w:jc w:val="center"/>
                    <w:rPr>
                      <w:rFonts w:hint="default" w:ascii="Times New Roman" w:hAnsi="Times New Roman" w:cs="Times New Roman"/>
                      <w:b w:val="0"/>
                      <w:bCs w:val="0"/>
                      <w:color w:val="000000"/>
                      <w:u w:val="none" w:color="auto"/>
                      <w:lang w:val="en-US" w:eastAsia="zh-CN"/>
                    </w:rPr>
                  </w:pPr>
                </w:p>
              </w:tc>
            </w:tr>
          </w:tbl>
          <w:p w14:paraId="78F8E8AB">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（3）水文资料 </w:t>
            </w:r>
          </w:p>
          <w:p w14:paraId="28BBE009">
            <w:pPr>
              <w:keepNext w:val="0"/>
              <w:keepLines w:val="0"/>
              <w:pageBreakBefore w:val="0"/>
              <w:widowControl w:val="0"/>
              <w:suppressLineNumbers w:val="0"/>
              <w:kinsoku/>
              <w:wordWrap/>
              <w:overflowPunct/>
              <w:topLinePunct w:val="0"/>
              <w:bidi w:val="0"/>
              <w:spacing w:beforeAutospacing="0" w:afterAutospacing="0" w:line="360" w:lineRule="auto"/>
              <w:ind w:left="0" w:right="0" w:firstLine="480" w:firstLineChars="200"/>
              <w:jc w:val="both"/>
              <w:textAlignment w:val="auto"/>
              <w:rPr>
                <w:rFonts w:hint="eastAsia" w:ascii="Times New Roman" w:hAnsi="宋体" w:eastAsia="宋体" w:cs="宋体"/>
                <w:bCs/>
                <w:kern w:val="0"/>
                <w:sz w:val="24"/>
                <w:szCs w:val="24"/>
                <w:u w:val="none" w:color="auto"/>
                <w:lang w:val="en-US" w:eastAsia="zh-CN" w:bidi="ar"/>
              </w:rPr>
            </w:pPr>
            <w:r>
              <w:rPr>
                <w:rFonts w:hint="eastAsia" w:ascii="Times New Roman" w:hAnsi="宋体" w:eastAsia="宋体" w:cs="宋体"/>
                <w:bCs/>
                <w:kern w:val="0"/>
                <w:sz w:val="24"/>
                <w:szCs w:val="24"/>
                <w:u w:val="none" w:color="auto"/>
                <w:lang w:val="en-US" w:eastAsia="zh-CN" w:bidi="ar"/>
              </w:rPr>
              <w:t>水文参数表如下。</w:t>
            </w:r>
          </w:p>
          <w:p w14:paraId="37CF79E9">
            <w:pPr>
              <w:adjustRightInd w:val="0"/>
              <w:snapToGrid w:val="0"/>
              <w:spacing w:line="240" w:lineRule="auto"/>
              <w:jc w:val="center"/>
              <w:rPr>
                <w:rFonts w:hint="default" w:ascii="Times New Roman" w:hAnsi="Times New Roman" w:eastAsia="宋体" w:cs="Times New Roman"/>
                <w:b/>
                <w:bCs/>
                <w:sz w:val="21"/>
                <w:szCs w:val="21"/>
                <w:u w:val="none" w:color="auto"/>
                <w:lang w:val="en-US"/>
              </w:rPr>
            </w:pPr>
            <w:r>
              <w:rPr>
                <w:rFonts w:hint="eastAsia" w:ascii="Times New Roman" w:hAnsi="Times New Roman" w:eastAsia="宋体" w:cs="Times New Roman"/>
                <w:b/>
                <w:bCs/>
                <w:sz w:val="21"/>
                <w:szCs w:val="21"/>
                <w:u w:val="none" w:color="auto"/>
                <w:lang w:eastAsia="zh-CN"/>
              </w:rPr>
              <w:t>表</w:t>
            </w:r>
            <w:r>
              <w:rPr>
                <w:rFonts w:hint="eastAsia" w:ascii="Times New Roman" w:hAnsi="Times New Roman" w:eastAsia="宋体" w:cs="Times New Roman"/>
                <w:b/>
                <w:bCs/>
                <w:sz w:val="21"/>
                <w:szCs w:val="21"/>
                <w:u w:val="none" w:color="auto"/>
                <w:lang w:val="en-US" w:eastAsia="zh-CN"/>
              </w:rPr>
              <w:t>5-</w:t>
            </w:r>
            <w:r>
              <w:rPr>
                <w:rFonts w:hint="eastAsia" w:ascii="Times New Roman" w:hAnsi="Times New Roman" w:cs="Times New Roman"/>
                <w:b/>
                <w:bCs/>
                <w:sz w:val="21"/>
                <w:szCs w:val="21"/>
                <w:u w:val="none" w:color="auto"/>
                <w:lang w:val="en-US" w:eastAsia="zh-CN"/>
              </w:rPr>
              <w:t>6</w:t>
            </w:r>
            <w:r>
              <w:rPr>
                <w:rFonts w:hint="default" w:ascii="Times New Roman" w:hAnsi="Times New Roman" w:eastAsia="宋体" w:cs="Times New Roman"/>
                <w:b/>
                <w:bCs/>
                <w:sz w:val="21"/>
                <w:szCs w:val="21"/>
                <w:u w:val="none" w:color="auto"/>
                <w:lang w:val="en-US"/>
              </w:rPr>
              <w:t xml:space="preserve"> </w:t>
            </w:r>
            <w:r>
              <w:rPr>
                <w:rFonts w:hint="eastAsia" w:ascii="Times New Roman" w:hAnsi="Times New Roman" w:eastAsia="宋体" w:cs="Times New Roman"/>
                <w:b/>
                <w:bCs/>
                <w:sz w:val="21"/>
                <w:szCs w:val="21"/>
                <w:u w:val="none" w:color="auto"/>
                <w:lang w:eastAsia="zh-CN"/>
              </w:rPr>
              <w:t>洣水水文参数表</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081"/>
              <w:gridCol w:w="882"/>
              <w:gridCol w:w="1298"/>
              <w:gridCol w:w="1185"/>
              <w:gridCol w:w="1504"/>
              <w:gridCol w:w="1298"/>
              <w:gridCol w:w="1028"/>
            </w:tblGrid>
            <w:tr w14:paraId="050BF3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42" w:type="dxa"/>
                  <w:tcBorders>
                    <w:tl2br w:val="nil"/>
                    <w:tr2bl w:val="nil"/>
                  </w:tcBorders>
                  <w:noWrap w:val="0"/>
                  <w:vAlign w:val="center"/>
                </w:tcPr>
                <w:p w14:paraId="3EDE213B">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eastAsia="zh-CN"/>
                    </w:rPr>
                    <w:t>水体名称</w:t>
                  </w:r>
                </w:p>
              </w:tc>
              <w:tc>
                <w:tcPr>
                  <w:tcW w:w="993" w:type="dxa"/>
                  <w:tcBorders>
                    <w:tl2br w:val="nil"/>
                    <w:tr2bl w:val="nil"/>
                  </w:tcBorders>
                  <w:noWrap w:val="0"/>
                  <w:vAlign w:val="center"/>
                </w:tcPr>
                <w:p w14:paraId="7309DF35">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eastAsia="zh-CN"/>
                    </w:rPr>
                    <w:t>时期</w:t>
                  </w:r>
                </w:p>
              </w:tc>
              <w:tc>
                <w:tcPr>
                  <w:tcW w:w="1417" w:type="dxa"/>
                  <w:tcBorders>
                    <w:tl2br w:val="nil"/>
                    <w:tr2bl w:val="nil"/>
                  </w:tcBorders>
                  <w:noWrap w:val="0"/>
                  <w:vAlign w:val="center"/>
                </w:tcPr>
                <w:p w14:paraId="15062D27">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rPr>
                  </w:pPr>
                  <w:r>
                    <w:rPr>
                      <w:rFonts w:hint="default" w:ascii="Times New Roman" w:hAnsi="Times New Roman" w:eastAsia="宋体" w:cs="Times New Roman"/>
                      <w:b/>
                      <w:bCs/>
                      <w:sz w:val="21"/>
                      <w:szCs w:val="21"/>
                      <w:u w:val="none" w:color="auto"/>
                      <w:lang w:val="en-US"/>
                    </w:rPr>
                    <w:t>河宽B（m）</w:t>
                  </w:r>
                </w:p>
              </w:tc>
              <w:tc>
                <w:tcPr>
                  <w:tcW w:w="1276" w:type="dxa"/>
                  <w:tcBorders>
                    <w:tl2br w:val="nil"/>
                    <w:tr2bl w:val="nil"/>
                  </w:tcBorders>
                  <w:noWrap w:val="0"/>
                  <w:vAlign w:val="center"/>
                </w:tcPr>
                <w:p w14:paraId="195195D9">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rPr>
                  </w:pPr>
                  <w:r>
                    <w:rPr>
                      <w:rFonts w:hint="default" w:ascii="Times New Roman" w:hAnsi="Times New Roman" w:eastAsia="宋体" w:cs="Times New Roman"/>
                      <w:b/>
                      <w:bCs/>
                      <w:sz w:val="21"/>
                      <w:szCs w:val="21"/>
                      <w:u w:val="none" w:color="auto"/>
                      <w:lang w:val="en-US"/>
                    </w:rPr>
                    <w:t>水深H（m）</w:t>
                  </w:r>
                </w:p>
              </w:tc>
              <w:tc>
                <w:tcPr>
                  <w:tcW w:w="1623" w:type="dxa"/>
                  <w:tcBorders>
                    <w:tl2br w:val="nil"/>
                    <w:tr2bl w:val="nil"/>
                  </w:tcBorders>
                  <w:noWrap w:val="0"/>
                  <w:vAlign w:val="center"/>
                </w:tcPr>
                <w:p w14:paraId="66293571">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none" w:color="auto"/>
                      <w:lang w:val="en-US"/>
                    </w:rPr>
                  </w:pPr>
                  <w:r>
                    <w:rPr>
                      <w:rFonts w:hint="default" w:ascii="Times New Roman" w:hAnsi="Times New Roman" w:eastAsia="宋体" w:cs="Times New Roman"/>
                      <w:b/>
                      <w:bCs/>
                      <w:sz w:val="21"/>
                      <w:szCs w:val="21"/>
                      <w:u w:val="none" w:color="auto"/>
                      <w:lang w:val="en-US"/>
                    </w:rPr>
                    <w:t>流量Q</w:t>
                  </w:r>
                  <w:r>
                    <w:rPr>
                      <w:rFonts w:hint="eastAsia" w:eastAsia="宋体" w:cs="Times New Roman"/>
                      <w:b/>
                      <w:bCs/>
                      <w:sz w:val="21"/>
                      <w:szCs w:val="21"/>
                      <w:u w:val="none" w:color="auto"/>
                      <w:lang w:val="en-US" w:eastAsia="zh-CN"/>
                    </w:rPr>
                    <w:t>（</w:t>
                  </w:r>
                  <w:r>
                    <w:rPr>
                      <w:rFonts w:hint="default" w:ascii="Times New Roman" w:hAnsi="Times New Roman" w:eastAsia="宋体" w:cs="Times New Roman"/>
                      <w:b/>
                      <w:bCs/>
                      <w:sz w:val="21"/>
                      <w:szCs w:val="21"/>
                      <w:u w:val="none" w:color="auto"/>
                      <w:lang w:val="en-US" w:eastAsia="zh-CN"/>
                    </w:rPr>
                    <w:t>m</w:t>
                  </w:r>
                  <w:r>
                    <w:rPr>
                      <w:rFonts w:hint="default" w:ascii="Times New Roman" w:hAnsi="Times New Roman" w:eastAsia="宋体" w:cs="Times New Roman"/>
                      <w:b/>
                      <w:bCs/>
                      <w:sz w:val="21"/>
                      <w:szCs w:val="21"/>
                      <w:u w:val="none" w:color="auto"/>
                      <w:lang w:eastAsia="zh-CN"/>
                    </w:rPr>
                    <w:t>³</w:t>
                  </w:r>
                  <w:r>
                    <w:rPr>
                      <w:rFonts w:hint="default" w:ascii="Times New Roman" w:hAnsi="Times New Roman" w:eastAsia="宋体" w:cs="Times New Roman"/>
                      <w:b/>
                      <w:bCs/>
                      <w:sz w:val="21"/>
                      <w:szCs w:val="21"/>
                      <w:u w:val="none" w:color="auto"/>
                      <w:lang w:val="en-US"/>
                    </w:rPr>
                    <w:t>/s</w:t>
                  </w:r>
                  <w:r>
                    <w:rPr>
                      <w:rFonts w:hint="eastAsia" w:eastAsia="宋体" w:cs="Times New Roman"/>
                      <w:b/>
                      <w:bCs/>
                      <w:sz w:val="21"/>
                      <w:szCs w:val="21"/>
                      <w:u w:val="none" w:color="auto"/>
                      <w:lang w:val="en-US" w:eastAsia="zh-CN"/>
                    </w:rPr>
                    <w:t>）</w:t>
                  </w:r>
                </w:p>
              </w:tc>
              <w:tc>
                <w:tcPr>
                  <w:tcW w:w="1382" w:type="dxa"/>
                  <w:tcBorders>
                    <w:tl2br w:val="nil"/>
                    <w:tr2bl w:val="nil"/>
                  </w:tcBorders>
                  <w:noWrap w:val="0"/>
                  <w:vAlign w:val="center"/>
                </w:tcPr>
                <w:p w14:paraId="2238DCC6">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color w:val="auto"/>
                      <w:sz w:val="21"/>
                      <w:szCs w:val="21"/>
                      <w:u w:val="none" w:color="auto"/>
                      <w:lang w:val="en-US"/>
                    </w:rPr>
                  </w:pPr>
                  <w:r>
                    <w:rPr>
                      <w:rFonts w:hint="default" w:ascii="Times New Roman" w:hAnsi="Times New Roman" w:eastAsia="宋体" w:cs="Times New Roman"/>
                      <w:b/>
                      <w:bCs/>
                      <w:color w:val="auto"/>
                      <w:sz w:val="21"/>
                      <w:szCs w:val="21"/>
                      <w:u w:val="none" w:color="auto"/>
                      <w:lang w:val="en-US"/>
                    </w:rPr>
                    <w:t>流速U（m/s）</w:t>
                  </w:r>
                </w:p>
              </w:tc>
              <w:tc>
                <w:tcPr>
                  <w:tcW w:w="1127" w:type="dxa"/>
                  <w:tcBorders>
                    <w:tl2br w:val="nil"/>
                    <w:tr2bl w:val="nil"/>
                  </w:tcBorders>
                  <w:noWrap w:val="0"/>
                  <w:vAlign w:val="center"/>
                </w:tcPr>
                <w:p w14:paraId="11BFCDE4">
                  <w:pPr>
                    <w:pStyle w:val="4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color w:val="auto"/>
                      <w:sz w:val="21"/>
                      <w:szCs w:val="21"/>
                      <w:u w:val="none" w:color="auto"/>
                      <w:lang w:val="en-US"/>
                    </w:rPr>
                  </w:pPr>
                  <w:r>
                    <w:rPr>
                      <w:rFonts w:hint="default" w:ascii="Times New Roman" w:hAnsi="Times New Roman" w:eastAsia="宋体" w:cs="Times New Roman"/>
                      <w:b/>
                      <w:bCs/>
                      <w:color w:val="auto"/>
                      <w:sz w:val="21"/>
                      <w:szCs w:val="21"/>
                      <w:u w:val="none" w:color="auto"/>
                      <w:lang w:val="en-US"/>
                    </w:rPr>
                    <w:t>坡降</w:t>
                  </w:r>
                  <w:r>
                    <w:rPr>
                      <w:rFonts w:hint="default" w:ascii="Times New Roman" w:hAnsi="Times New Roman" w:eastAsia="宋体" w:cs="Times New Roman"/>
                      <w:b/>
                      <w:bCs/>
                      <w:color w:val="auto"/>
                      <w:sz w:val="21"/>
                      <w:szCs w:val="21"/>
                      <w:u w:val="none" w:color="auto"/>
                      <w:lang w:val="en-US" w:eastAsia="zh-CN"/>
                    </w:rPr>
                    <w:t>i</w:t>
                  </w:r>
                  <w:r>
                    <w:rPr>
                      <w:rFonts w:hint="default" w:ascii="Times New Roman" w:hAnsi="Times New Roman" w:eastAsia="宋体" w:cs="Times New Roman"/>
                      <w:b/>
                      <w:bCs/>
                      <w:color w:val="auto"/>
                      <w:sz w:val="21"/>
                      <w:szCs w:val="21"/>
                      <w:u w:val="none" w:color="auto"/>
                      <w:lang w:val="en-US"/>
                    </w:rPr>
                    <w:t>(‰)</w:t>
                  </w:r>
                </w:p>
              </w:tc>
            </w:tr>
            <w:tr w14:paraId="4F66FD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42" w:type="dxa"/>
                  <w:tcBorders>
                    <w:tl2br w:val="nil"/>
                    <w:tr2bl w:val="nil"/>
                  </w:tcBorders>
                  <w:noWrap w:val="0"/>
                  <w:vAlign w:val="center"/>
                </w:tcPr>
                <w:p w14:paraId="3114B3AB">
                  <w:pPr>
                    <w:pStyle w:val="24"/>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洣水</w:t>
                  </w:r>
                </w:p>
              </w:tc>
              <w:tc>
                <w:tcPr>
                  <w:tcW w:w="993" w:type="dxa"/>
                  <w:tcBorders>
                    <w:tl2br w:val="nil"/>
                    <w:tr2bl w:val="nil"/>
                  </w:tcBorders>
                  <w:noWrap w:val="0"/>
                  <w:vAlign w:val="center"/>
                </w:tcPr>
                <w:p w14:paraId="3704E09C">
                  <w:pPr>
                    <w:pStyle w:val="24"/>
                    <w:bidi w:val="0"/>
                    <w:jc w:val="center"/>
                    <w:rPr>
                      <w:rFonts w:hint="default" w:ascii="Times New Roman" w:hAnsi="Times New Roman" w:eastAsia="宋体" w:cs="Times New Roman"/>
                      <w:color w:val="000000"/>
                      <w:u w:val="none" w:color="auto"/>
                      <w:lang w:val="en-US" w:eastAsia="zh-CN"/>
                    </w:rPr>
                  </w:pPr>
                  <w:r>
                    <w:rPr>
                      <w:rFonts w:hint="default" w:ascii="Times New Roman" w:hAnsi="Times New Roman" w:eastAsia="宋体" w:cs="Times New Roman"/>
                      <w:color w:val="000000"/>
                      <w:u w:val="none" w:color="auto"/>
                      <w:lang w:val="en-US" w:eastAsia="zh-CN"/>
                    </w:rPr>
                    <w:t>枯水期</w:t>
                  </w:r>
                </w:p>
              </w:tc>
              <w:tc>
                <w:tcPr>
                  <w:tcW w:w="1417" w:type="dxa"/>
                  <w:tcBorders>
                    <w:tl2br w:val="nil"/>
                    <w:tr2bl w:val="nil"/>
                  </w:tcBorders>
                  <w:noWrap w:val="0"/>
                  <w:vAlign w:val="center"/>
                </w:tcPr>
                <w:p w14:paraId="5E16237C">
                  <w:pPr>
                    <w:pStyle w:val="24"/>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150</w:t>
                  </w:r>
                </w:p>
              </w:tc>
              <w:tc>
                <w:tcPr>
                  <w:tcW w:w="1276" w:type="dxa"/>
                  <w:tcBorders>
                    <w:tl2br w:val="nil"/>
                    <w:tr2bl w:val="nil"/>
                  </w:tcBorders>
                  <w:noWrap w:val="0"/>
                  <w:vAlign w:val="center"/>
                </w:tcPr>
                <w:p w14:paraId="423C8E59">
                  <w:pPr>
                    <w:pStyle w:val="24"/>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1.8</w:t>
                  </w:r>
                </w:p>
              </w:tc>
              <w:tc>
                <w:tcPr>
                  <w:tcW w:w="1623" w:type="dxa"/>
                  <w:tcBorders>
                    <w:tl2br w:val="nil"/>
                    <w:tr2bl w:val="nil"/>
                  </w:tcBorders>
                  <w:noWrap w:val="0"/>
                  <w:vAlign w:val="center"/>
                </w:tcPr>
                <w:p w14:paraId="60982C02">
                  <w:pPr>
                    <w:pStyle w:val="24"/>
                    <w:bidi w:val="0"/>
                    <w:jc w:val="center"/>
                    <w:rPr>
                      <w:rFonts w:hint="default" w:ascii="Times New Roman" w:hAnsi="Times New Roman" w:eastAsia="宋体" w:cs="Times New Roman"/>
                      <w:color w:val="000000"/>
                      <w:u w:val="none" w:color="auto"/>
                      <w:lang w:val="en-US" w:eastAsia="zh-CN"/>
                    </w:rPr>
                  </w:pPr>
                  <w:r>
                    <w:rPr>
                      <w:rFonts w:hint="eastAsia" w:ascii="Times New Roman" w:hAnsi="Times New Roman" w:eastAsia="宋体" w:cs="Times New Roman"/>
                      <w:color w:val="000000"/>
                      <w:u w:val="none" w:color="auto"/>
                      <w:lang w:val="en-US" w:eastAsia="zh-CN"/>
                    </w:rPr>
                    <w:t>30</w:t>
                  </w:r>
                </w:p>
              </w:tc>
              <w:tc>
                <w:tcPr>
                  <w:tcW w:w="1382" w:type="dxa"/>
                  <w:tcBorders>
                    <w:tl2br w:val="nil"/>
                    <w:tr2bl w:val="nil"/>
                  </w:tcBorders>
                  <w:noWrap w:val="0"/>
                  <w:vAlign w:val="center"/>
                </w:tcPr>
                <w:p w14:paraId="007092FA">
                  <w:pPr>
                    <w:pStyle w:val="24"/>
                    <w:bidi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1.5</w:t>
                  </w:r>
                </w:p>
              </w:tc>
              <w:tc>
                <w:tcPr>
                  <w:tcW w:w="1127" w:type="dxa"/>
                  <w:tcBorders>
                    <w:tl2br w:val="nil"/>
                    <w:tr2bl w:val="nil"/>
                  </w:tcBorders>
                  <w:noWrap w:val="0"/>
                  <w:vAlign w:val="center"/>
                </w:tcPr>
                <w:p w14:paraId="619DECD9">
                  <w:pPr>
                    <w:pStyle w:val="24"/>
                    <w:bidi w:val="0"/>
                    <w:jc w:val="center"/>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5.9</w:t>
                  </w:r>
                </w:p>
              </w:tc>
            </w:tr>
          </w:tbl>
          <w:p w14:paraId="25F1A914">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1</w:t>
            </w:r>
            <w:r>
              <w:rPr>
                <w:rFonts w:hint="eastAsia" w:ascii="Times New Roman" w:hAnsi="宋体" w:eastAsia="宋体" w:cs="宋体"/>
                <w:bCs/>
                <w:sz w:val="24"/>
                <w:szCs w:val="24"/>
                <w:u w:val="none" w:color="auto"/>
                <w:lang w:val="en-US" w:eastAsia="zh-CN"/>
              </w:rPr>
              <w:t>）混合过程段长度估算</w:t>
            </w:r>
          </w:p>
          <w:p w14:paraId="53F90599">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本次预测河段主要分为混合过程段和充分混合段，项目污水处理系统出水排放采用岸边排放方式，根据《环境影响评价技术导则地表水环境》（</w:t>
            </w:r>
            <w:r>
              <w:rPr>
                <w:rFonts w:hint="default" w:ascii="Times New Roman" w:hAnsi="宋体" w:eastAsia="宋体" w:cs="宋体"/>
                <w:bCs/>
                <w:sz w:val="24"/>
                <w:szCs w:val="24"/>
                <w:u w:val="none" w:color="auto"/>
                <w:lang w:val="en-US" w:eastAsia="zh-CN"/>
              </w:rPr>
              <w:t>HJ/T2.3-2018</w:t>
            </w:r>
            <w:r>
              <w:rPr>
                <w:rFonts w:hint="eastAsia" w:ascii="Times New Roman" w:hAnsi="宋体" w:eastAsia="宋体" w:cs="宋体"/>
                <w:bCs/>
                <w:sz w:val="24"/>
                <w:szCs w:val="24"/>
                <w:u w:val="none" w:color="auto"/>
                <w:lang w:val="en-US" w:eastAsia="zh-CN"/>
              </w:rPr>
              <w:t>），混合过程段的长度计算公式如下：</w:t>
            </w:r>
          </w:p>
          <w:p w14:paraId="230CAAC7">
            <w:pPr>
              <w:keepNext w:val="0"/>
              <w:keepLines w:val="0"/>
              <w:pageBreakBefore w:val="0"/>
              <w:widowControl w:val="0"/>
              <w:suppressLineNumbers w:val="0"/>
              <w:kinsoku/>
              <w:wordWrap/>
              <w:overflowPunct/>
              <w:topLinePunct w:val="0"/>
              <w:bidi w:val="0"/>
              <w:spacing w:beforeAutospacing="0" w:afterAutospacing="0" w:line="360" w:lineRule="auto"/>
              <w:ind w:left="0" w:right="0" w:firstLine="420" w:firstLineChars="200"/>
              <w:jc w:val="center"/>
              <w:textAlignment w:val="auto"/>
              <w:rPr>
                <w:rFonts w:hAnsi="宋体"/>
                <w:color w:val="000000"/>
                <w:u w:val="none" w:color="auto"/>
                <w:lang w:val="en-US"/>
              </w:rPr>
            </w:pPr>
            <w:r>
              <w:rPr>
                <w:rFonts w:hAnsi="宋体"/>
                <w:color w:val="000000"/>
                <w:u w:val="none" w:color="auto"/>
                <w:lang w:val="en-US"/>
              </w:rPr>
              <w:drawing>
                <wp:inline distT="0" distB="0" distL="114300" distR="114300">
                  <wp:extent cx="3771900" cy="787400"/>
                  <wp:effectExtent l="0" t="0" r="12700" b="0"/>
                  <wp:docPr id="81" name="图片 81" descr="截屏2024-07-16 11.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截屏2024-07-16 11.10.41"/>
                          <pic:cNvPicPr>
                            <a:picLocks noChangeAspect="1"/>
                          </pic:cNvPicPr>
                        </pic:nvPicPr>
                        <pic:blipFill>
                          <a:blip r:embed="rId11"/>
                          <a:stretch>
                            <a:fillRect/>
                          </a:stretch>
                        </pic:blipFill>
                        <pic:spPr>
                          <a:xfrm>
                            <a:off x="0" y="0"/>
                            <a:ext cx="3771900" cy="787400"/>
                          </a:xfrm>
                          <a:prstGeom prst="rect">
                            <a:avLst/>
                          </a:prstGeom>
                        </pic:spPr>
                      </pic:pic>
                    </a:graphicData>
                  </a:graphic>
                </wp:inline>
              </w:drawing>
            </w:r>
          </w:p>
          <w:p w14:paraId="1A159F12">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式中：</w:t>
            </w:r>
            <w:r>
              <w:rPr>
                <w:rFonts w:hint="default" w:ascii="Times New Roman" w:hAnsi="宋体" w:eastAsia="宋体" w:cs="宋体"/>
                <w:bCs/>
                <w:sz w:val="24"/>
                <w:szCs w:val="24"/>
                <w:u w:val="none" w:color="auto"/>
                <w:lang w:val="en-US" w:eastAsia="zh-CN"/>
              </w:rPr>
              <w:t>L</w:t>
            </w:r>
            <w:r>
              <w:rPr>
                <w:rFonts w:hint="default" w:ascii="Times New Roman" w:hAnsi="宋体" w:eastAsia="宋体" w:cs="宋体"/>
                <w:bCs/>
                <w:sz w:val="24"/>
                <w:szCs w:val="24"/>
                <w:u w:val="none" w:color="auto"/>
                <w:vertAlign w:val="subscript"/>
                <w:lang w:val="en-US" w:eastAsia="zh-CN"/>
              </w:rPr>
              <w:t>m</w:t>
            </w:r>
            <w:r>
              <w:rPr>
                <w:rFonts w:hint="eastAsia" w:ascii="Times New Roman" w:hAnsi="宋体" w:eastAsia="宋体" w:cs="宋体"/>
                <w:bCs/>
                <w:sz w:val="24"/>
                <w:szCs w:val="24"/>
                <w:u w:val="none" w:color="auto"/>
                <w:lang w:val="en-US" w:eastAsia="zh-CN"/>
              </w:rPr>
              <w:t>——混合段长度，</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w:t>
            </w:r>
          </w:p>
          <w:p w14:paraId="30D1FEA4">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B</w:t>
            </w:r>
            <w:r>
              <w:rPr>
                <w:rFonts w:hint="eastAsia" w:ascii="Times New Roman" w:hAnsi="宋体" w:eastAsia="宋体" w:cs="宋体"/>
                <w:bCs/>
                <w:sz w:val="24"/>
                <w:szCs w:val="24"/>
                <w:u w:val="none" w:color="auto"/>
                <w:lang w:val="en-US" w:eastAsia="zh-CN"/>
              </w:rPr>
              <w:t>——水面宽度，</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w:t>
            </w:r>
          </w:p>
          <w:p w14:paraId="524A3B05">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a</w:t>
            </w:r>
            <w:r>
              <w:rPr>
                <w:rFonts w:hint="eastAsia" w:ascii="Times New Roman" w:hAnsi="宋体" w:eastAsia="宋体" w:cs="宋体"/>
                <w:bCs/>
                <w:sz w:val="24"/>
                <w:szCs w:val="24"/>
                <w:u w:val="none" w:color="auto"/>
                <w:lang w:val="en-US" w:eastAsia="zh-CN"/>
              </w:rPr>
              <w:t>——排放口到岸边的距离，</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，本项目为</w:t>
            </w:r>
            <w:r>
              <w:rPr>
                <w:rFonts w:hint="default" w:ascii="Times New Roman" w:hAnsi="宋体" w:eastAsia="宋体" w:cs="宋体"/>
                <w:bCs/>
                <w:sz w:val="24"/>
                <w:szCs w:val="24"/>
                <w:u w:val="none" w:color="auto"/>
                <w:lang w:val="en-US" w:eastAsia="zh-CN"/>
              </w:rPr>
              <w:t>0m</w:t>
            </w:r>
            <w:r>
              <w:rPr>
                <w:rFonts w:hint="eastAsia" w:ascii="Times New Roman" w:hAnsi="宋体" w:eastAsia="宋体" w:cs="宋体"/>
                <w:bCs/>
                <w:sz w:val="24"/>
                <w:szCs w:val="24"/>
                <w:u w:val="none" w:color="auto"/>
                <w:lang w:val="en-US" w:eastAsia="zh-CN"/>
              </w:rPr>
              <w:t>；</w:t>
            </w:r>
          </w:p>
          <w:p w14:paraId="23B9CFB7">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u</w:t>
            </w:r>
            <w:r>
              <w:rPr>
                <w:rFonts w:hint="eastAsia" w:ascii="Times New Roman" w:hAnsi="宋体" w:eastAsia="宋体" w:cs="宋体"/>
                <w:bCs/>
                <w:sz w:val="24"/>
                <w:szCs w:val="24"/>
                <w:u w:val="none" w:color="auto"/>
                <w:lang w:val="en-US" w:eastAsia="zh-CN"/>
              </w:rPr>
              <w:t>——断面流速，</w:t>
            </w:r>
            <w:r>
              <w:rPr>
                <w:rFonts w:hint="default" w:ascii="Times New Roman" w:hAnsi="宋体" w:eastAsia="宋体" w:cs="宋体"/>
                <w:bCs/>
                <w:sz w:val="24"/>
                <w:szCs w:val="24"/>
                <w:u w:val="none" w:color="auto"/>
                <w:lang w:val="en-US" w:eastAsia="zh-CN"/>
              </w:rPr>
              <w:t>m/s</w:t>
            </w:r>
            <w:r>
              <w:rPr>
                <w:rFonts w:hint="eastAsia" w:ascii="Times New Roman" w:hAnsi="宋体" w:eastAsia="宋体" w:cs="宋体"/>
                <w:bCs/>
                <w:sz w:val="24"/>
                <w:szCs w:val="24"/>
                <w:u w:val="none" w:color="auto"/>
                <w:lang w:val="en-US" w:eastAsia="zh-CN"/>
              </w:rPr>
              <w:t>；</w:t>
            </w:r>
          </w:p>
          <w:p w14:paraId="75618E12">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H</w:t>
            </w:r>
            <w:r>
              <w:rPr>
                <w:rFonts w:hint="eastAsia" w:ascii="Times New Roman" w:hAnsi="宋体" w:eastAsia="宋体" w:cs="宋体"/>
                <w:bCs/>
                <w:sz w:val="24"/>
                <w:szCs w:val="24"/>
                <w:u w:val="none" w:color="auto"/>
                <w:lang w:val="en-US" w:eastAsia="zh-CN"/>
              </w:rPr>
              <w:t>——河流水深，</w:t>
            </w:r>
            <w:r>
              <w:rPr>
                <w:rFonts w:hint="default" w:ascii="Times New Roman" w:hAnsi="宋体" w:eastAsia="宋体" w:cs="宋体"/>
                <w:bCs/>
                <w:sz w:val="24"/>
                <w:szCs w:val="24"/>
                <w:u w:val="none" w:color="auto"/>
                <w:lang w:val="en-US" w:eastAsia="zh-CN"/>
              </w:rPr>
              <w:t>m</w:t>
            </w:r>
            <w:r>
              <w:rPr>
                <w:rFonts w:hint="eastAsia" w:ascii="Times New Roman" w:hAnsi="宋体" w:eastAsia="宋体" w:cs="宋体"/>
                <w:bCs/>
                <w:sz w:val="24"/>
                <w:szCs w:val="24"/>
                <w:u w:val="none" w:color="auto"/>
                <w:lang w:val="en-US" w:eastAsia="zh-CN"/>
              </w:rPr>
              <w:t>；</w:t>
            </w:r>
          </w:p>
          <w:p w14:paraId="12EF718F">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default" w:ascii="Times New Roman" w:hAnsi="宋体" w:eastAsia="宋体" w:cs="宋体"/>
                <w:bCs/>
                <w:sz w:val="24"/>
                <w:szCs w:val="24"/>
                <w:u w:val="none" w:color="auto"/>
                <w:lang w:val="en-US" w:eastAsia="zh-CN"/>
              </w:rPr>
              <w:t>Ey</w:t>
            </w:r>
            <w:r>
              <w:rPr>
                <w:rFonts w:hint="eastAsia" w:ascii="Times New Roman" w:hAnsi="宋体" w:eastAsia="宋体" w:cs="宋体"/>
                <w:bCs/>
                <w:sz w:val="24"/>
                <w:szCs w:val="24"/>
                <w:u w:val="none" w:color="auto"/>
                <w:lang w:val="en-US" w:eastAsia="zh-CN"/>
              </w:rPr>
              <w:t>——污染物横向扩散系数，</w:t>
            </w:r>
            <w:r>
              <w:rPr>
                <w:rFonts w:hint="default" w:ascii="Times New Roman" w:hAnsi="宋体" w:eastAsia="宋体" w:cs="宋体"/>
                <w:bCs/>
                <w:sz w:val="24"/>
                <w:szCs w:val="24"/>
                <w:u w:val="none" w:color="auto"/>
                <w:lang w:val="en-US" w:eastAsia="zh-CN"/>
              </w:rPr>
              <w:t>m</w:t>
            </w:r>
            <w:r>
              <w:rPr>
                <w:rFonts w:hint="default" w:ascii="Times New Roman" w:hAnsi="宋体" w:eastAsia="宋体" w:cs="宋体"/>
                <w:bCs/>
                <w:sz w:val="24"/>
                <w:szCs w:val="24"/>
                <w:u w:val="none" w:color="auto"/>
                <w:vertAlign w:val="superscript"/>
                <w:lang w:val="en-US" w:eastAsia="zh-CN"/>
              </w:rPr>
              <w:t>2</w:t>
            </w:r>
            <w:r>
              <w:rPr>
                <w:rFonts w:hint="default" w:ascii="Times New Roman" w:hAnsi="宋体" w:eastAsia="宋体" w:cs="宋体"/>
                <w:bCs/>
                <w:sz w:val="24"/>
                <w:szCs w:val="24"/>
                <w:u w:val="none" w:color="auto"/>
                <w:lang w:val="en-US" w:eastAsia="zh-CN"/>
              </w:rPr>
              <w:t>/s</w:t>
            </w:r>
            <w:r>
              <w:rPr>
                <w:rFonts w:hint="eastAsia" w:ascii="Times New Roman" w:hAnsi="宋体" w:eastAsia="宋体" w:cs="宋体"/>
                <w:bCs/>
                <w:sz w:val="24"/>
                <w:szCs w:val="24"/>
                <w:u w:val="none" w:color="auto"/>
                <w:lang w:val="en-US" w:eastAsia="zh-CN"/>
              </w:rPr>
              <w:t>；由泰勒法</w:t>
            </w:r>
            <w:r>
              <w:rPr>
                <w:rFonts w:hint="eastAsia" w:hAnsi="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0.058H+0.0065B</w:t>
            </w:r>
            <w:r>
              <w:rPr>
                <w:rFonts w:hint="eastAsia" w:hAnsi="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gH</w:t>
            </w:r>
            <w:r>
              <w:rPr>
                <w:rFonts w:hint="default" w:hAnsi="宋体" w:cs="宋体"/>
                <w:bCs/>
                <w:sz w:val="24"/>
                <w:szCs w:val="24"/>
                <w:u w:val="none" w:color="auto"/>
                <w:lang w:val="en-US" w:eastAsia="zh-CN"/>
              </w:rPr>
              <w:t>J</w:t>
            </w:r>
            <w:r>
              <w:rPr>
                <w:rFonts w:hint="eastAsia" w:hAnsi="宋体" w:cs="宋体"/>
                <w:bCs/>
                <w:sz w:val="24"/>
                <w:szCs w:val="24"/>
                <w:u w:val="none" w:color="auto"/>
                <w:lang w:val="en-US" w:eastAsia="zh-CN"/>
              </w:rPr>
              <w:t>）</w:t>
            </w:r>
            <w:r>
              <w:rPr>
                <w:rFonts w:hint="default" w:ascii="Times New Roman" w:hAnsi="宋体" w:eastAsia="宋体" w:cs="宋体"/>
                <w:bCs/>
                <w:sz w:val="24"/>
                <w:szCs w:val="24"/>
                <w:u w:val="none" w:color="auto"/>
                <w:vertAlign w:val="superscript"/>
                <w:lang w:val="en-US" w:eastAsia="zh-CN"/>
              </w:rPr>
              <w:t>1/2</w:t>
            </w:r>
            <w:r>
              <w:rPr>
                <w:rFonts w:hint="eastAsia" w:ascii="Times New Roman" w:hAnsi="宋体" w:eastAsia="宋体" w:cs="宋体"/>
                <w:bCs/>
                <w:sz w:val="24"/>
                <w:szCs w:val="24"/>
                <w:u w:val="none" w:color="auto"/>
                <w:lang w:val="en-US" w:eastAsia="zh-CN"/>
              </w:rPr>
              <w:t>求得，其中</w:t>
            </w:r>
            <w:r>
              <w:rPr>
                <w:rFonts w:hint="default" w:ascii="Times New Roman" w:hAnsi="宋体" w:eastAsia="宋体" w:cs="宋体"/>
                <w:bCs/>
                <w:sz w:val="24"/>
                <w:szCs w:val="24"/>
                <w:u w:val="none" w:color="auto"/>
                <w:lang w:val="en-US" w:eastAsia="zh-CN"/>
              </w:rPr>
              <w:t>g</w:t>
            </w:r>
            <w:r>
              <w:rPr>
                <w:rFonts w:hint="eastAsia" w:ascii="Times New Roman" w:hAnsi="宋体" w:eastAsia="宋体" w:cs="宋体"/>
                <w:bCs/>
                <w:sz w:val="24"/>
                <w:szCs w:val="24"/>
                <w:u w:val="none" w:color="auto"/>
                <w:lang w:val="en-US" w:eastAsia="zh-CN"/>
              </w:rPr>
              <w:t>为重力加速度，取</w:t>
            </w:r>
            <w:r>
              <w:rPr>
                <w:rFonts w:hint="default" w:ascii="Times New Roman" w:hAnsi="宋体" w:eastAsia="宋体" w:cs="宋体"/>
                <w:bCs/>
                <w:sz w:val="24"/>
                <w:szCs w:val="24"/>
                <w:u w:val="none" w:color="auto"/>
                <w:lang w:val="en-US" w:eastAsia="zh-CN"/>
              </w:rPr>
              <w:t>9.8 m</w:t>
            </w:r>
            <w:r>
              <w:rPr>
                <w:rFonts w:hint="default" w:ascii="Times New Roman" w:hAnsi="宋体" w:eastAsia="宋体" w:cs="宋体"/>
                <w:bCs/>
                <w:sz w:val="24"/>
                <w:szCs w:val="24"/>
                <w:u w:val="none" w:color="auto"/>
                <w:vertAlign w:val="superscript"/>
                <w:lang w:val="en-US" w:eastAsia="zh-CN"/>
              </w:rPr>
              <w:t>2</w:t>
            </w:r>
            <w:r>
              <w:rPr>
                <w:rFonts w:hint="default" w:ascii="Times New Roman" w:hAnsi="宋体" w:eastAsia="宋体" w:cs="宋体"/>
                <w:bCs/>
                <w:sz w:val="24"/>
                <w:szCs w:val="24"/>
                <w:u w:val="none" w:color="auto"/>
                <w:lang w:val="en-US" w:eastAsia="zh-CN"/>
              </w:rPr>
              <w:t>/s</w:t>
            </w:r>
            <w:r>
              <w:rPr>
                <w:rFonts w:hint="eastAsia" w:ascii="Times New Roman" w:hAnsi="宋体" w:eastAsia="宋体" w:cs="宋体"/>
                <w:bCs/>
                <w:sz w:val="24"/>
                <w:szCs w:val="24"/>
                <w:u w:val="none" w:color="auto"/>
                <w:lang w:val="en-US" w:eastAsia="zh-CN"/>
              </w:rPr>
              <w:t>；</w:t>
            </w:r>
            <w:r>
              <w:rPr>
                <w:rFonts w:hint="default" w:hAnsi="宋体" w:cs="宋体"/>
                <w:bCs/>
                <w:sz w:val="24"/>
                <w:szCs w:val="24"/>
                <w:u w:val="none" w:color="auto"/>
                <w:lang w:val="en-US" w:eastAsia="zh-CN"/>
              </w:rPr>
              <w:t>J</w:t>
            </w:r>
            <w:r>
              <w:rPr>
                <w:rFonts w:hint="eastAsia" w:ascii="Times New Roman" w:hAnsi="宋体" w:eastAsia="宋体" w:cs="宋体"/>
                <w:bCs/>
                <w:sz w:val="24"/>
                <w:szCs w:val="24"/>
                <w:u w:val="none" w:color="auto"/>
                <w:lang w:val="en-US" w:eastAsia="zh-CN"/>
              </w:rPr>
              <w:t>为</w:t>
            </w:r>
            <w:r>
              <w:rPr>
                <w:rFonts w:hint="eastAsia" w:hAnsi="宋体" w:cs="宋体"/>
                <w:bCs/>
                <w:sz w:val="24"/>
                <w:szCs w:val="24"/>
                <w:u w:val="none" w:color="auto"/>
                <w:lang w:val="en-US" w:eastAsia="zh-CN"/>
              </w:rPr>
              <w:t>河流</w:t>
            </w:r>
            <w:r>
              <w:rPr>
                <w:rFonts w:hint="eastAsia" w:ascii="Times New Roman" w:hAnsi="宋体" w:eastAsia="宋体" w:cs="宋体"/>
                <w:bCs/>
                <w:sz w:val="24"/>
                <w:szCs w:val="24"/>
                <w:u w:val="none" w:color="auto"/>
                <w:lang w:val="en-US" w:eastAsia="zh-CN"/>
              </w:rPr>
              <w:t>水力</w:t>
            </w:r>
            <w:r>
              <w:rPr>
                <w:rFonts w:hint="eastAsia" w:hAnsi="宋体" w:cs="宋体"/>
                <w:bCs/>
                <w:sz w:val="24"/>
                <w:szCs w:val="24"/>
                <w:u w:val="none" w:color="auto"/>
                <w:lang w:val="en-US" w:eastAsia="zh-CN"/>
              </w:rPr>
              <w:t>比降</w:t>
            </w:r>
            <w:r>
              <w:rPr>
                <w:rFonts w:hint="eastAsia" w:ascii="Times New Roman" w:hAnsi="宋体" w:eastAsia="宋体" w:cs="宋体"/>
                <w:bCs/>
                <w:sz w:val="24"/>
                <w:szCs w:val="24"/>
                <w:u w:val="none" w:color="auto"/>
                <w:lang w:val="en-US" w:eastAsia="zh-CN"/>
              </w:rPr>
              <w:t>，</w:t>
            </w:r>
            <w:r>
              <w:rPr>
                <w:rFonts w:hint="eastAsia" w:hAnsi="宋体" w:cs="宋体"/>
                <w:bCs/>
                <w:sz w:val="24"/>
                <w:szCs w:val="24"/>
                <w:u w:val="none" w:color="auto"/>
                <w:lang w:val="en-US" w:eastAsia="zh-CN"/>
              </w:rPr>
              <w:t>5.9</w:t>
            </w:r>
            <w:r>
              <w:rPr>
                <w:rFonts w:hint="default" w:ascii="Times New Roman" w:hAnsi="宋体" w:eastAsia="宋体" w:cs="宋体"/>
                <w:bCs/>
                <w:sz w:val="24"/>
                <w:szCs w:val="24"/>
                <w:u w:val="none" w:color="auto"/>
                <w:lang w:val="en-US" w:eastAsia="zh-CN"/>
              </w:rPr>
              <w:t>‰</w:t>
            </w:r>
            <w:r>
              <w:rPr>
                <w:rFonts w:hint="eastAsia" w:ascii="Times New Roman" w:hAnsi="宋体" w:eastAsia="宋体" w:cs="宋体"/>
                <w:bCs/>
                <w:sz w:val="24"/>
                <w:szCs w:val="24"/>
                <w:u w:val="none" w:color="auto"/>
                <w:lang w:val="en-US" w:eastAsia="zh-CN"/>
              </w:rPr>
              <w:t>；</w:t>
            </w:r>
          </w:p>
          <w:p w14:paraId="1BBB2536">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经计算，得混合过程段长度：</w:t>
            </w:r>
            <w:r>
              <w:rPr>
                <w:rFonts w:hint="default" w:ascii="Times New Roman" w:hAnsi="宋体" w:eastAsia="宋体" w:cs="宋体"/>
                <w:bCs/>
                <w:sz w:val="24"/>
                <w:szCs w:val="24"/>
                <w:u w:val="none" w:color="auto"/>
                <w:lang w:val="en-US" w:eastAsia="zh-CN"/>
              </w:rPr>
              <w:t>L</w:t>
            </w:r>
            <w:r>
              <w:rPr>
                <w:rFonts w:hint="default" w:ascii="Times New Roman" w:hAnsi="宋体" w:eastAsia="宋体" w:cs="宋体"/>
                <w:bCs/>
                <w:sz w:val="24"/>
                <w:szCs w:val="24"/>
                <w:u w:val="none" w:color="auto"/>
                <w:vertAlign w:val="subscript"/>
                <w:lang w:val="en-US" w:eastAsia="zh-CN"/>
              </w:rPr>
              <w:t>m</w:t>
            </w:r>
            <w:r>
              <w:rPr>
                <w:rFonts w:hint="default" w:ascii="Times New Roman" w:hAnsi="宋体" w:eastAsia="宋体" w:cs="宋体"/>
                <w:bCs/>
                <w:sz w:val="24"/>
                <w:szCs w:val="24"/>
                <w:u w:val="none" w:color="auto"/>
                <w:lang w:val="en-US" w:eastAsia="zh-CN"/>
              </w:rPr>
              <w:t>=</w:t>
            </w:r>
            <w:r>
              <w:rPr>
                <w:rFonts w:hint="eastAsia" w:hAnsi="宋体" w:cs="宋体"/>
                <w:bCs/>
                <w:sz w:val="24"/>
                <w:szCs w:val="24"/>
                <w:u w:val="none" w:color="auto"/>
                <w:lang w:val="en-US" w:eastAsia="zh-CN"/>
              </w:rPr>
              <w:t>42.85km</w:t>
            </w:r>
            <w:r>
              <w:rPr>
                <w:rFonts w:hint="default" w:ascii="Times New Roman" w:hAnsi="宋体" w:eastAsia="宋体" w:cs="宋体"/>
                <w:bCs/>
                <w:sz w:val="24"/>
                <w:szCs w:val="24"/>
                <w:u w:val="none" w:color="auto"/>
                <w:lang w:val="en-US" w:eastAsia="zh-CN"/>
              </w:rPr>
              <w:t>，视</w:t>
            </w:r>
            <w:r>
              <w:rPr>
                <w:rFonts w:hint="eastAsia" w:ascii="Times New Roman" w:hAnsi="宋体" w:eastAsia="宋体" w:cs="宋体"/>
                <w:bCs/>
                <w:sz w:val="24"/>
                <w:szCs w:val="24"/>
                <w:u w:val="none" w:color="auto"/>
                <w:lang w:val="en-US" w:eastAsia="zh-CN"/>
              </w:rPr>
              <w:t>为充分混合过程。</w:t>
            </w:r>
          </w:p>
          <w:p w14:paraId="3098ADDF">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w:t>
            </w:r>
            <w:r>
              <w:rPr>
                <w:rFonts w:hint="default" w:ascii="Times New Roman" w:hAnsi="宋体" w:eastAsia="宋体" w:cs="宋体"/>
                <w:bCs/>
                <w:sz w:val="24"/>
                <w:szCs w:val="24"/>
                <w:u w:val="none" w:color="auto"/>
                <w:lang w:val="en-US" w:eastAsia="zh-CN"/>
              </w:rPr>
              <w:t>2</w:t>
            </w:r>
            <w:r>
              <w:rPr>
                <w:rFonts w:hint="eastAsia" w:ascii="Times New Roman" w:hAnsi="宋体" w:eastAsia="宋体" w:cs="宋体"/>
                <w:bCs/>
                <w:sz w:val="24"/>
                <w:szCs w:val="24"/>
                <w:u w:val="none" w:color="auto"/>
                <w:lang w:val="en-US" w:eastAsia="zh-CN"/>
              </w:rPr>
              <w:t>）预测模式</w:t>
            </w:r>
          </w:p>
          <w:p w14:paraId="04B0BDAE">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根据《环境影响评价技术导则地表水环境》，</w:t>
            </w:r>
            <w:r>
              <w:rPr>
                <w:rFonts w:hint="eastAsia" w:hAnsi="宋体" w:cs="宋体"/>
                <w:bCs/>
                <w:sz w:val="24"/>
                <w:szCs w:val="24"/>
                <w:u w:val="none" w:color="auto"/>
                <w:lang w:val="en-US" w:eastAsia="zh-CN"/>
              </w:rPr>
              <w:t>不考虑岸边反射影响的宽浅型平直恒定均匀河流，岸边点源稳定排放的，</w:t>
            </w:r>
            <w:r>
              <w:rPr>
                <w:rFonts w:hint="eastAsia" w:ascii="Times New Roman" w:hAnsi="宋体" w:eastAsia="宋体" w:cs="宋体"/>
                <w:bCs/>
                <w:sz w:val="24"/>
                <w:szCs w:val="24"/>
                <w:u w:val="none" w:color="auto"/>
                <w:lang w:val="en-US" w:eastAsia="zh-CN"/>
              </w:rPr>
              <w:t>选用二维稳态混合衰减模式预测。</w:t>
            </w:r>
          </w:p>
          <w:p w14:paraId="54BD0FC6">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none" w:color="auto"/>
                <w:lang w:val="en-US" w:eastAsia="zh-CN"/>
              </w:rPr>
            </w:pPr>
            <w:r>
              <w:rPr>
                <w:rFonts w:hint="eastAsia" w:ascii="Times New Roman" w:hAnsi="宋体" w:eastAsia="宋体" w:cs="宋体"/>
                <w:bCs/>
                <w:sz w:val="24"/>
                <w:szCs w:val="24"/>
                <w:u w:val="none" w:color="auto"/>
                <w:lang w:val="en-US" w:eastAsia="zh-CN"/>
              </w:rPr>
              <w:t>预测模式如下：</w:t>
            </w:r>
          </w:p>
          <w:p w14:paraId="7A4EC00E">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eastAsia="仿宋_GB2312"/>
                <w:color w:val="000000"/>
                <w:sz w:val="24"/>
                <w:u w:val="none" w:color="auto"/>
              </w:rPr>
            </w:pPr>
            <w:r>
              <w:rPr>
                <w:color w:val="000000"/>
                <w:position w:val="-36"/>
                <w:sz w:val="24"/>
                <w:u w:val="none" w:color="auto"/>
              </w:rPr>
              <w:object>
                <v:shape id="_x0000_i1025" o:spt="75" type="#_x0000_t75" style="height:39pt;width:232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p>
          <w:p w14:paraId="3D6194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u w:val="none" w:color="auto"/>
              </w:rPr>
              <w:t>式中：</w:t>
            </w:r>
            <w:r>
              <w:rPr>
                <w:rFonts w:hint="default" w:ascii="Times New Roman" w:hAnsi="Times New Roman" w:eastAsia="宋体" w:cs="Times New Roman"/>
                <w:bCs/>
                <w:color w:val="000000"/>
                <w:sz w:val="24"/>
                <w:szCs w:val="24"/>
                <w:u w:val="none" w:color="auto"/>
              </w:rPr>
              <w:t>C</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x,y</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 xml:space="preserve">— </w:t>
            </w:r>
            <w:r>
              <w:rPr>
                <w:rFonts w:hint="default" w:ascii="Times New Roman" w:hAnsi="Times New Roman" w:eastAsia="宋体" w:cs="Times New Roman"/>
                <w:color w:val="000000"/>
                <w:kern w:val="0"/>
                <w:sz w:val="24"/>
                <w:szCs w:val="24"/>
                <w:u w:val="none" w:color="auto"/>
                <w:lang w:val="en-US" w:eastAsia="zh-CN" w:bidi="ar"/>
              </w:rPr>
              <w:t xml:space="preserve">纵向距离 </w:t>
            </w:r>
            <w:r>
              <w:rPr>
                <w:rFonts w:hint="default" w:ascii="Times New Roman" w:hAnsi="Times New Roman" w:eastAsia="宋体" w:cs="Times New Roman"/>
                <w:i/>
                <w:iCs/>
                <w:color w:val="000000"/>
                <w:kern w:val="0"/>
                <w:sz w:val="24"/>
                <w:szCs w:val="24"/>
                <w:u w:val="none" w:color="auto"/>
                <w:lang w:val="en-US" w:eastAsia="zh-CN" w:bidi="ar"/>
              </w:rPr>
              <w:t>x</w:t>
            </w:r>
            <w:r>
              <w:rPr>
                <w:rFonts w:hint="default" w:ascii="Times New Roman" w:hAnsi="Times New Roman" w:eastAsia="宋体" w:cs="Times New Roman"/>
                <w:color w:val="000000"/>
                <w:kern w:val="0"/>
                <w:sz w:val="24"/>
                <w:szCs w:val="24"/>
                <w:u w:val="none" w:color="auto"/>
                <w:lang w:val="en-US" w:eastAsia="zh-CN" w:bidi="ar"/>
              </w:rPr>
              <w:t xml:space="preserve">、横向距离 </w:t>
            </w:r>
            <w:r>
              <w:rPr>
                <w:rFonts w:hint="default" w:ascii="Times New Roman" w:hAnsi="Times New Roman" w:eastAsia="宋体" w:cs="Times New Roman"/>
                <w:i/>
                <w:iCs/>
                <w:color w:val="000000"/>
                <w:kern w:val="0"/>
                <w:sz w:val="24"/>
                <w:szCs w:val="24"/>
                <w:u w:val="none" w:color="auto"/>
                <w:lang w:val="en-US" w:eastAsia="zh-CN" w:bidi="ar"/>
              </w:rPr>
              <w:t xml:space="preserve">y </w:t>
            </w:r>
            <w:r>
              <w:rPr>
                <w:rFonts w:hint="default" w:ascii="Times New Roman" w:hAnsi="Times New Roman" w:eastAsia="宋体" w:cs="Times New Roman"/>
                <w:color w:val="000000"/>
                <w:kern w:val="0"/>
                <w:sz w:val="24"/>
                <w:szCs w:val="24"/>
                <w:u w:val="none" w:color="auto"/>
                <w:lang w:val="en-US" w:eastAsia="zh-CN" w:bidi="ar"/>
              </w:rPr>
              <w:t>点的污染物</w:t>
            </w:r>
            <w:r>
              <w:rPr>
                <w:rFonts w:hint="eastAsia" w:cs="Times New Roman"/>
                <w:color w:val="000000"/>
                <w:kern w:val="0"/>
                <w:sz w:val="24"/>
                <w:szCs w:val="24"/>
                <w:u w:val="none" w:color="auto"/>
                <w:lang w:val="en-US" w:eastAsia="zh-CN" w:bidi="ar"/>
              </w:rPr>
              <w:t>平均</w:t>
            </w:r>
            <w:r>
              <w:rPr>
                <w:rFonts w:hint="default" w:ascii="Times New Roman" w:hAnsi="Times New Roman" w:eastAsia="宋体" w:cs="Times New Roman"/>
                <w:color w:val="000000"/>
                <w:kern w:val="0"/>
                <w:sz w:val="24"/>
                <w:szCs w:val="24"/>
                <w:u w:val="none" w:color="auto"/>
                <w:lang w:val="en-US" w:eastAsia="zh-CN" w:bidi="ar"/>
              </w:rPr>
              <w:t>浓度，mg/L</w:t>
            </w:r>
            <w:r>
              <w:rPr>
                <w:rFonts w:hint="default" w:ascii="Times New Roman" w:hAnsi="Times New Roman" w:eastAsia="宋体" w:cs="Times New Roman"/>
                <w:bCs/>
                <w:color w:val="000000"/>
                <w:sz w:val="24"/>
                <w:szCs w:val="24"/>
                <w:u w:val="none" w:color="auto"/>
              </w:rPr>
              <w:t>；</w:t>
            </w:r>
          </w:p>
          <w:p w14:paraId="7F569B3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rPr>
              <w:t>C</w:t>
            </w:r>
            <w:r>
              <w:rPr>
                <w:rFonts w:hint="eastAsia" w:cs="Times New Roman"/>
                <w:bCs/>
                <w:color w:val="000000"/>
                <w:sz w:val="24"/>
                <w:szCs w:val="24"/>
                <w:u w:val="none" w:color="auto"/>
                <w:vertAlign w:val="subscript"/>
                <w:lang w:val="en-US" w:eastAsia="zh-CN"/>
              </w:rPr>
              <w:t>h</w:t>
            </w:r>
            <w:r>
              <w:rPr>
                <w:rFonts w:hint="default" w:ascii="Times New Roman" w:hAnsi="Times New Roman" w:eastAsia="宋体" w:cs="Times New Roman"/>
                <w:bCs/>
                <w:color w:val="000000"/>
                <w:sz w:val="24"/>
                <w:szCs w:val="24"/>
                <w:u w:val="none" w:color="auto"/>
              </w:rPr>
              <w:t>－</w:t>
            </w:r>
            <w:r>
              <w:rPr>
                <w:rFonts w:hint="eastAsia" w:cs="Times New Roman"/>
                <w:bCs/>
                <w:color w:val="000000"/>
                <w:sz w:val="24"/>
                <w:szCs w:val="24"/>
                <w:u w:val="none" w:color="auto"/>
                <w:lang w:val="en-US" w:eastAsia="zh-CN"/>
              </w:rPr>
              <w:t>河流上游</w:t>
            </w:r>
            <w:r>
              <w:rPr>
                <w:rFonts w:hint="default" w:ascii="Times New Roman" w:hAnsi="Times New Roman" w:eastAsia="宋体" w:cs="Times New Roman"/>
                <w:bCs/>
                <w:color w:val="000000"/>
                <w:sz w:val="24"/>
                <w:szCs w:val="24"/>
                <w:u w:val="none" w:color="auto"/>
              </w:rPr>
              <w:t>污染物浓度</w:t>
            </w:r>
            <w:r>
              <w:rPr>
                <w:rFonts w:hint="eastAsia" w:cs="Times New Roman"/>
                <w:bCs/>
                <w:color w:val="000000"/>
                <w:sz w:val="24"/>
                <w:szCs w:val="24"/>
                <w:u w:val="none" w:color="auto"/>
                <w:lang w:eastAsia="zh-CN"/>
              </w:rPr>
              <w:t>（</w:t>
            </w:r>
            <w:r>
              <w:rPr>
                <w:rFonts w:hint="default" w:ascii="Times New Roman" w:hAnsi="Times New Roman" w:eastAsia="宋体" w:cs="Times New Roman"/>
                <w:bCs/>
                <w:color w:val="000000"/>
                <w:sz w:val="24"/>
                <w:szCs w:val="24"/>
                <w:u w:val="none" w:color="auto"/>
              </w:rPr>
              <w:t>mg/L</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w:t>
            </w:r>
          </w:p>
          <w:p w14:paraId="6B55C47E">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bCs/>
                <w:color w:val="000000"/>
                <w:sz w:val="24"/>
                <w:szCs w:val="24"/>
                <w:u w:val="none" w:color="auto"/>
                <w:lang w:val="en-US" w:eastAsia="zh-CN"/>
              </w:rPr>
              <w:t>H—</w:t>
            </w:r>
            <w:r>
              <w:rPr>
                <w:rFonts w:hint="default" w:ascii="Times New Roman" w:hAnsi="Times New Roman" w:eastAsia="宋体" w:cs="Times New Roman"/>
                <w:color w:val="000000"/>
                <w:kern w:val="0"/>
                <w:sz w:val="24"/>
                <w:szCs w:val="24"/>
                <w:u w:val="none" w:color="auto"/>
                <w:lang w:val="en-US" w:eastAsia="zh-CN" w:bidi="ar"/>
              </w:rPr>
              <w:t>平均水深，m；</w:t>
            </w:r>
          </w:p>
          <w:p w14:paraId="20E4D96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lang w:val="en-US" w:eastAsia="zh-CN"/>
              </w:rPr>
              <w:t>x</w:t>
            </w:r>
            <w:r>
              <w:rPr>
                <w:rFonts w:hint="default" w:ascii="Times New Roman" w:hAnsi="Times New Roman" w:eastAsia="宋体" w:cs="Times New Roman"/>
                <w:bCs/>
                <w:color w:val="000000"/>
                <w:sz w:val="24"/>
                <w:szCs w:val="24"/>
                <w:u w:val="none" w:color="auto"/>
              </w:rPr>
              <w:t xml:space="preserve"> — 排污口至预测断面距离</w:t>
            </w:r>
            <w:r>
              <w:rPr>
                <w:rFonts w:hint="eastAsia" w:cs="Times New Roman"/>
                <w:bCs/>
                <w:color w:val="000000"/>
                <w:sz w:val="24"/>
                <w:szCs w:val="24"/>
                <w:u w:val="none" w:color="auto"/>
                <w:lang w:eastAsia="zh-CN"/>
              </w:rPr>
              <w:t>（</w:t>
            </w:r>
            <w:r>
              <w:rPr>
                <w:rFonts w:hint="default" w:ascii="Times New Roman" w:hAnsi="Times New Roman" w:eastAsia="宋体" w:cs="Times New Roman"/>
                <w:bCs/>
                <w:color w:val="000000"/>
                <w:sz w:val="24"/>
                <w:szCs w:val="24"/>
                <w:u w:val="none" w:color="auto"/>
              </w:rPr>
              <w:t>m</w:t>
            </w:r>
            <w:r>
              <w:rPr>
                <w:rFonts w:hint="default" w:ascii="Times New Roman" w:hAnsi="Times New Roman" w:eastAsia="宋体" w:cs="Times New Roman"/>
                <w:bCs/>
                <w:color w:val="000000"/>
                <w:sz w:val="24"/>
                <w:szCs w:val="24"/>
                <w:highlight w:val="none"/>
                <w:u w:val="none" w:color="auto"/>
              </w:rPr>
              <w:t>)</w:t>
            </w:r>
            <w:r>
              <w:rPr>
                <w:rFonts w:hint="default" w:ascii="Times New Roman" w:hAnsi="Times New Roman" w:eastAsia="宋体" w:cs="Times New Roman"/>
                <w:bCs/>
                <w:color w:val="000000"/>
                <w:sz w:val="24"/>
                <w:szCs w:val="24"/>
                <w:u w:val="none" w:color="auto"/>
              </w:rPr>
              <w:t>；</w:t>
            </w:r>
          </w:p>
          <w:p w14:paraId="46D0C13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rPr>
              <w:t xml:space="preserve">u — </w:t>
            </w:r>
            <w:r>
              <w:rPr>
                <w:rFonts w:hint="eastAsia" w:cs="Times New Roman"/>
                <w:bCs/>
                <w:color w:val="000000"/>
                <w:sz w:val="24"/>
                <w:szCs w:val="24"/>
                <w:u w:val="none" w:color="auto"/>
                <w:lang w:val="en-US" w:eastAsia="zh-CN"/>
              </w:rPr>
              <w:t>设计流量下河断面</w:t>
            </w:r>
            <w:r>
              <w:rPr>
                <w:rFonts w:hint="default" w:ascii="Times New Roman" w:hAnsi="Times New Roman" w:eastAsia="宋体" w:cs="Times New Roman"/>
                <w:bCs/>
                <w:color w:val="000000"/>
                <w:sz w:val="24"/>
                <w:szCs w:val="24"/>
                <w:u w:val="none" w:color="auto"/>
              </w:rPr>
              <w:t>平均流速，m/s；</w:t>
            </w:r>
          </w:p>
          <w:p w14:paraId="21A1F67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lang w:val="en-US" w:eastAsia="zh-CN"/>
              </w:rPr>
            </w:pPr>
            <w:r>
              <w:rPr>
                <w:rFonts w:hint="eastAsia" w:cs="Times New Roman"/>
                <w:bCs/>
                <w:color w:val="000000"/>
                <w:sz w:val="24"/>
                <w:szCs w:val="24"/>
                <w:u w:val="none" w:color="auto"/>
                <w:lang w:val="en-US" w:eastAsia="zh-CN"/>
              </w:rPr>
              <w:t>y</w:t>
            </w:r>
            <w:r>
              <w:rPr>
                <w:rFonts w:hint="default" w:ascii="Times New Roman" w:hAnsi="Times New Roman" w:eastAsia="宋体" w:cs="Times New Roman"/>
                <w:bCs/>
                <w:color w:val="000000"/>
                <w:sz w:val="24"/>
                <w:szCs w:val="24"/>
                <w:u w:val="none" w:color="auto"/>
              </w:rPr>
              <w:t xml:space="preserve"> — 预测点与岸边的距离，m；</w:t>
            </w:r>
          </w:p>
          <w:p w14:paraId="28298CD0">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bCs/>
                <w:color w:val="000000"/>
                <w:sz w:val="24"/>
                <w:szCs w:val="24"/>
                <w:u w:val="none" w:color="auto"/>
              </w:rPr>
            </w:pPr>
            <w:r>
              <w:rPr>
                <w:rFonts w:hint="default" w:ascii="Times New Roman" w:hAnsi="Times New Roman" w:eastAsia="宋体" w:cs="Times New Roman"/>
                <w:bCs/>
                <w:color w:val="000000"/>
                <w:sz w:val="24"/>
                <w:szCs w:val="24"/>
                <w:u w:val="none" w:color="auto"/>
                <w:lang w:val="en-US" w:eastAsia="zh-CN"/>
              </w:rPr>
              <w:t>E</w:t>
            </w:r>
            <w:r>
              <w:rPr>
                <w:rFonts w:hint="default" w:ascii="Times New Roman" w:hAnsi="Times New Roman" w:eastAsia="宋体" w:cs="Times New Roman"/>
                <w:bCs/>
                <w:color w:val="000000"/>
                <w:sz w:val="24"/>
                <w:szCs w:val="24"/>
                <w:u w:val="none" w:color="auto"/>
                <w:vertAlign w:val="subscript"/>
              </w:rPr>
              <w:t>y</w:t>
            </w:r>
            <w:r>
              <w:rPr>
                <w:rFonts w:hint="default" w:ascii="Times New Roman" w:hAnsi="Times New Roman" w:eastAsia="宋体" w:cs="Times New Roman"/>
                <w:bCs/>
                <w:color w:val="000000"/>
                <w:sz w:val="24"/>
                <w:szCs w:val="24"/>
                <w:u w:val="none" w:color="auto"/>
              </w:rPr>
              <w:t xml:space="preserve">— </w:t>
            </w:r>
            <w:r>
              <w:rPr>
                <w:rFonts w:hint="default" w:ascii="Times New Roman" w:hAnsi="Times New Roman" w:eastAsia="宋体" w:cs="Times New Roman"/>
                <w:bCs/>
                <w:color w:val="000000"/>
                <w:sz w:val="24"/>
                <w:szCs w:val="24"/>
                <w:u w:val="none" w:color="auto"/>
                <w:lang w:val="en-US" w:eastAsia="zh-CN"/>
              </w:rPr>
              <w:t>污染物横向扩散系数，m</w:t>
            </w:r>
            <w:r>
              <w:rPr>
                <w:rFonts w:hint="default" w:ascii="Times New Roman" w:hAnsi="Times New Roman" w:eastAsia="宋体" w:cs="Times New Roman"/>
                <w:bCs/>
                <w:color w:val="000000"/>
                <w:sz w:val="24"/>
                <w:szCs w:val="24"/>
                <w:u w:val="none" w:color="auto"/>
                <w:vertAlign w:val="superscript"/>
                <w:lang w:val="en-US" w:eastAsia="zh-CN"/>
              </w:rPr>
              <w:t>2</w:t>
            </w:r>
            <w:r>
              <w:rPr>
                <w:rFonts w:hint="default" w:ascii="Times New Roman" w:hAnsi="Times New Roman" w:eastAsia="宋体" w:cs="Times New Roman"/>
                <w:bCs/>
                <w:color w:val="000000"/>
                <w:sz w:val="24"/>
                <w:szCs w:val="24"/>
                <w:u w:val="none" w:color="auto"/>
                <w:lang w:val="en-US" w:eastAsia="zh-CN"/>
              </w:rPr>
              <w:t>/s</w:t>
            </w:r>
            <w:r>
              <w:rPr>
                <w:rFonts w:hint="default" w:ascii="Times New Roman" w:hAnsi="Times New Roman" w:eastAsia="宋体" w:cs="Times New Roman"/>
                <w:bCs/>
                <w:color w:val="000000"/>
                <w:sz w:val="24"/>
                <w:szCs w:val="24"/>
                <w:u w:val="none" w:color="auto"/>
              </w:rPr>
              <w:t>；</w:t>
            </w:r>
          </w:p>
          <w:p w14:paraId="7E58B36C">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cs="Times New Roman"/>
                <w:color w:val="000000"/>
                <w:kern w:val="0"/>
                <w:sz w:val="24"/>
                <w:szCs w:val="24"/>
                <w:u w:val="none" w:color="auto"/>
                <w:vertAlign w:val="superscript"/>
                <w:lang w:val="en-US" w:eastAsia="zh-CN" w:bidi="ar"/>
              </w:rPr>
            </w:pPr>
            <w:r>
              <w:rPr>
                <w:rFonts w:hint="default" w:ascii="Times New Roman" w:hAnsi="Times New Roman" w:eastAsia="宋体" w:cs="Times New Roman"/>
                <w:i/>
                <w:iCs/>
                <w:color w:val="000000"/>
                <w:kern w:val="0"/>
                <w:sz w:val="24"/>
                <w:szCs w:val="24"/>
                <w:u w:val="none" w:color="auto"/>
                <w:lang w:val="en-US" w:eastAsia="zh-CN" w:bidi="ar"/>
              </w:rPr>
              <w:t xml:space="preserve">k </w:t>
            </w:r>
            <w:r>
              <w:rPr>
                <w:rFonts w:hint="default" w:ascii="Times New Roman" w:hAnsi="Times New Roman" w:eastAsia="宋体" w:cs="Times New Roman"/>
                <w:color w:val="000000"/>
                <w:kern w:val="0"/>
                <w:sz w:val="24"/>
                <w:szCs w:val="24"/>
                <w:u w:val="none" w:color="auto"/>
                <w:lang w:val="en-US" w:eastAsia="zh-CN" w:bidi="ar"/>
              </w:rPr>
              <w:t>——污染物综合衰减系数，s</w:t>
            </w:r>
            <w:r>
              <w:rPr>
                <w:rFonts w:hint="default" w:ascii="Times New Roman" w:hAnsi="Times New Roman" w:eastAsia="宋体" w:cs="Times New Roman"/>
                <w:color w:val="000000"/>
                <w:kern w:val="0"/>
                <w:sz w:val="24"/>
                <w:szCs w:val="24"/>
                <w:u w:val="none" w:color="auto"/>
                <w:vertAlign w:val="superscript"/>
                <w:lang w:val="en-US" w:eastAsia="zh-CN" w:bidi="ar"/>
              </w:rPr>
              <w:t xml:space="preserve"> −1</w:t>
            </w:r>
            <w:r>
              <w:rPr>
                <w:rFonts w:hint="eastAsia" w:cs="Times New Roman"/>
                <w:color w:val="000000"/>
                <w:kern w:val="0"/>
                <w:sz w:val="24"/>
                <w:szCs w:val="24"/>
                <w:u w:val="none" w:color="auto"/>
                <w:vertAlign w:val="superscript"/>
                <w:lang w:val="en-US" w:eastAsia="zh-CN" w:bidi="ar"/>
              </w:rPr>
              <w:t>；</w:t>
            </w:r>
          </w:p>
          <w:p w14:paraId="52EFCD2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none" w:color="auto"/>
                <w:lang w:val="en-US" w:eastAsia="zh-CN"/>
              </w:rPr>
            </w:pPr>
            <w:r>
              <w:rPr>
                <w:rFonts w:hint="eastAsia" w:ascii="Times New Roman" w:hAnsi="Times New Roman" w:eastAsia="宋体" w:cs="Times New Roman"/>
                <w:bCs/>
                <w:color w:val="000000"/>
                <w:sz w:val="24"/>
                <w:szCs w:val="24"/>
                <w:u w:val="none" w:color="auto"/>
                <w:lang w:val="en-US" w:eastAsia="zh-CN"/>
              </w:rPr>
              <w:t>m—污染物入河速率。</w:t>
            </w:r>
          </w:p>
          <w:p w14:paraId="36FFA8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eastAsia" w:ascii="Times New Roman" w:hAnsi="Times New Roman" w:eastAsia="宋体" w:cs="Times New Roman"/>
                <w:color w:val="auto"/>
                <w:kern w:val="0"/>
                <w:sz w:val="24"/>
                <w:szCs w:val="24"/>
                <w:u w:val="none" w:color="auto"/>
                <w:lang w:val="en-US" w:eastAsia="zh-CN" w:bidi="ar"/>
              </w:rPr>
              <w:t>根据前述分析，</w:t>
            </w:r>
            <w:r>
              <w:rPr>
                <w:rFonts w:hint="default" w:ascii="Times New Roman" w:hAnsi="Times New Roman" w:eastAsia="宋体" w:cs="Times New Roman"/>
                <w:color w:val="auto"/>
                <w:kern w:val="0"/>
                <w:sz w:val="24"/>
                <w:szCs w:val="24"/>
                <w:u w:val="none" w:color="auto"/>
                <w:lang w:val="en-US" w:eastAsia="zh-CN" w:bidi="ar"/>
              </w:rPr>
              <w:t>CODcr</w:t>
            </w: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NH</w:t>
            </w:r>
            <w:r>
              <w:rPr>
                <w:rFonts w:hint="default" w:ascii="Times New Roman" w:hAnsi="Times New Roman" w:eastAsia="宋体" w:cs="Times New Roman"/>
                <w:color w:val="auto"/>
                <w:kern w:val="0"/>
                <w:sz w:val="24"/>
                <w:szCs w:val="24"/>
                <w:u w:val="none" w:color="auto"/>
                <w:vertAlign w:val="subscript"/>
                <w:lang w:val="en-US" w:eastAsia="zh-CN" w:bidi="ar"/>
              </w:rPr>
              <w:t>3</w:t>
            </w:r>
            <w:r>
              <w:rPr>
                <w:rFonts w:hint="default" w:ascii="Times New Roman" w:hAnsi="Times New Roman" w:eastAsia="宋体" w:cs="Times New Roman"/>
                <w:color w:val="auto"/>
                <w:kern w:val="0"/>
                <w:sz w:val="24"/>
                <w:szCs w:val="24"/>
                <w:u w:val="none" w:color="auto"/>
                <w:lang w:val="en-US" w:eastAsia="zh-CN" w:bidi="ar"/>
              </w:rPr>
              <w:t>-N</w:t>
            </w:r>
            <w:r>
              <w:rPr>
                <w:rFonts w:hint="eastAsia" w:ascii="Times New Roman" w:hAnsi="Times New Roman" w:eastAsia="宋体" w:cs="Times New Roman"/>
                <w:color w:val="auto"/>
                <w:kern w:val="0"/>
                <w:sz w:val="24"/>
                <w:szCs w:val="24"/>
                <w:u w:val="none" w:color="auto"/>
                <w:lang w:val="en-US" w:eastAsia="zh-CN" w:bidi="ar"/>
              </w:rPr>
              <w:t>初始值取最高值，</w:t>
            </w:r>
            <w:r>
              <w:rPr>
                <w:rFonts w:hint="default" w:ascii="Times New Roman" w:hAnsi="Times New Roman" w:eastAsia="宋体" w:cs="Times New Roman"/>
                <w:color w:val="auto"/>
                <w:kern w:val="0"/>
                <w:sz w:val="24"/>
                <w:szCs w:val="24"/>
                <w:u w:val="none" w:color="auto"/>
                <w:lang w:val="en-US" w:eastAsia="zh-CN" w:bidi="ar"/>
              </w:rPr>
              <w:t xml:space="preserve">CODcr </w:t>
            </w:r>
            <w:r>
              <w:rPr>
                <w:rFonts w:hint="eastAsia" w:ascii="Times New Roman" w:hAnsi="Times New Roman" w:eastAsia="宋体" w:cs="Times New Roman"/>
                <w:color w:val="auto"/>
                <w:kern w:val="0"/>
                <w:sz w:val="24"/>
                <w:szCs w:val="24"/>
                <w:u w:val="none" w:color="auto"/>
                <w:lang w:val="en-US" w:eastAsia="zh-CN" w:bidi="ar"/>
              </w:rPr>
              <w:t>初始值</w:t>
            </w:r>
            <w:r>
              <w:rPr>
                <w:rFonts w:hint="eastAsia" w:cs="Times New Roman"/>
                <w:color w:val="auto"/>
                <w:kern w:val="0"/>
                <w:sz w:val="24"/>
                <w:szCs w:val="24"/>
                <w:u w:val="none" w:color="auto"/>
                <w:lang w:val="en-US" w:eastAsia="zh-CN" w:bidi="ar"/>
              </w:rPr>
              <w:t>6</w:t>
            </w:r>
            <w:r>
              <w:rPr>
                <w:rFonts w:hint="default" w:ascii="Times New Roman" w:hAnsi="Times New Roman" w:eastAsia="宋体" w:cs="Times New Roman"/>
                <w:color w:val="auto"/>
                <w:kern w:val="0"/>
                <w:sz w:val="24"/>
                <w:szCs w:val="24"/>
                <w:u w:val="none" w:color="auto"/>
                <w:lang w:val="en-US" w:eastAsia="zh-CN" w:bidi="ar"/>
              </w:rPr>
              <w:t>mg/L</w:t>
            </w: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NH</w:t>
            </w:r>
            <w:r>
              <w:rPr>
                <w:rFonts w:hint="default" w:ascii="Times New Roman" w:hAnsi="Times New Roman" w:eastAsia="宋体" w:cs="Times New Roman"/>
                <w:color w:val="auto"/>
                <w:kern w:val="0"/>
                <w:sz w:val="24"/>
                <w:szCs w:val="24"/>
                <w:u w:val="none" w:color="auto"/>
                <w:vertAlign w:val="subscript"/>
                <w:lang w:val="en-US" w:eastAsia="zh-CN" w:bidi="ar"/>
              </w:rPr>
              <w:t>3</w:t>
            </w:r>
            <w:r>
              <w:rPr>
                <w:rFonts w:hint="default" w:ascii="Times New Roman" w:hAnsi="Times New Roman" w:eastAsia="宋体" w:cs="Times New Roman"/>
                <w:color w:val="auto"/>
                <w:kern w:val="0"/>
                <w:sz w:val="24"/>
                <w:szCs w:val="24"/>
                <w:u w:val="none" w:color="auto"/>
                <w:lang w:val="en-US" w:eastAsia="zh-CN" w:bidi="ar"/>
              </w:rPr>
              <w:t xml:space="preserve">-N </w:t>
            </w:r>
            <w:r>
              <w:rPr>
                <w:rFonts w:hint="eastAsia" w:ascii="Times New Roman" w:hAnsi="Times New Roman" w:eastAsia="宋体" w:cs="Times New Roman"/>
                <w:color w:val="auto"/>
                <w:kern w:val="0"/>
                <w:sz w:val="24"/>
                <w:szCs w:val="24"/>
                <w:u w:val="none" w:color="auto"/>
                <w:lang w:val="en-US" w:eastAsia="zh-CN" w:bidi="ar"/>
              </w:rPr>
              <w:t>初始值0.</w:t>
            </w:r>
            <w:r>
              <w:rPr>
                <w:rFonts w:hint="eastAsia" w:cs="Times New Roman"/>
                <w:color w:val="auto"/>
                <w:kern w:val="0"/>
                <w:sz w:val="24"/>
                <w:szCs w:val="24"/>
                <w:u w:val="none" w:color="auto"/>
                <w:lang w:val="en-US" w:eastAsia="zh-CN" w:bidi="ar"/>
              </w:rPr>
              <w:t>04</w:t>
            </w:r>
            <w:r>
              <w:rPr>
                <w:rFonts w:hint="default" w:ascii="Times New Roman" w:hAnsi="Times New Roman" w:eastAsia="宋体" w:cs="Times New Roman"/>
                <w:color w:val="auto"/>
                <w:kern w:val="0"/>
                <w:sz w:val="24"/>
                <w:szCs w:val="24"/>
                <w:u w:val="none" w:color="auto"/>
                <w:lang w:val="en-US" w:eastAsia="zh-CN" w:bidi="ar"/>
              </w:rPr>
              <w:t>mg/L</w:t>
            </w:r>
            <w:r>
              <w:rPr>
                <w:rFonts w:hint="eastAsia" w:ascii="Times New Roman" w:hAnsi="Times New Roman" w:eastAsia="宋体" w:cs="Times New Roman"/>
                <w:color w:val="auto"/>
                <w:kern w:val="0"/>
                <w:sz w:val="24"/>
                <w:szCs w:val="24"/>
                <w:u w:val="none" w:color="auto"/>
                <w:lang w:val="en-US" w:eastAsia="zh-CN" w:bidi="ar"/>
              </w:rPr>
              <w:t xml:space="preserve">。 </w:t>
            </w:r>
          </w:p>
          <w:p w14:paraId="0D5359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入河排污口所在水功能区水质目标为地表水</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000000"/>
                <w:kern w:val="0"/>
                <w:sz w:val="24"/>
                <w:szCs w:val="24"/>
                <w:u w:val="none" w:color="auto"/>
                <w:lang w:val="en-US" w:eastAsia="zh-CN" w:bidi="ar"/>
              </w:rPr>
              <w:t>类标准，</w:t>
            </w:r>
            <w:r>
              <w:rPr>
                <w:rFonts w:hint="default" w:ascii="Times New Roman" w:hAnsi="Times New Roman" w:eastAsia="宋体" w:cs="Times New Roman"/>
                <w:color w:val="000000"/>
                <w:kern w:val="0"/>
                <w:sz w:val="24"/>
                <w:szCs w:val="24"/>
                <w:u w:val="none" w:color="auto"/>
                <w:lang w:val="en-US" w:eastAsia="zh-CN" w:bidi="ar"/>
              </w:rPr>
              <w:t>CODcr</w:t>
            </w:r>
            <w:r>
              <w:rPr>
                <w:rFonts w:hint="eastAsia" w:ascii="Times New Roman" w:hAnsi="Times New Roman" w:eastAsia="宋体" w:cs="Times New Roman"/>
                <w:color w:val="000000"/>
                <w:kern w:val="0"/>
                <w:sz w:val="24"/>
                <w:szCs w:val="24"/>
                <w:u w:val="none" w:color="auto"/>
                <w:lang w:val="en-US" w:eastAsia="zh-CN" w:bidi="ar"/>
              </w:rPr>
              <w:t>水质目标</w:t>
            </w:r>
            <w:r>
              <w:rPr>
                <w:rFonts w:hint="eastAsia" w:cs="Times New Roman"/>
                <w:color w:val="000000"/>
                <w:kern w:val="0"/>
                <w:sz w:val="24"/>
                <w:szCs w:val="24"/>
                <w:u w:val="none" w:color="auto"/>
                <w:lang w:val="en-US" w:eastAsia="zh-CN" w:bidi="ar"/>
              </w:rPr>
              <w:t>20</w:t>
            </w:r>
            <w:r>
              <w:rPr>
                <w:rFonts w:hint="default" w:ascii="Times New Roman" w:hAnsi="Times New Roman" w:eastAsia="宋体" w:cs="Times New Roman"/>
                <w:color w:val="000000"/>
                <w:kern w:val="0"/>
                <w:sz w:val="24"/>
                <w:szCs w:val="24"/>
                <w:u w:val="none" w:color="auto"/>
                <w:lang w:val="en-US" w:eastAsia="zh-CN" w:bidi="ar"/>
              </w:rPr>
              <w:t>mg/L</w:t>
            </w:r>
            <w:r>
              <w:rPr>
                <w:rFonts w:hint="eastAsia" w:ascii="Times New Roman" w:hAnsi="Times New Roman" w:eastAsia="宋体"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-N</w:t>
            </w:r>
            <w:r>
              <w:rPr>
                <w:rFonts w:hint="eastAsia" w:ascii="Times New Roman" w:hAnsi="Times New Roman" w:eastAsia="宋体" w:cs="Times New Roman"/>
                <w:color w:val="000000"/>
                <w:kern w:val="0"/>
                <w:sz w:val="24"/>
                <w:szCs w:val="24"/>
                <w:u w:val="none" w:color="auto"/>
                <w:lang w:val="en-US" w:eastAsia="zh-CN" w:bidi="ar"/>
              </w:rPr>
              <w:t>水质目标</w:t>
            </w:r>
            <w:r>
              <w:rPr>
                <w:rFonts w:hint="eastAsia" w:cs="Times New Roman"/>
                <w:color w:val="000000"/>
                <w:kern w:val="0"/>
                <w:sz w:val="24"/>
                <w:szCs w:val="24"/>
                <w:u w:val="none" w:color="auto"/>
                <w:lang w:val="en-US" w:eastAsia="zh-CN" w:bidi="ar"/>
              </w:rPr>
              <w:t>1</w:t>
            </w:r>
            <w:r>
              <w:rPr>
                <w:rFonts w:hint="default" w:ascii="Times New Roman" w:hAnsi="Times New Roman" w:eastAsia="宋体" w:cs="Times New Roman"/>
                <w:color w:val="000000"/>
                <w:kern w:val="0"/>
                <w:sz w:val="24"/>
                <w:szCs w:val="24"/>
                <w:u w:val="none" w:color="auto"/>
                <w:lang w:val="en-US" w:eastAsia="zh-CN" w:bidi="ar"/>
              </w:rPr>
              <w:t>mg/L</w:t>
            </w:r>
            <w:r>
              <w:rPr>
                <w:rFonts w:hint="eastAsia" w:ascii="Times New Roman" w:hAnsi="Times New Roman" w:eastAsia="宋体" w:cs="Times New Roman"/>
                <w:color w:val="000000"/>
                <w:kern w:val="0"/>
                <w:sz w:val="24"/>
                <w:szCs w:val="24"/>
                <w:u w:val="none" w:color="auto"/>
                <w:lang w:val="en-US" w:eastAsia="zh-CN" w:bidi="ar"/>
              </w:rPr>
              <w:t>。</w:t>
            </w:r>
            <w:r>
              <w:rPr>
                <w:rFonts w:hint="eastAsia" w:ascii="Times New Roman" w:hAnsi="宋体" w:eastAsia="宋体" w:cs="宋体"/>
                <w:bCs/>
                <w:sz w:val="24"/>
                <w:szCs w:val="24"/>
                <w:u w:val="none" w:color="auto"/>
                <w:lang w:val="en-US" w:eastAsia="zh-CN"/>
              </w:rPr>
              <w:t>参照《浅谈河流污染物综合衰减系数的确定方法》（刘洪燕，能源与环境科学）我国河流NH</w:t>
            </w:r>
            <w:r>
              <w:rPr>
                <w:rFonts w:hint="eastAsia" w:ascii="Times New Roman" w:hAnsi="宋体" w:eastAsia="宋体" w:cs="宋体"/>
                <w:bCs/>
                <w:sz w:val="24"/>
                <w:szCs w:val="24"/>
                <w:u w:val="none" w:color="auto"/>
                <w:vertAlign w:val="subscript"/>
                <w:lang w:val="en-US" w:eastAsia="zh-CN"/>
              </w:rPr>
              <w:t>3</w:t>
            </w:r>
            <w:r>
              <w:rPr>
                <w:rFonts w:hint="eastAsia" w:ascii="Times New Roman" w:hAnsi="宋体" w:eastAsia="宋体" w:cs="宋体"/>
                <w:bCs/>
                <w:sz w:val="24"/>
                <w:szCs w:val="24"/>
                <w:u w:val="none" w:color="auto"/>
                <w:lang w:val="en-US" w:eastAsia="zh-CN"/>
              </w:rPr>
              <w:t>-N的综合衰减系数为0.105-0.350d</w:t>
            </w:r>
            <w:r>
              <w:rPr>
                <w:rFonts w:hint="eastAsia" w:ascii="Times New Roman" w:hAnsi="宋体" w:eastAsia="宋体" w:cs="宋体"/>
                <w:bCs/>
                <w:sz w:val="24"/>
                <w:szCs w:val="24"/>
                <w:u w:val="none" w:color="auto"/>
                <w:vertAlign w:val="superscript"/>
                <w:lang w:val="en-US" w:eastAsia="zh-CN"/>
              </w:rPr>
              <w:t>-1</w:t>
            </w:r>
            <w:r>
              <w:rPr>
                <w:rFonts w:hint="eastAsia" w:ascii="Times New Roman" w:hAnsi="宋体" w:eastAsia="宋体" w:cs="宋体"/>
                <w:bCs/>
                <w:sz w:val="24"/>
                <w:szCs w:val="24"/>
                <w:u w:val="none" w:color="auto"/>
                <w:lang w:val="en-US" w:eastAsia="zh-CN"/>
              </w:rPr>
              <w:t>、COD 的综合衰减系数为0.009~0.470d</w:t>
            </w:r>
            <w:r>
              <w:rPr>
                <w:rFonts w:hint="eastAsia" w:ascii="Times New Roman" w:hAnsi="宋体" w:eastAsia="宋体" w:cs="宋体"/>
                <w:bCs/>
                <w:sz w:val="24"/>
                <w:szCs w:val="24"/>
                <w:u w:val="none" w:color="auto"/>
                <w:vertAlign w:val="superscript"/>
                <w:lang w:val="en-US" w:eastAsia="zh-CN"/>
              </w:rPr>
              <w:t>-1</w:t>
            </w:r>
            <w:r>
              <w:rPr>
                <w:rFonts w:hint="eastAsia" w:ascii="Times New Roman" w:hAnsi="宋体" w:eastAsia="宋体" w:cs="宋体"/>
                <w:bCs/>
                <w:sz w:val="24"/>
                <w:szCs w:val="24"/>
                <w:u w:val="none" w:color="auto"/>
                <w:lang w:val="en-US" w:eastAsia="zh-CN"/>
              </w:rPr>
              <w:t>。本环评氨氮和COD综合衰减系数分别取0.228d</w:t>
            </w:r>
            <w:r>
              <w:rPr>
                <w:rFonts w:hint="eastAsia" w:ascii="Times New Roman" w:hAnsi="宋体" w:eastAsia="宋体" w:cs="宋体"/>
                <w:bCs/>
                <w:sz w:val="24"/>
                <w:szCs w:val="24"/>
                <w:u w:val="none" w:color="auto"/>
                <w:vertAlign w:val="superscript"/>
                <w:lang w:val="en-US" w:eastAsia="zh-CN"/>
              </w:rPr>
              <w:t>-1</w:t>
            </w:r>
            <w:r>
              <w:rPr>
                <w:rFonts w:hint="eastAsia" w:ascii="Times New Roman" w:hAnsi="宋体" w:eastAsia="宋体" w:cs="宋体"/>
                <w:bCs/>
                <w:sz w:val="24"/>
                <w:szCs w:val="24"/>
                <w:u w:val="none" w:color="auto"/>
                <w:vertAlign w:val="baseline"/>
                <w:lang w:val="en-US" w:eastAsia="zh-CN"/>
              </w:rPr>
              <w:t>、</w:t>
            </w:r>
            <w:r>
              <w:rPr>
                <w:rFonts w:hint="eastAsia" w:ascii="Times New Roman" w:hAnsi="宋体" w:eastAsia="宋体" w:cs="宋体"/>
                <w:bCs/>
                <w:sz w:val="24"/>
                <w:szCs w:val="24"/>
                <w:u w:val="none" w:color="auto"/>
                <w:lang w:val="en-US" w:eastAsia="zh-CN"/>
              </w:rPr>
              <w:t>0.240d</w:t>
            </w:r>
            <w:r>
              <w:rPr>
                <w:rFonts w:hint="eastAsia" w:ascii="Times New Roman" w:hAnsi="宋体" w:eastAsia="宋体" w:cs="宋体"/>
                <w:bCs/>
                <w:sz w:val="24"/>
                <w:szCs w:val="24"/>
                <w:u w:val="none" w:color="auto"/>
                <w:vertAlign w:val="superscript"/>
                <w:lang w:val="en-US" w:eastAsia="zh-CN"/>
              </w:rPr>
              <w:t>-1</w:t>
            </w:r>
          </w:p>
          <w:p w14:paraId="365FFE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（5）预测结果分析</w:t>
            </w:r>
          </w:p>
          <w:p w14:paraId="7ADB3F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废水排放对洣水的影响预测结果见</w:t>
            </w:r>
            <w:r>
              <w:rPr>
                <w:rFonts w:hint="eastAsia" w:ascii="Times New Roman" w:hAnsi="Times New Roman" w:cs="Times New Roman"/>
                <w:color w:val="000000"/>
                <w:kern w:val="0"/>
                <w:sz w:val="24"/>
                <w:szCs w:val="24"/>
                <w:u w:val="none" w:color="auto"/>
                <w:lang w:val="en-US" w:eastAsia="zh-CN" w:bidi="ar"/>
              </w:rPr>
              <w:t>下</w:t>
            </w:r>
            <w:r>
              <w:rPr>
                <w:rFonts w:hint="default" w:ascii="Times New Roman" w:hAnsi="Times New Roman" w:eastAsia="宋体" w:cs="Times New Roman"/>
                <w:color w:val="000000"/>
                <w:kern w:val="0"/>
                <w:sz w:val="24"/>
                <w:szCs w:val="24"/>
                <w:u w:val="none" w:color="auto"/>
                <w:lang w:val="en-US" w:eastAsia="zh-CN" w:bidi="ar"/>
              </w:rPr>
              <w:t>表。</w:t>
            </w:r>
          </w:p>
          <w:p w14:paraId="06144748">
            <w:pPr>
              <w:keepNext w:val="0"/>
              <w:keepLines w:val="0"/>
              <w:widowControl/>
              <w:suppressLineNumbers w:val="0"/>
              <w:jc w:val="center"/>
              <w:rPr>
                <w:rFonts w:hint="eastAsia" w:ascii="Times New Roman" w:hAnsi="Times New Roman" w:eastAsia="宋体" w:cs="Times New Roman"/>
                <w:b/>
                <w:bCs/>
                <w:color w:val="000000"/>
                <w:kern w:val="0"/>
                <w:sz w:val="21"/>
                <w:szCs w:val="21"/>
                <w:u w:val="none" w:color="auto"/>
                <w:lang w:val="en-US" w:eastAsia="zh-CN" w:bidi="ar"/>
              </w:rPr>
            </w:pPr>
          </w:p>
          <w:p w14:paraId="1B264FE6">
            <w:pPr>
              <w:keepNext w:val="0"/>
              <w:keepLines w:val="0"/>
              <w:widowControl/>
              <w:suppressLineNumbers w:val="0"/>
              <w:jc w:val="center"/>
              <w:rPr>
                <w:rFonts w:hint="default" w:ascii="Times New Roman" w:hAnsi="Times New Roman" w:eastAsia="宋体" w:cs="Times New Roman"/>
                <w:b/>
                <w:bCs/>
                <w:color w:val="000000"/>
                <w:kern w:val="0"/>
                <w:sz w:val="21"/>
                <w:szCs w:val="21"/>
                <w:u w:val="none" w:color="auto"/>
                <w:lang w:val="en-US" w:eastAsia="zh-CN" w:bidi="ar"/>
              </w:rPr>
            </w:pPr>
            <w:r>
              <w:rPr>
                <w:rFonts w:hint="eastAsia" w:ascii="Times New Roman" w:hAnsi="Times New Roman" w:eastAsia="宋体" w:cs="Times New Roman"/>
                <w:b/>
                <w:bCs/>
                <w:color w:val="000000"/>
                <w:kern w:val="0"/>
                <w:sz w:val="21"/>
                <w:szCs w:val="21"/>
                <w:u w:val="none" w:color="auto"/>
                <w:lang w:val="en-US" w:eastAsia="zh-CN" w:bidi="ar"/>
              </w:rPr>
              <w:t>表5-</w:t>
            </w:r>
            <w:r>
              <w:rPr>
                <w:rFonts w:hint="eastAsia" w:ascii="Times New Roman" w:hAnsi="Times New Roman" w:cs="Times New Roman"/>
                <w:b/>
                <w:bCs/>
                <w:color w:val="000000"/>
                <w:kern w:val="0"/>
                <w:sz w:val="21"/>
                <w:szCs w:val="21"/>
                <w:u w:val="none" w:color="auto"/>
                <w:lang w:val="en-US" w:eastAsia="zh-CN" w:bidi="ar"/>
              </w:rPr>
              <w:t>7</w:t>
            </w:r>
            <w:r>
              <w:rPr>
                <w:rFonts w:hint="eastAsia" w:ascii="Times New Roman" w:hAnsi="Times New Roman" w:eastAsia="宋体" w:cs="Times New Roman"/>
                <w:b/>
                <w:bCs/>
                <w:color w:val="000000"/>
                <w:kern w:val="0"/>
                <w:sz w:val="21"/>
                <w:szCs w:val="21"/>
                <w:u w:val="none" w:color="auto"/>
                <w:lang w:val="en-US" w:eastAsia="zh-CN" w:bidi="ar"/>
              </w:rPr>
              <w:t xml:space="preserve">  废水正常排放洣水各污染因子预测结果一览表</w:t>
            </w:r>
            <w:r>
              <w:rPr>
                <w:rFonts w:hint="eastAsia" w:ascii="宋体" w:hAnsi="宋体" w:eastAsia="宋体" w:cs="宋体"/>
                <w:b/>
                <w:bCs/>
                <w:color w:val="000000"/>
                <w:kern w:val="0"/>
                <w:sz w:val="21"/>
                <w:szCs w:val="21"/>
                <w:u w:val="none" w:color="auto"/>
                <w:lang w:val="en-US" w:eastAsia="zh-CN" w:bidi="ar"/>
              </w:rPr>
              <w:t>（单位：</w:t>
            </w:r>
            <w:r>
              <w:rPr>
                <w:rFonts w:hint="default" w:ascii="Times New Roman" w:hAnsi="Times New Roman" w:eastAsia="宋体" w:cs="Times New Roman"/>
                <w:b/>
                <w:bCs/>
                <w:color w:val="000000"/>
                <w:kern w:val="0"/>
                <w:sz w:val="21"/>
                <w:szCs w:val="21"/>
                <w:u w:val="none" w:color="auto"/>
                <w:lang w:val="en-US" w:eastAsia="zh-CN" w:bidi="ar"/>
              </w:rPr>
              <w:t>mg/L</w:t>
            </w:r>
            <w:r>
              <w:rPr>
                <w:rFonts w:hint="eastAsia" w:ascii="宋体" w:hAnsi="宋体" w:eastAsia="宋体" w:cs="宋体"/>
                <w:b/>
                <w:bCs/>
                <w:color w:val="000000"/>
                <w:kern w:val="0"/>
                <w:sz w:val="21"/>
                <w:szCs w:val="21"/>
                <w:u w:val="none" w:color="auto"/>
                <w:lang w:val="en-US" w:eastAsia="zh-CN" w:bidi="ar"/>
              </w:rPr>
              <w:t>，</w:t>
            </w:r>
            <w:r>
              <w:rPr>
                <w:rFonts w:hint="default" w:ascii="Times New Roman" w:hAnsi="Times New Roman" w:eastAsia="宋体" w:cs="Times New Roman"/>
                <w:b/>
                <w:bCs/>
                <w:color w:val="000000"/>
                <w:kern w:val="0"/>
                <w:sz w:val="21"/>
                <w:szCs w:val="21"/>
                <w:u w:val="none" w:color="auto"/>
                <w:lang w:val="en-US" w:eastAsia="zh-CN" w:bidi="ar"/>
              </w:rPr>
              <w:t>X,Y:m</w:t>
            </w:r>
            <w:r>
              <w:rPr>
                <w:rFonts w:hint="eastAsia" w:ascii="宋体" w:hAnsi="宋体" w:eastAsia="宋体" w:cs="宋体"/>
                <w:b/>
                <w:bCs/>
                <w:color w:val="000000"/>
                <w:kern w:val="0"/>
                <w:sz w:val="21"/>
                <w:szCs w:val="21"/>
                <w:u w:val="none" w:color="auto"/>
                <w:lang w:val="en-US" w:eastAsia="zh-CN" w:bidi="ar"/>
              </w:rPr>
              <w:t xml:space="preserve"> </w:t>
            </w:r>
            <w:r>
              <w:rPr>
                <w:rFonts w:hint="eastAsia" w:ascii="Times New Roman" w:hAnsi="Times New Roman" w:eastAsia="宋体" w:cs="Times New Roman"/>
                <w:b/>
                <w:bCs/>
                <w:color w:val="000000"/>
                <w:kern w:val="0"/>
                <w:sz w:val="21"/>
                <w:szCs w:val="21"/>
                <w:u w:val="none" w:color="auto"/>
                <w:lang w:val="en-US" w:eastAsia="zh-CN" w:bidi="ar"/>
              </w:rPr>
              <w:t>）</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57"/>
              <w:gridCol w:w="771"/>
              <w:gridCol w:w="772"/>
              <w:gridCol w:w="772"/>
              <w:gridCol w:w="772"/>
              <w:gridCol w:w="772"/>
              <w:gridCol w:w="772"/>
              <w:gridCol w:w="772"/>
              <w:gridCol w:w="772"/>
              <w:gridCol w:w="772"/>
              <w:gridCol w:w="772"/>
            </w:tblGrid>
            <w:tr w14:paraId="4A6124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vMerge w:val="restart"/>
                  <w:tcBorders>
                    <w:tl2br w:val="nil"/>
                    <w:tr2bl w:val="nil"/>
                  </w:tcBorders>
                  <w:noWrap w:val="0"/>
                  <w:vAlign w:val="top"/>
                </w:tcPr>
                <w:p w14:paraId="2EE883DC">
                  <w:pPr>
                    <w:keepNext w:val="0"/>
                    <w:keepLines w:val="0"/>
                    <w:pageBreakBefore w:val="0"/>
                    <w:tabs>
                      <w:tab w:val="left" w:pos="814"/>
                    </w:tabs>
                    <w:kinsoku/>
                    <w:wordWrap/>
                    <w:overflowPunct/>
                    <w:bidi w:val="0"/>
                    <w:spacing w:line="240" w:lineRule="auto"/>
                    <w:ind w:right="270"/>
                    <w:jc w:val="right"/>
                    <w:outlineLvl w:val="9"/>
                    <w:rPr>
                      <w:rFonts w:hint="default" w:ascii="Times New Roman" w:hAnsi="Times New Roman" w:eastAsia="宋体" w:cs="Times New Roman"/>
                      <w:b/>
                      <w:color w:val="auto"/>
                      <w:sz w:val="18"/>
                      <w:szCs w:val="18"/>
                      <w:u w:val="none" w:color="auto"/>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1312" behindDoc="0" locked="0" layoutInCell="1" allowOverlap="1">
                            <wp:simplePos x="0" y="0"/>
                            <wp:positionH relativeFrom="column">
                              <wp:posOffset>-76835</wp:posOffset>
                            </wp:positionH>
                            <wp:positionV relativeFrom="paragraph">
                              <wp:posOffset>1905</wp:posOffset>
                            </wp:positionV>
                            <wp:extent cx="364490" cy="541020"/>
                            <wp:effectExtent l="5080" t="3810" r="11430" b="13970"/>
                            <wp:wrapNone/>
                            <wp:docPr id="15" name="直接连接符 15"/>
                            <wp:cNvGraphicFramePr/>
                            <a:graphic xmlns:a="http://schemas.openxmlformats.org/drawingml/2006/main">
                              <a:graphicData uri="http://schemas.microsoft.com/office/word/2010/wordprocessingShape">
                                <wps:wsp>
                                  <wps:cNvCnPr/>
                                  <wps:spPr>
                                    <a:xfrm>
                                      <a:off x="0" y="0"/>
                                      <a:ext cx="364490" cy="5410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5pt;margin-top:0.15pt;height:42.6pt;width:28.7pt;z-index:251661312;mso-width-relative:page;mso-height-relative:page;" filled="f" stroked="t" coordsize="21600,21600" o:gfxdata="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B3o3VAAAABgEAAA8AAAAAAAAAAQAgAAAAIgAAAGRycy9kb3ducmV2Lnht&#10;bFBLAQIUABQAAAAIAIdO4kCWraxk/AEAAOoDAAAOAAAAAAAAAAEAIAAAACQBAABkcnMvZTJvRG9j&#10;LnhtbFBLBQYAAAAABgAGAFkBAACSBQAAAAA=&#10;">
                            <v:fill on="f" focussize="0,0"/>
                            <v:stroke color="#000000" joinstyle="round"/>
                            <v:imagedata o:title=""/>
                            <o:lock v:ext="edit" aspectratio="f"/>
                          </v:line>
                        </w:pict>
                      </mc:Fallback>
                    </mc:AlternateContent>
                  </w:r>
                  <w:r>
                    <w:rPr>
                      <w:rFonts w:hint="default" w:ascii="Times New Roman" w:hAnsi="Times New Roman" w:eastAsia="宋体" w:cs="Times New Roman"/>
                      <w:b/>
                      <w:color w:val="auto"/>
                      <w:sz w:val="18"/>
                      <w:szCs w:val="18"/>
                      <w:u w:val="none" w:color="auto"/>
                      <w:lang w:val="en-US" w:eastAsia="zh-CN"/>
                    </w:rPr>
                    <w:t>y</w:t>
                  </w:r>
                </w:p>
                <w:p w14:paraId="590E8908">
                  <w:pPr>
                    <w:keepNext w:val="0"/>
                    <w:keepLines w:val="0"/>
                    <w:pageBreakBefore w:val="0"/>
                    <w:kinsoku/>
                    <w:wordWrap/>
                    <w:overflowPunct/>
                    <w:bidi w:val="0"/>
                    <w:spacing w:line="240" w:lineRule="auto"/>
                    <w:outlineLvl w:val="9"/>
                    <w:rPr>
                      <w:rFonts w:hint="default" w:ascii="Times New Roman" w:hAnsi="Times New Roman" w:eastAsia="宋体" w:cs="Times New Roman"/>
                      <w:b/>
                      <w:color w:val="auto"/>
                      <w:sz w:val="18"/>
                      <w:szCs w:val="18"/>
                      <w:u w:val="none" w:color="auto"/>
                      <w:lang w:eastAsia="zh-CN"/>
                    </w:rPr>
                  </w:pPr>
                  <w:r>
                    <w:rPr>
                      <w:rFonts w:hint="default" w:ascii="Times New Roman" w:hAnsi="Times New Roman" w:eastAsia="宋体" w:cs="Times New Roman"/>
                      <w:b/>
                      <w:color w:val="auto"/>
                      <w:sz w:val="18"/>
                      <w:szCs w:val="18"/>
                      <w:u w:val="none" w:color="auto"/>
                      <w:lang w:val="en-US" w:eastAsia="zh-CN"/>
                    </w:rPr>
                    <w:t>x</w:t>
                  </w:r>
                </w:p>
              </w:tc>
              <w:tc>
                <w:tcPr>
                  <w:tcW w:w="7563" w:type="dxa"/>
                  <w:gridSpan w:val="10"/>
                  <w:tcBorders>
                    <w:tl2br w:val="nil"/>
                    <w:tr2bl w:val="nil"/>
                  </w:tcBorders>
                  <w:noWrap w:val="0"/>
                  <w:vAlign w:val="center"/>
                </w:tcPr>
                <w:p w14:paraId="33F1C401">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CODcr</w:t>
                  </w:r>
                </w:p>
              </w:tc>
            </w:tr>
            <w:tr w14:paraId="4D684D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vMerge w:val="continue"/>
                  <w:tcBorders>
                    <w:tl2br w:val="nil"/>
                    <w:tr2bl w:val="nil"/>
                  </w:tcBorders>
                  <w:noWrap w:val="0"/>
                  <w:vAlign w:val="center"/>
                </w:tcPr>
                <w:p w14:paraId="55D19682">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rPr>
                  </w:pPr>
                </w:p>
              </w:tc>
              <w:tc>
                <w:tcPr>
                  <w:tcW w:w="756" w:type="dxa"/>
                  <w:tcBorders>
                    <w:tl2br w:val="nil"/>
                    <w:tr2bl w:val="nil"/>
                  </w:tcBorders>
                  <w:noWrap w:val="0"/>
                  <w:vAlign w:val="center"/>
                </w:tcPr>
                <w:p w14:paraId="781A8DAA">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w:t>
                  </w:r>
                </w:p>
              </w:tc>
              <w:tc>
                <w:tcPr>
                  <w:tcW w:w="756" w:type="dxa"/>
                  <w:tcBorders>
                    <w:tl2br w:val="nil"/>
                    <w:tr2bl w:val="nil"/>
                  </w:tcBorders>
                  <w:noWrap w:val="0"/>
                  <w:vAlign w:val="center"/>
                </w:tcPr>
                <w:p w14:paraId="4DB1FA9F">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w:t>
                  </w:r>
                </w:p>
              </w:tc>
              <w:tc>
                <w:tcPr>
                  <w:tcW w:w="756" w:type="dxa"/>
                  <w:tcBorders>
                    <w:tl2br w:val="nil"/>
                    <w:tr2bl w:val="nil"/>
                  </w:tcBorders>
                  <w:noWrap w:val="0"/>
                  <w:vAlign w:val="center"/>
                </w:tcPr>
                <w:p w14:paraId="22098BA1">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5</w:t>
                  </w:r>
                </w:p>
              </w:tc>
              <w:tc>
                <w:tcPr>
                  <w:tcW w:w="756" w:type="dxa"/>
                  <w:tcBorders>
                    <w:tl2br w:val="nil"/>
                    <w:tr2bl w:val="nil"/>
                  </w:tcBorders>
                  <w:noWrap w:val="0"/>
                  <w:vAlign w:val="center"/>
                </w:tcPr>
                <w:p w14:paraId="063EB186">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w:t>
                  </w:r>
                </w:p>
              </w:tc>
              <w:tc>
                <w:tcPr>
                  <w:tcW w:w="756" w:type="dxa"/>
                  <w:tcBorders>
                    <w:tl2br w:val="nil"/>
                    <w:tr2bl w:val="nil"/>
                  </w:tcBorders>
                  <w:noWrap w:val="0"/>
                  <w:vAlign w:val="center"/>
                </w:tcPr>
                <w:p w14:paraId="306A630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15</w:t>
                  </w:r>
                </w:p>
              </w:tc>
              <w:tc>
                <w:tcPr>
                  <w:tcW w:w="756" w:type="dxa"/>
                  <w:tcBorders>
                    <w:tl2br w:val="nil"/>
                    <w:tr2bl w:val="nil"/>
                  </w:tcBorders>
                  <w:noWrap w:val="0"/>
                  <w:vAlign w:val="center"/>
                </w:tcPr>
                <w:p w14:paraId="70B415F8">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20</w:t>
                  </w:r>
                </w:p>
              </w:tc>
              <w:tc>
                <w:tcPr>
                  <w:tcW w:w="756" w:type="dxa"/>
                  <w:tcBorders>
                    <w:tl2br w:val="nil"/>
                    <w:tr2bl w:val="nil"/>
                  </w:tcBorders>
                  <w:noWrap w:val="0"/>
                  <w:vAlign w:val="center"/>
                </w:tcPr>
                <w:p w14:paraId="174DC35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30</w:t>
                  </w:r>
                </w:p>
              </w:tc>
              <w:tc>
                <w:tcPr>
                  <w:tcW w:w="757" w:type="dxa"/>
                  <w:tcBorders>
                    <w:tl2br w:val="nil"/>
                    <w:tr2bl w:val="nil"/>
                  </w:tcBorders>
                  <w:noWrap w:val="0"/>
                  <w:vAlign w:val="center"/>
                </w:tcPr>
                <w:p w14:paraId="0A91F55F">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40</w:t>
                  </w:r>
                </w:p>
              </w:tc>
              <w:tc>
                <w:tcPr>
                  <w:tcW w:w="757" w:type="dxa"/>
                  <w:tcBorders>
                    <w:tl2br w:val="nil"/>
                    <w:tr2bl w:val="nil"/>
                  </w:tcBorders>
                  <w:noWrap w:val="0"/>
                  <w:vAlign w:val="center"/>
                </w:tcPr>
                <w:p w14:paraId="4A6C4CF7">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80</w:t>
                  </w:r>
                </w:p>
              </w:tc>
              <w:tc>
                <w:tcPr>
                  <w:tcW w:w="757" w:type="dxa"/>
                  <w:tcBorders>
                    <w:tl2br w:val="nil"/>
                    <w:tr2bl w:val="nil"/>
                  </w:tcBorders>
                  <w:noWrap w:val="0"/>
                  <w:vAlign w:val="center"/>
                </w:tcPr>
                <w:p w14:paraId="367F12A1">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100</w:t>
                  </w:r>
                </w:p>
              </w:tc>
            </w:tr>
            <w:tr w14:paraId="3205FD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F50B3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56" w:type="dxa"/>
                  <w:tcBorders>
                    <w:tl2br w:val="nil"/>
                    <w:tr2bl w:val="nil"/>
                  </w:tcBorders>
                  <w:noWrap w:val="0"/>
                  <w:vAlign w:val="center"/>
                </w:tcPr>
                <w:p w14:paraId="4A43F1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6.00066 </w:t>
                  </w:r>
                </w:p>
              </w:tc>
              <w:tc>
                <w:tcPr>
                  <w:tcW w:w="756" w:type="dxa"/>
                  <w:tcBorders>
                    <w:tl2br w:val="nil"/>
                    <w:tr2bl w:val="nil"/>
                  </w:tcBorders>
                  <w:noWrap w:val="0"/>
                  <w:vAlign w:val="center"/>
                </w:tcPr>
                <w:p w14:paraId="3E65F7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6.00065 </w:t>
                  </w:r>
                </w:p>
              </w:tc>
              <w:tc>
                <w:tcPr>
                  <w:tcW w:w="756" w:type="dxa"/>
                  <w:tcBorders>
                    <w:tl2br w:val="nil"/>
                    <w:tr2bl w:val="nil"/>
                  </w:tcBorders>
                  <w:noWrap w:val="0"/>
                  <w:vAlign w:val="center"/>
                </w:tcPr>
                <w:p w14:paraId="280D9B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6.00061 </w:t>
                  </w:r>
                </w:p>
              </w:tc>
              <w:tc>
                <w:tcPr>
                  <w:tcW w:w="756" w:type="dxa"/>
                  <w:tcBorders>
                    <w:tl2br w:val="nil"/>
                    <w:tr2bl w:val="nil"/>
                  </w:tcBorders>
                  <w:noWrap w:val="0"/>
                  <w:vAlign w:val="center"/>
                </w:tcPr>
                <w:p w14:paraId="18C423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6.00047 </w:t>
                  </w:r>
                </w:p>
              </w:tc>
              <w:tc>
                <w:tcPr>
                  <w:tcW w:w="756" w:type="dxa"/>
                  <w:tcBorders>
                    <w:tl2br w:val="nil"/>
                    <w:tr2bl w:val="nil"/>
                  </w:tcBorders>
                  <w:noWrap w:val="0"/>
                  <w:vAlign w:val="center"/>
                </w:tcPr>
                <w:p w14:paraId="709629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6.00031 </w:t>
                  </w:r>
                </w:p>
              </w:tc>
              <w:tc>
                <w:tcPr>
                  <w:tcW w:w="756" w:type="dxa"/>
                  <w:tcBorders>
                    <w:tl2br w:val="nil"/>
                    <w:tr2bl w:val="nil"/>
                  </w:tcBorders>
                  <w:noWrap w:val="0"/>
                  <w:vAlign w:val="center"/>
                </w:tcPr>
                <w:p w14:paraId="4BF159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6.00017 </w:t>
                  </w:r>
                </w:p>
              </w:tc>
              <w:tc>
                <w:tcPr>
                  <w:tcW w:w="756" w:type="dxa"/>
                  <w:tcBorders>
                    <w:tl2br w:val="nil"/>
                    <w:tr2bl w:val="nil"/>
                  </w:tcBorders>
                  <w:noWrap w:val="0"/>
                  <w:vAlign w:val="center"/>
                </w:tcPr>
                <w:p w14:paraId="3516A4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284974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67206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7CDD9D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032E18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1E18B0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56" w:type="dxa"/>
                  <w:tcBorders>
                    <w:tl2br w:val="nil"/>
                    <w:tr2bl w:val="nil"/>
                  </w:tcBorders>
                  <w:noWrap w:val="0"/>
                  <w:vAlign w:val="center"/>
                </w:tcPr>
                <w:p w14:paraId="4E85E2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6.00054 </w:t>
                  </w:r>
                </w:p>
              </w:tc>
              <w:tc>
                <w:tcPr>
                  <w:tcW w:w="756" w:type="dxa"/>
                  <w:tcBorders>
                    <w:tl2br w:val="nil"/>
                    <w:tr2bl w:val="nil"/>
                  </w:tcBorders>
                  <w:noWrap w:val="0"/>
                  <w:vAlign w:val="center"/>
                </w:tcPr>
                <w:p w14:paraId="29F79A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6.00053 </w:t>
                  </w:r>
                </w:p>
              </w:tc>
              <w:tc>
                <w:tcPr>
                  <w:tcW w:w="756" w:type="dxa"/>
                  <w:tcBorders>
                    <w:tl2br w:val="nil"/>
                    <w:tr2bl w:val="nil"/>
                  </w:tcBorders>
                  <w:noWrap w:val="0"/>
                  <w:vAlign w:val="center"/>
                </w:tcPr>
                <w:p w14:paraId="03ED02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6.00051 </w:t>
                  </w:r>
                </w:p>
              </w:tc>
              <w:tc>
                <w:tcPr>
                  <w:tcW w:w="756" w:type="dxa"/>
                  <w:tcBorders>
                    <w:tl2br w:val="nil"/>
                    <w:tr2bl w:val="nil"/>
                  </w:tcBorders>
                  <w:noWrap w:val="0"/>
                  <w:vAlign w:val="center"/>
                </w:tcPr>
                <w:p w14:paraId="7DD371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6.00043 </w:t>
                  </w:r>
                </w:p>
              </w:tc>
              <w:tc>
                <w:tcPr>
                  <w:tcW w:w="756" w:type="dxa"/>
                  <w:tcBorders>
                    <w:tl2br w:val="nil"/>
                    <w:tr2bl w:val="nil"/>
                  </w:tcBorders>
                  <w:noWrap w:val="0"/>
                  <w:vAlign w:val="center"/>
                </w:tcPr>
                <w:p w14:paraId="49C3B2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6.00032 </w:t>
                  </w:r>
                </w:p>
              </w:tc>
              <w:tc>
                <w:tcPr>
                  <w:tcW w:w="756" w:type="dxa"/>
                  <w:tcBorders>
                    <w:tl2br w:val="nil"/>
                    <w:tr2bl w:val="nil"/>
                  </w:tcBorders>
                  <w:noWrap w:val="0"/>
                  <w:vAlign w:val="center"/>
                </w:tcPr>
                <w:p w14:paraId="787006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6.00022 </w:t>
                  </w:r>
                </w:p>
              </w:tc>
              <w:tc>
                <w:tcPr>
                  <w:tcW w:w="756" w:type="dxa"/>
                  <w:tcBorders>
                    <w:tl2br w:val="nil"/>
                    <w:tr2bl w:val="nil"/>
                  </w:tcBorders>
                  <w:noWrap w:val="0"/>
                  <w:vAlign w:val="center"/>
                </w:tcPr>
                <w:p w14:paraId="4FE942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6.00007 </w:t>
                  </w:r>
                </w:p>
              </w:tc>
              <w:tc>
                <w:tcPr>
                  <w:tcW w:w="757" w:type="dxa"/>
                  <w:tcBorders>
                    <w:tl2br w:val="nil"/>
                    <w:tr2bl w:val="nil"/>
                  </w:tcBorders>
                  <w:noWrap w:val="0"/>
                  <w:vAlign w:val="center"/>
                </w:tcPr>
                <w:p w14:paraId="1C4ACD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c>
                <w:tcPr>
                  <w:tcW w:w="757" w:type="dxa"/>
                  <w:tcBorders>
                    <w:tl2br w:val="nil"/>
                    <w:tr2bl w:val="nil"/>
                  </w:tcBorders>
                  <w:noWrap w:val="0"/>
                  <w:vAlign w:val="center"/>
                </w:tcPr>
                <w:p w14:paraId="31F46A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489398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221BF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C8428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56" w:type="dxa"/>
                  <w:tcBorders>
                    <w:tl2br w:val="nil"/>
                    <w:tr2bl w:val="nil"/>
                  </w:tcBorders>
                  <w:noWrap w:val="0"/>
                  <w:vAlign w:val="center"/>
                </w:tcPr>
                <w:p w14:paraId="0DBC87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6.00047 </w:t>
                  </w:r>
                </w:p>
              </w:tc>
              <w:tc>
                <w:tcPr>
                  <w:tcW w:w="756" w:type="dxa"/>
                  <w:tcBorders>
                    <w:tl2br w:val="nil"/>
                    <w:tr2bl w:val="nil"/>
                  </w:tcBorders>
                  <w:noWrap w:val="0"/>
                  <w:vAlign w:val="center"/>
                </w:tcPr>
                <w:p w14:paraId="138939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6.00046 </w:t>
                  </w:r>
                </w:p>
              </w:tc>
              <w:tc>
                <w:tcPr>
                  <w:tcW w:w="756" w:type="dxa"/>
                  <w:tcBorders>
                    <w:tl2br w:val="nil"/>
                    <w:tr2bl w:val="nil"/>
                  </w:tcBorders>
                  <w:noWrap w:val="0"/>
                  <w:vAlign w:val="center"/>
                </w:tcPr>
                <w:p w14:paraId="2AA03D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6.00045 </w:t>
                  </w:r>
                </w:p>
              </w:tc>
              <w:tc>
                <w:tcPr>
                  <w:tcW w:w="756" w:type="dxa"/>
                  <w:tcBorders>
                    <w:tl2br w:val="nil"/>
                    <w:tr2bl w:val="nil"/>
                  </w:tcBorders>
                  <w:noWrap w:val="0"/>
                  <w:vAlign w:val="center"/>
                </w:tcPr>
                <w:p w14:paraId="5847AE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6.00039 </w:t>
                  </w:r>
                </w:p>
              </w:tc>
              <w:tc>
                <w:tcPr>
                  <w:tcW w:w="756" w:type="dxa"/>
                  <w:tcBorders>
                    <w:tl2br w:val="nil"/>
                    <w:tr2bl w:val="nil"/>
                  </w:tcBorders>
                  <w:noWrap w:val="0"/>
                  <w:vAlign w:val="center"/>
                </w:tcPr>
                <w:p w14:paraId="437C82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6.00032 </w:t>
                  </w:r>
                </w:p>
              </w:tc>
              <w:tc>
                <w:tcPr>
                  <w:tcW w:w="756" w:type="dxa"/>
                  <w:tcBorders>
                    <w:tl2br w:val="nil"/>
                    <w:tr2bl w:val="nil"/>
                  </w:tcBorders>
                  <w:noWrap w:val="0"/>
                  <w:vAlign w:val="center"/>
                </w:tcPr>
                <w:p w14:paraId="3D8A01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332BFC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6.00010 </w:t>
                  </w:r>
                </w:p>
              </w:tc>
              <w:tc>
                <w:tcPr>
                  <w:tcW w:w="757" w:type="dxa"/>
                  <w:tcBorders>
                    <w:tl2br w:val="nil"/>
                    <w:tr2bl w:val="nil"/>
                  </w:tcBorders>
                  <w:noWrap w:val="0"/>
                  <w:vAlign w:val="center"/>
                </w:tcPr>
                <w:p w14:paraId="3262DC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6DCC6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0FE91E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28BFE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89F9E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56" w:type="dxa"/>
                  <w:tcBorders>
                    <w:tl2br w:val="nil"/>
                    <w:tr2bl w:val="nil"/>
                  </w:tcBorders>
                  <w:noWrap w:val="0"/>
                  <w:vAlign w:val="center"/>
                </w:tcPr>
                <w:p w14:paraId="3F194B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6.00038 </w:t>
                  </w:r>
                </w:p>
              </w:tc>
              <w:tc>
                <w:tcPr>
                  <w:tcW w:w="756" w:type="dxa"/>
                  <w:tcBorders>
                    <w:tl2br w:val="nil"/>
                    <w:tr2bl w:val="nil"/>
                  </w:tcBorders>
                  <w:noWrap w:val="0"/>
                  <w:vAlign w:val="center"/>
                </w:tcPr>
                <w:p w14:paraId="31493D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6.00038 </w:t>
                  </w:r>
                </w:p>
              </w:tc>
              <w:tc>
                <w:tcPr>
                  <w:tcW w:w="756" w:type="dxa"/>
                  <w:tcBorders>
                    <w:tl2br w:val="nil"/>
                    <w:tr2bl w:val="nil"/>
                  </w:tcBorders>
                  <w:noWrap w:val="0"/>
                  <w:vAlign w:val="center"/>
                </w:tcPr>
                <w:p w14:paraId="4C3A45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c>
                <w:tcPr>
                  <w:tcW w:w="756" w:type="dxa"/>
                  <w:tcBorders>
                    <w:tl2br w:val="nil"/>
                    <w:tr2bl w:val="nil"/>
                  </w:tcBorders>
                  <w:noWrap w:val="0"/>
                  <w:vAlign w:val="center"/>
                </w:tcPr>
                <w:p w14:paraId="0C7B7E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6.00034 </w:t>
                  </w:r>
                </w:p>
              </w:tc>
              <w:tc>
                <w:tcPr>
                  <w:tcW w:w="756" w:type="dxa"/>
                  <w:tcBorders>
                    <w:tl2br w:val="nil"/>
                    <w:tr2bl w:val="nil"/>
                  </w:tcBorders>
                  <w:noWrap w:val="0"/>
                  <w:vAlign w:val="center"/>
                </w:tcPr>
                <w:p w14:paraId="76D132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6.00030 </w:t>
                  </w:r>
                </w:p>
              </w:tc>
              <w:tc>
                <w:tcPr>
                  <w:tcW w:w="756" w:type="dxa"/>
                  <w:tcBorders>
                    <w:tl2br w:val="nil"/>
                    <w:tr2bl w:val="nil"/>
                  </w:tcBorders>
                  <w:noWrap w:val="0"/>
                  <w:vAlign w:val="center"/>
                </w:tcPr>
                <w:p w14:paraId="616E28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6.00024 </w:t>
                  </w:r>
                </w:p>
              </w:tc>
              <w:tc>
                <w:tcPr>
                  <w:tcW w:w="756" w:type="dxa"/>
                  <w:tcBorders>
                    <w:tl2br w:val="nil"/>
                    <w:tr2bl w:val="nil"/>
                  </w:tcBorders>
                  <w:noWrap w:val="0"/>
                  <w:vAlign w:val="center"/>
                </w:tcPr>
                <w:p w14:paraId="5BE999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6.00014 </w:t>
                  </w:r>
                </w:p>
              </w:tc>
              <w:tc>
                <w:tcPr>
                  <w:tcW w:w="757" w:type="dxa"/>
                  <w:tcBorders>
                    <w:tl2br w:val="nil"/>
                    <w:tr2bl w:val="nil"/>
                  </w:tcBorders>
                  <w:noWrap w:val="0"/>
                  <w:vAlign w:val="center"/>
                </w:tcPr>
                <w:p w14:paraId="5B9F87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7" w:type="dxa"/>
                  <w:tcBorders>
                    <w:tl2br w:val="nil"/>
                    <w:tr2bl w:val="nil"/>
                  </w:tcBorders>
                  <w:noWrap w:val="0"/>
                  <w:vAlign w:val="center"/>
                </w:tcPr>
                <w:p w14:paraId="714D3C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2D1E98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31302E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2B1308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56" w:type="dxa"/>
                  <w:tcBorders>
                    <w:tl2br w:val="nil"/>
                    <w:tr2bl w:val="nil"/>
                  </w:tcBorders>
                  <w:noWrap w:val="0"/>
                  <w:vAlign w:val="center"/>
                </w:tcPr>
                <w:p w14:paraId="060DB9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6.00029 </w:t>
                  </w:r>
                </w:p>
              </w:tc>
              <w:tc>
                <w:tcPr>
                  <w:tcW w:w="756" w:type="dxa"/>
                  <w:tcBorders>
                    <w:tl2br w:val="nil"/>
                    <w:tr2bl w:val="nil"/>
                  </w:tcBorders>
                  <w:noWrap w:val="0"/>
                  <w:vAlign w:val="center"/>
                </w:tcPr>
                <w:p w14:paraId="238415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6.00029 </w:t>
                  </w:r>
                </w:p>
              </w:tc>
              <w:tc>
                <w:tcPr>
                  <w:tcW w:w="756" w:type="dxa"/>
                  <w:tcBorders>
                    <w:tl2br w:val="nil"/>
                    <w:tr2bl w:val="nil"/>
                  </w:tcBorders>
                  <w:noWrap w:val="0"/>
                  <w:vAlign w:val="center"/>
                </w:tcPr>
                <w:p w14:paraId="22A267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6.00029 </w:t>
                  </w:r>
                </w:p>
              </w:tc>
              <w:tc>
                <w:tcPr>
                  <w:tcW w:w="756" w:type="dxa"/>
                  <w:tcBorders>
                    <w:tl2br w:val="nil"/>
                    <w:tr2bl w:val="nil"/>
                  </w:tcBorders>
                  <w:noWrap w:val="0"/>
                  <w:vAlign w:val="center"/>
                </w:tcPr>
                <w:p w14:paraId="6F1738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6.00027 </w:t>
                  </w:r>
                </w:p>
              </w:tc>
              <w:tc>
                <w:tcPr>
                  <w:tcW w:w="756" w:type="dxa"/>
                  <w:tcBorders>
                    <w:tl2br w:val="nil"/>
                    <w:tr2bl w:val="nil"/>
                  </w:tcBorders>
                  <w:noWrap w:val="0"/>
                  <w:vAlign w:val="center"/>
                </w:tcPr>
                <w:p w14:paraId="1DBF59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6.00025 </w:t>
                  </w:r>
                </w:p>
              </w:tc>
              <w:tc>
                <w:tcPr>
                  <w:tcW w:w="756" w:type="dxa"/>
                  <w:tcBorders>
                    <w:tl2br w:val="nil"/>
                    <w:tr2bl w:val="nil"/>
                  </w:tcBorders>
                  <w:noWrap w:val="0"/>
                  <w:vAlign w:val="center"/>
                </w:tcPr>
                <w:p w14:paraId="7E340D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6.00022 </w:t>
                  </w:r>
                </w:p>
              </w:tc>
              <w:tc>
                <w:tcPr>
                  <w:tcW w:w="756" w:type="dxa"/>
                  <w:tcBorders>
                    <w:tl2br w:val="nil"/>
                    <w:tr2bl w:val="nil"/>
                  </w:tcBorders>
                  <w:noWrap w:val="0"/>
                  <w:vAlign w:val="center"/>
                </w:tcPr>
                <w:p w14:paraId="7C8666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57" w:type="dxa"/>
                  <w:tcBorders>
                    <w:tl2br w:val="nil"/>
                    <w:tr2bl w:val="nil"/>
                  </w:tcBorders>
                  <w:noWrap w:val="0"/>
                  <w:vAlign w:val="center"/>
                </w:tcPr>
                <w:p w14:paraId="2DEF74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6.00010 </w:t>
                  </w:r>
                </w:p>
              </w:tc>
              <w:tc>
                <w:tcPr>
                  <w:tcW w:w="757" w:type="dxa"/>
                  <w:tcBorders>
                    <w:tl2br w:val="nil"/>
                    <w:tr2bl w:val="nil"/>
                  </w:tcBorders>
                  <w:noWrap w:val="0"/>
                  <w:vAlign w:val="center"/>
                </w:tcPr>
                <w:p w14:paraId="2E4D03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57" w:type="dxa"/>
                  <w:tcBorders>
                    <w:tl2br w:val="nil"/>
                    <w:tr2bl w:val="nil"/>
                  </w:tcBorders>
                  <w:noWrap w:val="0"/>
                  <w:vAlign w:val="center"/>
                </w:tcPr>
                <w:p w14:paraId="38012D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06AD11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7DF942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56" w:type="dxa"/>
                  <w:tcBorders>
                    <w:tl2br w:val="nil"/>
                    <w:tr2bl w:val="nil"/>
                  </w:tcBorders>
                  <w:noWrap w:val="0"/>
                  <w:vAlign w:val="center"/>
                </w:tcPr>
                <w:p w14:paraId="5CBFC6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6.00021 </w:t>
                  </w:r>
                </w:p>
              </w:tc>
              <w:tc>
                <w:tcPr>
                  <w:tcW w:w="756" w:type="dxa"/>
                  <w:tcBorders>
                    <w:tl2br w:val="nil"/>
                    <w:tr2bl w:val="nil"/>
                  </w:tcBorders>
                  <w:noWrap w:val="0"/>
                  <w:vAlign w:val="center"/>
                </w:tcPr>
                <w:p w14:paraId="6E1A77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6.00021 </w:t>
                  </w:r>
                </w:p>
              </w:tc>
              <w:tc>
                <w:tcPr>
                  <w:tcW w:w="756" w:type="dxa"/>
                  <w:tcBorders>
                    <w:tl2br w:val="nil"/>
                    <w:tr2bl w:val="nil"/>
                  </w:tcBorders>
                  <w:noWrap w:val="0"/>
                  <w:vAlign w:val="center"/>
                </w:tcPr>
                <w:p w14:paraId="56CDC5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6.00020 </w:t>
                  </w:r>
                </w:p>
              </w:tc>
              <w:tc>
                <w:tcPr>
                  <w:tcW w:w="756" w:type="dxa"/>
                  <w:tcBorders>
                    <w:tl2br w:val="nil"/>
                    <w:tr2bl w:val="nil"/>
                  </w:tcBorders>
                  <w:noWrap w:val="0"/>
                  <w:vAlign w:val="center"/>
                </w:tcPr>
                <w:p w14:paraId="1986D8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6.00020 </w:t>
                  </w:r>
                </w:p>
              </w:tc>
              <w:tc>
                <w:tcPr>
                  <w:tcW w:w="756" w:type="dxa"/>
                  <w:tcBorders>
                    <w:tl2br w:val="nil"/>
                    <w:tr2bl w:val="nil"/>
                  </w:tcBorders>
                  <w:noWrap w:val="0"/>
                  <w:vAlign w:val="center"/>
                </w:tcPr>
                <w:p w14:paraId="4A97D4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56" w:type="dxa"/>
                  <w:tcBorders>
                    <w:tl2br w:val="nil"/>
                    <w:tr2bl w:val="nil"/>
                  </w:tcBorders>
                  <w:noWrap w:val="0"/>
                  <w:vAlign w:val="center"/>
                </w:tcPr>
                <w:p w14:paraId="297D12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6.00018 </w:t>
                  </w:r>
                </w:p>
              </w:tc>
              <w:tc>
                <w:tcPr>
                  <w:tcW w:w="756" w:type="dxa"/>
                  <w:tcBorders>
                    <w:tl2br w:val="nil"/>
                    <w:tr2bl w:val="nil"/>
                  </w:tcBorders>
                  <w:noWrap w:val="0"/>
                  <w:vAlign w:val="center"/>
                </w:tcPr>
                <w:p w14:paraId="5C00097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6.00015 </w:t>
                  </w:r>
                </w:p>
              </w:tc>
              <w:tc>
                <w:tcPr>
                  <w:tcW w:w="757" w:type="dxa"/>
                  <w:tcBorders>
                    <w:tl2br w:val="nil"/>
                    <w:tr2bl w:val="nil"/>
                  </w:tcBorders>
                  <w:noWrap w:val="0"/>
                  <w:vAlign w:val="center"/>
                </w:tcPr>
                <w:p w14:paraId="21DB7C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6.00012 </w:t>
                  </w:r>
                </w:p>
              </w:tc>
              <w:tc>
                <w:tcPr>
                  <w:tcW w:w="757" w:type="dxa"/>
                  <w:tcBorders>
                    <w:tl2br w:val="nil"/>
                    <w:tr2bl w:val="nil"/>
                  </w:tcBorders>
                  <w:noWrap w:val="0"/>
                  <w:vAlign w:val="center"/>
                </w:tcPr>
                <w:p w14:paraId="0C8579A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57" w:type="dxa"/>
                  <w:tcBorders>
                    <w:tl2br w:val="nil"/>
                    <w:tr2bl w:val="nil"/>
                  </w:tcBorders>
                  <w:noWrap w:val="0"/>
                  <w:vAlign w:val="center"/>
                </w:tcPr>
                <w:p w14:paraId="5A66E5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6.00001 </w:t>
                  </w:r>
                </w:p>
              </w:tc>
            </w:tr>
            <w:tr w14:paraId="3F9551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5C82C2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56" w:type="dxa"/>
                  <w:tcBorders>
                    <w:tl2br w:val="nil"/>
                    <w:tr2bl w:val="nil"/>
                  </w:tcBorders>
                  <w:noWrap w:val="0"/>
                  <w:vAlign w:val="center"/>
                </w:tcPr>
                <w:p w14:paraId="134D9F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6" w:type="dxa"/>
                  <w:tcBorders>
                    <w:tl2br w:val="nil"/>
                    <w:tr2bl w:val="nil"/>
                  </w:tcBorders>
                  <w:noWrap w:val="0"/>
                  <w:vAlign w:val="center"/>
                </w:tcPr>
                <w:p w14:paraId="0E3E22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6" w:type="dxa"/>
                  <w:tcBorders>
                    <w:tl2br w:val="nil"/>
                    <w:tr2bl w:val="nil"/>
                  </w:tcBorders>
                  <w:noWrap w:val="0"/>
                  <w:vAlign w:val="center"/>
                </w:tcPr>
                <w:p w14:paraId="035AA1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6" w:type="dxa"/>
                  <w:tcBorders>
                    <w:tl2br w:val="nil"/>
                    <w:tr2bl w:val="nil"/>
                  </w:tcBorders>
                  <w:noWrap w:val="0"/>
                  <w:vAlign w:val="center"/>
                </w:tcPr>
                <w:p w14:paraId="67D261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6" w:type="dxa"/>
                  <w:tcBorders>
                    <w:tl2br w:val="nil"/>
                    <w:tr2bl w:val="nil"/>
                  </w:tcBorders>
                  <w:noWrap w:val="0"/>
                  <w:vAlign w:val="center"/>
                </w:tcPr>
                <w:p w14:paraId="4EAA3C8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6.00009 </w:t>
                  </w:r>
                </w:p>
              </w:tc>
              <w:tc>
                <w:tcPr>
                  <w:tcW w:w="756" w:type="dxa"/>
                  <w:tcBorders>
                    <w:tl2br w:val="nil"/>
                    <w:tr2bl w:val="nil"/>
                  </w:tcBorders>
                  <w:noWrap w:val="0"/>
                  <w:vAlign w:val="center"/>
                </w:tcPr>
                <w:p w14:paraId="7C2BDB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6" w:type="dxa"/>
                  <w:tcBorders>
                    <w:tl2br w:val="nil"/>
                    <w:tr2bl w:val="nil"/>
                  </w:tcBorders>
                  <w:noWrap w:val="0"/>
                  <w:vAlign w:val="center"/>
                </w:tcPr>
                <w:p w14:paraId="00B16B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7" w:type="dxa"/>
                  <w:tcBorders>
                    <w:tl2br w:val="nil"/>
                    <w:tr2bl w:val="nil"/>
                  </w:tcBorders>
                  <w:noWrap w:val="0"/>
                  <w:vAlign w:val="center"/>
                </w:tcPr>
                <w:p w14:paraId="7DA404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6.00008 </w:t>
                  </w:r>
                </w:p>
              </w:tc>
              <w:tc>
                <w:tcPr>
                  <w:tcW w:w="757" w:type="dxa"/>
                  <w:tcBorders>
                    <w:tl2br w:val="nil"/>
                    <w:tr2bl w:val="nil"/>
                  </w:tcBorders>
                  <w:noWrap w:val="0"/>
                  <w:vAlign w:val="center"/>
                </w:tcPr>
                <w:p w14:paraId="1216991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7" w:type="dxa"/>
                  <w:tcBorders>
                    <w:tl2br w:val="nil"/>
                    <w:tr2bl w:val="nil"/>
                  </w:tcBorders>
                  <w:noWrap w:val="0"/>
                  <w:vAlign w:val="center"/>
                </w:tcPr>
                <w:p w14:paraId="29E9DF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r>
            <w:tr w14:paraId="27B83D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34474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56" w:type="dxa"/>
                  <w:tcBorders>
                    <w:tl2br w:val="nil"/>
                    <w:tr2bl w:val="nil"/>
                  </w:tcBorders>
                  <w:noWrap w:val="0"/>
                  <w:vAlign w:val="center"/>
                </w:tcPr>
                <w:p w14:paraId="346906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6" w:type="dxa"/>
                  <w:tcBorders>
                    <w:tl2br w:val="nil"/>
                    <w:tr2bl w:val="nil"/>
                  </w:tcBorders>
                  <w:noWrap w:val="0"/>
                  <w:vAlign w:val="center"/>
                </w:tcPr>
                <w:p w14:paraId="3CA428B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6" w:type="dxa"/>
                  <w:tcBorders>
                    <w:tl2br w:val="nil"/>
                    <w:tr2bl w:val="nil"/>
                  </w:tcBorders>
                  <w:noWrap w:val="0"/>
                  <w:vAlign w:val="center"/>
                </w:tcPr>
                <w:p w14:paraId="7CC88B9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6" w:type="dxa"/>
                  <w:tcBorders>
                    <w:tl2br w:val="nil"/>
                    <w:tr2bl w:val="nil"/>
                  </w:tcBorders>
                  <w:noWrap w:val="0"/>
                  <w:vAlign w:val="center"/>
                </w:tcPr>
                <w:p w14:paraId="06DE18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6" w:type="dxa"/>
                  <w:tcBorders>
                    <w:tl2br w:val="nil"/>
                    <w:tr2bl w:val="nil"/>
                  </w:tcBorders>
                  <w:noWrap w:val="0"/>
                  <w:vAlign w:val="center"/>
                </w:tcPr>
                <w:p w14:paraId="22DC83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6" w:type="dxa"/>
                  <w:tcBorders>
                    <w:tl2br w:val="nil"/>
                    <w:tr2bl w:val="nil"/>
                  </w:tcBorders>
                  <w:noWrap w:val="0"/>
                  <w:vAlign w:val="center"/>
                </w:tcPr>
                <w:p w14:paraId="214759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6" w:type="dxa"/>
                  <w:tcBorders>
                    <w:tl2br w:val="nil"/>
                    <w:tr2bl w:val="nil"/>
                  </w:tcBorders>
                  <w:noWrap w:val="0"/>
                  <w:vAlign w:val="center"/>
                </w:tcPr>
                <w:p w14:paraId="7F879B7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7" w:type="dxa"/>
                  <w:tcBorders>
                    <w:tl2br w:val="nil"/>
                    <w:tr2bl w:val="nil"/>
                  </w:tcBorders>
                  <w:noWrap w:val="0"/>
                  <w:vAlign w:val="center"/>
                </w:tcPr>
                <w:p w14:paraId="5EDA61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7" w:type="dxa"/>
                  <w:tcBorders>
                    <w:tl2br w:val="nil"/>
                    <w:tr2bl w:val="nil"/>
                  </w:tcBorders>
                  <w:noWrap w:val="0"/>
                  <w:vAlign w:val="center"/>
                </w:tcPr>
                <w:p w14:paraId="5F60AA6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c>
                <w:tcPr>
                  <w:tcW w:w="757" w:type="dxa"/>
                  <w:tcBorders>
                    <w:tl2br w:val="nil"/>
                    <w:tr2bl w:val="nil"/>
                  </w:tcBorders>
                  <w:noWrap w:val="0"/>
                  <w:vAlign w:val="center"/>
                </w:tcPr>
                <w:p w14:paraId="0A76E8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6.00006 </w:t>
                  </w:r>
                </w:p>
              </w:tc>
            </w:tr>
            <w:tr w14:paraId="253B50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14:paraId="38C956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56" w:type="dxa"/>
                  <w:tcBorders>
                    <w:tl2br w:val="nil"/>
                    <w:tr2bl w:val="nil"/>
                  </w:tcBorders>
                  <w:noWrap w:val="0"/>
                  <w:vAlign w:val="center"/>
                </w:tcPr>
                <w:p w14:paraId="27F331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36D9B14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6C11D6B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761B8F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4A1F38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05BED3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6" w:type="dxa"/>
                  <w:tcBorders>
                    <w:tl2br w:val="nil"/>
                    <w:tr2bl w:val="nil"/>
                  </w:tcBorders>
                  <w:noWrap w:val="0"/>
                  <w:vAlign w:val="center"/>
                </w:tcPr>
                <w:p w14:paraId="16E742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7" w:type="dxa"/>
                  <w:tcBorders>
                    <w:tl2br w:val="nil"/>
                    <w:tr2bl w:val="nil"/>
                  </w:tcBorders>
                  <w:noWrap w:val="0"/>
                  <w:vAlign w:val="center"/>
                </w:tcPr>
                <w:p w14:paraId="7982CC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7" w:type="dxa"/>
                  <w:tcBorders>
                    <w:tl2br w:val="nil"/>
                    <w:tr2bl w:val="nil"/>
                  </w:tcBorders>
                  <w:noWrap w:val="0"/>
                  <w:vAlign w:val="center"/>
                </w:tcPr>
                <w:p w14:paraId="536202D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c>
                <w:tcPr>
                  <w:tcW w:w="757" w:type="dxa"/>
                  <w:tcBorders>
                    <w:tl2br w:val="nil"/>
                    <w:tr2bl w:val="nil"/>
                  </w:tcBorders>
                  <w:noWrap w:val="0"/>
                  <w:vAlign w:val="center"/>
                </w:tcPr>
                <w:p w14:paraId="644F044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r>
            <w:tr w14:paraId="0D69D3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202299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56" w:type="dxa"/>
                  <w:tcBorders>
                    <w:tl2br w:val="nil"/>
                    <w:tr2bl w:val="nil"/>
                  </w:tcBorders>
                  <w:noWrap w:val="0"/>
                  <w:vAlign w:val="center"/>
                </w:tcPr>
                <w:p w14:paraId="3CC182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2F7783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6FBBF6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015AD2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502844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1E1AE0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6" w:type="dxa"/>
                  <w:tcBorders>
                    <w:tl2br w:val="nil"/>
                    <w:tr2bl w:val="nil"/>
                  </w:tcBorders>
                  <w:noWrap w:val="0"/>
                  <w:vAlign w:val="center"/>
                </w:tcPr>
                <w:p w14:paraId="795FAF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115844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703034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57" w:type="dxa"/>
                  <w:tcBorders>
                    <w:tl2br w:val="nil"/>
                    <w:tr2bl w:val="nil"/>
                  </w:tcBorders>
                  <w:noWrap w:val="0"/>
                  <w:vAlign w:val="center"/>
                </w:tcPr>
                <w:p w14:paraId="745097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r>
            <w:tr w14:paraId="23AE7E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276" w:type="dxa"/>
                  <w:gridSpan w:val="11"/>
                  <w:tcBorders>
                    <w:tl2br w:val="nil"/>
                    <w:tr2bl w:val="nil"/>
                  </w:tcBorders>
                  <w:noWrap w:val="0"/>
                  <w:vAlign w:val="center"/>
                </w:tcPr>
                <w:p w14:paraId="6A5102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-N</w:t>
                  </w:r>
                </w:p>
              </w:tc>
            </w:tr>
            <w:tr w14:paraId="60A222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2E54F702">
                  <w:pPr>
                    <w:keepNext w:val="0"/>
                    <w:keepLines w:val="0"/>
                    <w:widowControl/>
                    <w:suppressLineNumbers w:val="0"/>
                    <w:jc w:val="center"/>
                    <w:textAlignment w:val="center"/>
                    <w:rPr>
                      <w:rFonts w:hint="eastAsia" w:ascii="Times New Roman" w:hAnsi="Times New Roman" w:eastAsia="宋体" w:cs="Times New Roman"/>
                      <w:color w:val="auto"/>
                      <w:sz w:val="18"/>
                      <w:szCs w:val="18"/>
                      <w:u w:val="none" w:color="auto"/>
                      <w:lang w:val="en-US" w:eastAsia="zh-CN"/>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2336" behindDoc="0" locked="0" layoutInCell="1" allowOverlap="1">
                            <wp:simplePos x="0" y="0"/>
                            <wp:positionH relativeFrom="column">
                              <wp:posOffset>-67310</wp:posOffset>
                            </wp:positionH>
                            <wp:positionV relativeFrom="paragraph">
                              <wp:posOffset>45085</wp:posOffset>
                            </wp:positionV>
                            <wp:extent cx="464185" cy="457835"/>
                            <wp:effectExtent l="3175" t="3175" r="8890" b="15240"/>
                            <wp:wrapNone/>
                            <wp:docPr id="19" name="直接连接符 19"/>
                            <wp:cNvGraphicFramePr/>
                            <a:graphic xmlns:a="http://schemas.openxmlformats.org/drawingml/2006/main">
                              <a:graphicData uri="http://schemas.microsoft.com/office/word/2010/wordprocessingShape">
                                <wps:wsp>
                                  <wps:cNvCnPr/>
                                  <wps:spPr>
                                    <a:xfrm>
                                      <a:off x="0" y="0"/>
                                      <a:ext cx="464185" cy="4578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pt;margin-top:3.55pt;height:36.05pt;width:36.55pt;z-index:251662336;mso-width-relative:page;mso-height-relative:page;" filled="f" stroked="t" coordsize="21600,21600" o:gfxdata="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9M+qLVAAAABwEAAA8AAAAAAAAAAQAgAAAAIgAAAGRycy9kb3ducmV2LnhtbFBL&#10;AQIUABQAAAAIAIdO4kAomkVz+QEAAOo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宋体" w:cs="Times New Roman"/>
                      <w:color w:val="auto"/>
                      <w:sz w:val="18"/>
                      <w:szCs w:val="18"/>
                      <w:u w:val="none" w:color="auto"/>
                      <w:lang w:val="en-US" w:eastAsia="zh-CN"/>
                    </w:rPr>
                    <w:t>Y</w:t>
                  </w:r>
                </w:p>
                <w:p w14:paraId="3B1DC6AB">
                  <w:pPr>
                    <w:pStyle w:val="6"/>
                    <w:rPr>
                      <w:rFonts w:hint="default"/>
                      <w:u w:val="none" w:color="auto"/>
                      <w:lang w:val="en-US" w:eastAsia="zh-CN"/>
                    </w:rPr>
                  </w:pPr>
                  <w:r>
                    <w:rPr>
                      <w:rFonts w:hint="eastAsia" w:ascii="Times New Roman" w:hAnsi="Times New Roman" w:eastAsia="宋体" w:cs="Times New Roman"/>
                      <w:color w:val="auto"/>
                      <w:sz w:val="18"/>
                      <w:szCs w:val="18"/>
                      <w:u w:val="none" w:color="auto"/>
                      <w:lang w:val="en-US" w:eastAsia="zh-CN"/>
                    </w:rPr>
                    <w:t>x</w:t>
                  </w:r>
                </w:p>
              </w:tc>
              <w:tc>
                <w:tcPr>
                  <w:tcW w:w="756" w:type="dxa"/>
                  <w:tcBorders>
                    <w:tl2br w:val="nil"/>
                    <w:tr2bl w:val="nil"/>
                  </w:tcBorders>
                  <w:noWrap w:val="0"/>
                  <w:vAlign w:val="center"/>
                </w:tcPr>
                <w:p w14:paraId="413C3DF6">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w:t>
                  </w:r>
                </w:p>
              </w:tc>
              <w:tc>
                <w:tcPr>
                  <w:tcW w:w="756" w:type="dxa"/>
                  <w:tcBorders>
                    <w:tl2br w:val="nil"/>
                    <w:tr2bl w:val="nil"/>
                  </w:tcBorders>
                  <w:noWrap w:val="0"/>
                  <w:vAlign w:val="center"/>
                </w:tcPr>
                <w:p w14:paraId="7D212A65">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w:t>
                  </w:r>
                </w:p>
              </w:tc>
              <w:tc>
                <w:tcPr>
                  <w:tcW w:w="756" w:type="dxa"/>
                  <w:tcBorders>
                    <w:tl2br w:val="nil"/>
                    <w:tr2bl w:val="nil"/>
                  </w:tcBorders>
                  <w:noWrap w:val="0"/>
                  <w:vAlign w:val="center"/>
                </w:tcPr>
                <w:p w14:paraId="332E02C7">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5</w:t>
                  </w:r>
                </w:p>
              </w:tc>
              <w:tc>
                <w:tcPr>
                  <w:tcW w:w="756" w:type="dxa"/>
                  <w:tcBorders>
                    <w:tl2br w:val="nil"/>
                    <w:tr2bl w:val="nil"/>
                  </w:tcBorders>
                  <w:noWrap w:val="0"/>
                  <w:vAlign w:val="center"/>
                </w:tcPr>
                <w:p w14:paraId="2648B979">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w:t>
                  </w:r>
                </w:p>
              </w:tc>
              <w:tc>
                <w:tcPr>
                  <w:tcW w:w="756" w:type="dxa"/>
                  <w:tcBorders>
                    <w:tl2br w:val="nil"/>
                    <w:tr2bl w:val="nil"/>
                  </w:tcBorders>
                  <w:noWrap w:val="0"/>
                  <w:vAlign w:val="center"/>
                </w:tcPr>
                <w:p w14:paraId="14F0A9A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15</w:t>
                  </w:r>
                </w:p>
              </w:tc>
              <w:tc>
                <w:tcPr>
                  <w:tcW w:w="756" w:type="dxa"/>
                  <w:tcBorders>
                    <w:tl2br w:val="nil"/>
                    <w:tr2bl w:val="nil"/>
                  </w:tcBorders>
                  <w:noWrap w:val="0"/>
                  <w:vAlign w:val="center"/>
                </w:tcPr>
                <w:p w14:paraId="0F0BE32B">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20</w:t>
                  </w:r>
                </w:p>
              </w:tc>
              <w:tc>
                <w:tcPr>
                  <w:tcW w:w="756" w:type="dxa"/>
                  <w:tcBorders>
                    <w:tl2br w:val="nil"/>
                    <w:tr2bl w:val="nil"/>
                  </w:tcBorders>
                  <w:noWrap w:val="0"/>
                  <w:vAlign w:val="center"/>
                </w:tcPr>
                <w:p w14:paraId="5B49F84E">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30</w:t>
                  </w:r>
                </w:p>
              </w:tc>
              <w:tc>
                <w:tcPr>
                  <w:tcW w:w="757" w:type="dxa"/>
                  <w:tcBorders>
                    <w:tl2br w:val="nil"/>
                    <w:tr2bl w:val="nil"/>
                  </w:tcBorders>
                  <w:noWrap w:val="0"/>
                  <w:vAlign w:val="center"/>
                </w:tcPr>
                <w:p w14:paraId="0B5E6D72">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40</w:t>
                  </w:r>
                </w:p>
              </w:tc>
              <w:tc>
                <w:tcPr>
                  <w:tcW w:w="757" w:type="dxa"/>
                  <w:tcBorders>
                    <w:tl2br w:val="nil"/>
                    <w:tr2bl w:val="nil"/>
                  </w:tcBorders>
                  <w:noWrap w:val="0"/>
                  <w:vAlign w:val="center"/>
                </w:tcPr>
                <w:p w14:paraId="5316A4B4">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80</w:t>
                  </w:r>
                </w:p>
              </w:tc>
              <w:tc>
                <w:tcPr>
                  <w:tcW w:w="757" w:type="dxa"/>
                  <w:tcBorders>
                    <w:tl2br w:val="nil"/>
                    <w:tr2bl w:val="nil"/>
                  </w:tcBorders>
                  <w:noWrap w:val="0"/>
                  <w:vAlign w:val="center"/>
                </w:tcPr>
                <w:p w14:paraId="553F4FA7">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100</w:t>
                  </w:r>
                </w:p>
              </w:tc>
            </w:tr>
            <w:tr w14:paraId="5935ED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308275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56" w:type="dxa"/>
                  <w:tcBorders>
                    <w:tl2br w:val="nil"/>
                    <w:tr2bl w:val="nil"/>
                  </w:tcBorders>
                  <w:noWrap w:val="0"/>
                  <w:vAlign w:val="center"/>
                </w:tcPr>
                <w:p w14:paraId="1A177D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0.04020 </w:t>
                  </w:r>
                </w:p>
              </w:tc>
              <w:tc>
                <w:tcPr>
                  <w:tcW w:w="756" w:type="dxa"/>
                  <w:tcBorders>
                    <w:tl2br w:val="nil"/>
                    <w:tr2bl w:val="nil"/>
                  </w:tcBorders>
                  <w:noWrap w:val="0"/>
                  <w:vAlign w:val="center"/>
                </w:tcPr>
                <w:p w14:paraId="1B22B6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0.04019 </w:t>
                  </w:r>
                </w:p>
              </w:tc>
              <w:tc>
                <w:tcPr>
                  <w:tcW w:w="756" w:type="dxa"/>
                  <w:tcBorders>
                    <w:tl2br w:val="nil"/>
                    <w:tr2bl w:val="nil"/>
                  </w:tcBorders>
                  <w:noWrap w:val="0"/>
                  <w:vAlign w:val="center"/>
                </w:tcPr>
                <w:p w14:paraId="445988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0.04018 </w:t>
                  </w:r>
                </w:p>
              </w:tc>
              <w:tc>
                <w:tcPr>
                  <w:tcW w:w="756" w:type="dxa"/>
                  <w:tcBorders>
                    <w:tl2br w:val="nil"/>
                    <w:tr2bl w:val="nil"/>
                  </w:tcBorders>
                  <w:noWrap w:val="0"/>
                  <w:vAlign w:val="center"/>
                </w:tcPr>
                <w:p w14:paraId="16064A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0.04014 </w:t>
                  </w:r>
                </w:p>
              </w:tc>
              <w:tc>
                <w:tcPr>
                  <w:tcW w:w="756" w:type="dxa"/>
                  <w:tcBorders>
                    <w:tl2br w:val="nil"/>
                    <w:tr2bl w:val="nil"/>
                  </w:tcBorders>
                  <w:noWrap w:val="0"/>
                  <w:vAlign w:val="center"/>
                </w:tcPr>
                <w:p w14:paraId="0BF50E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56" w:type="dxa"/>
                  <w:tcBorders>
                    <w:tl2br w:val="nil"/>
                    <w:tr2bl w:val="nil"/>
                  </w:tcBorders>
                  <w:noWrap w:val="0"/>
                  <w:vAlign w:val="center"/>
                </w:tcPr>
                <w:p w14:paraId="3575A3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56" w:type="dxa"/>
                  <w:tcBorders>
                    <w:tl2br w:val="nil"/>
                    <w:tr2bl w:val="nil"/>
                  </w:tcBorders>
                  <w:noWrap w:val="0"/>
                  <w:vAlign w:val="center"/>
                </w:tcPr>
                <w:p w14:paraId="41DB99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557A93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57" w:type="dxa"/>
                  <w:tcBorders>
                    <w:tl2br w:val="nil"/>
                    <w:tr2bl w:val="nil"/>
                  </w:tcBorders>
                  <w:noWrap w:val="0"/>
                  <w:vAlign w:val="center"/>
                </w:tcPr>
                <w:p w14:paraId="168234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57" w:type="dxa"/>
                  <w:tcBorders>
                    <w:tl2br w:val="nil"/>
                    <w:tr2bl w:val="nil"/>
                  </w:tcBorders>
                  <w:noWrap w:val="0"/>
                  <w:vAlign w:val="center"/>
                </w:tcPr>
                <w:p w14:paraId="66ACE9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53B272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00E28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56" w:type="dxa"/>
                  <w:tcBorders>
                    <w:tl2br w:val="nil"/>
                    <w:tr2bl w:val="nil"/>
                  </w:tcBorders>
                  <w:noWrap w:val="0"/>
                  <w:vAlign w:val="center"/>
                </w:tcPr>
                <w:p w14:paraId="67F1C7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0.04016 </w:t>
                  </w:r>
                </w:p>
              </w:tc>
              <w:tc>
                <w:tcPr>
                  <w:tcW w:w="756" w:type="dxa"/>
                  <w:tcBorders>
                    <w:tl2br w:val="nil"/>
                    <w:tr2bl w:val="nil"/>
                  </w:tcBorders>
                  <w:noWrap w:val="0"/>
                  <w:vAlign w:val="center"/>
                </w:tcPr>
                <w:p w14:paraId="07986C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0.04016 </w:t>
                  </w:r>
                </w:p>
              </w:tc>
              <w:tc>
                <w:tcPr>
                  <w:tcW w:w="756" w:type="dxa"/>
                  <w:tcBorders>
                    <w:tl2br w:val="nil"/>
                    <w:tr2bl w:val="nil"/>
                  </w:tcBorders>
                  <w:noWrap w:val="0"/>
                  <w:vAlign w:val="center"/>
                </w:tcPr>
                <w:p w14:paraId="417501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0.04015 </w:t>
                  </w:r>
                </w:p>
              </w:tc>
              <w:tc>
                <w:tcPr>
                  <w:tcW w:w="756" w:type="dxa"/>
                  <w:tcBorders>
                    <w:tl2br w:val="nil"/>
                    <w:tr2bl w:val="nil"/>
                  </w:tcBorders>
                  <w:noWrap w:val="0"/>
                  <w:vAlign w:val="center"/>
                </w:tcPr>
                <w:p w14:paraId="6EAF02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0.04013 </w:t>
                  </w:r>
                </w:p>
              </w:tc>
              <w:tc>
                <w:tcPr>
                  <w:tcW w:w="756" w:type="dxa"/>
                  <w:tcBorders>
                    <w:tl2br w:val="nil"/>
                    <w:tr2bl w:val="nil"/>
                  </w:tcBorders>
                  <w:noWrap w:val="0"/>
                  <w:vAlign w:val="center"/>
                </w:tcPr>
                <w:p w14:paraId="07636D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0.04010 </w:t>
                  </w:r>
                </w:p>
              </w:tc>
              <w:tc>
                <w:tcPr>
                  <w:tcW w:w="756" w:type="dxa"/>
                  <w:tcBorders>
                    <w:tl2br w:val="nil"/>
                    <w:tr2bl w:val="nil"/>
                  </w:tcBorders>
                  <w:noWrap w:val="0"/>
                  <w:vAlign w:val="center"/>
                </w:tcPr>
                <w:p w14:paraId="6E060D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0.04007 </w:t>
                  </w:r>
                </w:p>
              </w:tc>
              <w:tc>
                <w:tcPr>
                  <w:tcW w:w="756" w:type="dxa"/>
                  <w:tcBorders>
                    <w:tl2br w:val="nil"/>
                    <w:tr2bl w:val="nil"/>
                  </w:tcBorders>
                  <w:noWrap w:val="0"/>
                  <w:vAlign w:val="center"/>
                </w:tcPr>
                <w:p w14:paraId="4CD3F6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337950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57" w:type="dxa"/>
                  <w:tcBorders>
                    <w:tl2br w:val="nil"/>
                    <w:tr2bl w:val="nil"/>
                  </w:tcBorders>
                  <w:noWrap w:val="0"/>
                  <w:vAlign w:val="center"/>
                </w:tcPr>
                <w:p w14:paraId="397FBF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57" w:type="dxa"/>
                  <w:tcBorders>
                    <w:tl2br w:val="nil"/>
                    <w:tr2bl w:val="nil"/>
                  </w:tcBorders>
                  <w:noWrap w:val="0"/>
                  <w:vAlign w:val="center"/>
                </w:tcPr>
                <w:p w14:paraId="78E538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65A3B3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15EE16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56" w:type="dxa"/>
                  <w:tcBorders>
                    <w:tl2br w:val="nil"/>
                    <w:tr2bl w:val="nil"/>
                  </w:tcBorders>
                  <w:noWrap w:val="0"/>
                  <w:vAlign w:val="center"/>
                </w:tcPr>
                <w:p w14:paraId="24EE17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0.04014 </w:t>
                  </w:r>
                </w:p>
              </w:tc>
              <w:tc>
                <w:tcPr>
                  <w:tcW w:w="756" w:type="dxa"/>
                  <w:tcBorders>
                    <w:tl2br w:val="nil"/>
                    <w:tr2bl w:val="nil"/>
                  </w:tcBorders>
                  <w:noWrap w:val="0"/>
                  <w:vAlign w:val="center"/>
                </w:tcPr>
                <w:p w14:paraId="642B58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0.04014 </w:t>
                  </w:r>
                </w:p>
              </w:tc>
              <w:tc>
                <w:tcPr>
                  <w:tcW w:w="756" w:type="dxa"/>
                  <w:tcBorders>
                    <w:tl2br w:val="nil"/>
                    <w:tr2bl w:val="nil"/>
                  </w:tcBorders>
                  <w:noWrap w:val="0"/>
                  <w:vAlign w:val="center"/>
                </w:tcPr>
                <w:p w14:paraId="1823F9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0.04013 </w:t>
                  </w:r>
                </w:p>
              </w:tc>
              <w:tc>
                <w:tcPr>
                  <w:tcW w:w="756" w:type="dxa"/>
                  <w:tcBorders>
                    <w:tl2br w:val="nil"/>
                    <w:tr2bl w:val="nil"/>
                  </w:tcBorders>
                  <w:noWrap w:val="0"/>
                  <w:vAlign w:val="center"/>
                </w:tcPr>
                <w:p w14:paraId="03AF29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0.04012 </w:t>
                  </w:r>
                </w:p>
              </w:tc>
              <w:tc>
                <w:tcPr>
                  <w:tcW w:w="756" w:type="dxa"/>
                  <w:tcBorders>
                    <w:tl2br w:val="nil"/>
                    <w:tr2bl w:val="nil"/>
                  </w:tcBorders>
                  <w:noWrap w:val="0"/>
                  <w:vAlign w:val="center"/>
                </w:tcPr>
                <w:p w14:paraId="1884CB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0.04010 </w:t>
                  </w:r>
                </w:p>
              </w:tc>
              <w:tc>
                <w:tcPr>
                  <w:tcW w:w="756" w:type="dxa"/>
                  <w:tcBorders>
                    <w:tl2br w:val="nil"/>
                    <w:tr2bl w:val="nil"/>
                  </w:tcBorders>
                  <w:noWrap w:val="0"/>
                  <w:vAlign w:val="center"/>
                </w:tcPr>
                <w:p w14:paraId="0C530A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0.04007 </w:t>
                  </w:r>
                </w:p>
              </w:tc>
              <w:tc>
                <w:tcPr>
                  <w:tcW w:w="756" w:type="dxa"/>
                  <w:tcBorders>
                    <w:tl2br w:val="nil"/>
                    <w:tr2bl w:val="nil"/>
                  </w:tcBorders>
                  <w:noWrap w:val="0"/>
                  <w:vAlign w:val="center"/>
                </w:tcPr>
                <w:p w14:paraId="65EB0D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7" w:type="dxa"/>
                  <w:tcBorders>
                    <w:tl2br w:val="nil"/>
                    <w:tr2bl w:val="nil"/>
                  </w:tcBorders>
                  <w:noWrap w:val="0"/>
                  <w:vAlign w:val="center"/>
                </w:tcPr>
                <w:p w14:paraId="484723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7C69A9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57" w:type="dxa"/>
                  <w:tcBorders>
                    <w:tl2br w:val="nil"/>
                    <w:tr2bl w:val="nil"/>
                  </w:tcBorders>
                  <w:noWrap w:val="0"/>
                  <w:vAlign w:val="center"/>
                </w:tcPr>
                <w:p w14:paraId="7FA9B3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7BB4AB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613C85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56" w:type="dxa"/>
                  <w:tcBorders>
                    <w:tl2br w:val="nil"/>
                    <w:tr2bl w:val="nil"/>
                  </w:tcBorders>
                  <w:noWrap w:val="0"/>
                  <w:vAlign w:val="center"/>
                </w:tcPr>
                <w:p w14:paraId="78371F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0.04011 </w:t>
                  </w:r>
                </w:p>
              </w:tc>
              <w:tc>
                <w:tcPr>
                  <w:tcW w:w="756" w:type="dxa"/>
                  <w:tcBorders>
                    <w:tl2br w:val="nil"/>
                    <w:tr2bl w:val="nil"/>
                  </w:tcBorders>
                  <w:noWrap w:val="0"/>
                  <w:vAlign w:val="center"/>
                </w:tcPr>
                <w:p w14:paraId="6D691F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0.04011 </w:t>
                  </w:r>
                </w:p>
              </w:tc>
              <w:tc>
                <w:tcPr>
                  <w:tcW w:w="756" w:type="dxa"/>
                  <w:tcBorders>
                    <w:tl2br w:val="nil"/>
                    <w:tr2bl w:val="nil"/>
                  </w:tcBorders>
                  <w:noWrap w:val="0"/>
                  <w:vAlign w:val="center"/>
                </w:tcPr>
                <w:p w14:paraId="7306D0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0.04011 </w:t>
                  </w:r>
                </w:p>
              </w:tc>
              <w:tc>
                <w:tcPr>
                  <w:tcW w:w="756" w:type="dxa"/>
                  <w:tcBorders>
                    <w:tl2br w:val="nil"/>
                    <w:tr2bl w:val="nil"/>
                  </w:tcBorders>
                  <w:noWrap w:val="0"/>
                  <w:vAlign w:val="center"/>
                </w:tcPr>
                <w:p w14:paraId="3315B4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0.04010 </w:t>
                  </w:r>
                </w:p>
              </w:tc>
              <w:tc>
                <w:tcPr>
                  <w:tcW w:w="756" w:type="dxa"/>
                  <w:tcBorders>
                    <w:tl2br w:val="nil"/>
                    <w:tr2bl w:val="nil"/>
                  </w:tcBorders>
                  <w:noWrap w:val="0"/>
                  <w:vAlign w:val="center"/>
                </w:tcPr>
                <w:p w14:paraId="0AAA57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56" w:type="dxa"/>
                  <w:tcBorders>
                    <w:tl2br w:val="nil"/>
                    <w:tr2bl w:val="nil"/>
                  </w:tcBorders>
                  <w:noWrap w:val="0"/>
                  <w:vAlign w:val="center"/>
                </w:tcPr>
                <w:p w14:paraId="64CC3C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0.04007 </w:t>
                  </w:r>
                </w:p>
              </w:tc>
              <w:tc>
                <w:tcPr>
                  <w:tcW w:w="756" w:type="dxa"/>
                  <w:tcBorders>
                    <w:tl2br w:val="nil"/>
                    <w:tr2bl w:val="nil"/>
                  </w:tcBorders>
                  <w:noWrap w:val="0"/>
                  <w:vAlign w:val="center"/>
                </w:tcPr>
                <w:p w14:paraId="2776C7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0.04004 </w:t>
                  </w:r>
                </w:p>
              </w:tc>
              <w:tc>
                <w:tcPr>
                  <w:tcW w:w="757" w:type="dxa"/>
                  <w:tcBorders>
                    <w:tl2br w:val="nil"/>
                    <w:tr2bl w:val="nil"/>
                  </w:tcBorders>
                  <w:noWrap w:val="0"/>
                  <w:vAlign w:val="center"/>
                </w:tcPr>
                <w:p w14:paraId="7E518E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61F290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57" w:type="dxa"/>
                  <w:tcBorders>
                    <w:tl2br w:val="nil"/>
                    <w:tr2bl w:val="nil"/>
                  </w:tcBorders>
                  <w:noWrap w:val="0"/>
                  <w:vAlign w:val="center"/>
                </w:tcPr>
                <w:p w14:paraId="5E3CBE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247030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33C2E7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56" w:type="dxa"/>
                  <w:tcBorders>
                    <w:tl2br w:val="nil"/>
                    <w:tr2bl w:val="nil"/>
                  </w:tcBorders>
                  <w:noWrap w:val="0"/>
                  <w:vAlign w:val="center"/>
                </w:tcPr>
                <w:p w14:paraId="7A0A09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56" w:type="dxa"/>
                  <w:tcBorders>
                    <w:tl2br w:val="nil"/>
                    <w:tr2bl w:val="nil"/>
                  </w:tcBorders>
                  <w:noWrap w:val="0"/>
                  <w:vAlign w:val="center"/>
                </w:tcPr>
                <w:p w14:paraId="70ABE3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56" w:type="dxa"/>
                  <w:tcBorders>
                    <w:tl2br w:val="nil"/>
                    <w:tr2bl w:val="nil"/>
                  </w:tcBorders>
                  <w:noWrap w:val="0"/>
                  <w:vAlign w:val="center"/>
                </w:tcPr>
                <w:p w14:paraId="5B53ED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56" w:type="dxa"/>
                  <w:tcBorders>
                    <w:tl2br w:val="nil"/>
                    <w:tr2bl w:val="nil"/>
                  </w:tcBorders>
                  <w:noWrap w:val="0"/>
                  <w:vAlign w:val="center"/>
                </w:tcPr>
                <w:p w14:paraId="7146F7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0.04008 </w:t>
                  </w:r>
                </w:p>
              </w:tc>
              <w:tc>
                <w:tcPr>
                  <w:tcW w:w="756" w:type="dxa"/>
                  <w:tcBorders>
                    <w:tl2br w:val="nil"/>
                    <w:tr2bl w:val="nil"/>
                  </w:tcBorders>
                  <w:noWrap w:val="0"/>
                  <w:vAlign w:val="center"/>
                </w:tcPr>
                <w:p w14:paraId="47497F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0.04008 </w:t>
                  </w:r>
                </w:p>
              </w:tc>
              <w:tc>
                <w:tcPr>
                  <w:tcW w:w="756" w:type="dxa"/>
                  <w:tcBorders>
                    <w:tl2br w:val="nil"/>
                    <w:tr2bl w:val="nil"/>
                  </w:tcBorders>
                  <w:noWrap w:val="0"/>
                  <w:vAlign w:val="center"/>
                </w:tcPr>
                <w:p w14:paraId="17248B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0.04007 </w:t>
                  </w:r>
                </w:p>
              </w:tc>
              <w:tc>
                <w:tcPr>
                  <w:tcW w:w="756" w:type="dxa"/>
                  <w:tcBorders>
                    <w:tl2br w:val="nil"/>
                    <w:tr2bl w:val="nil"/>
                  </w:tcBorders>
                  <w:noWrap w:val="0"/>
                  <w:vAlign w:val="center"/>
                </w:tcPr>
                <w:p w14:paraId="7A4CC0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57" w:type="dxa"/>
                  <w:tcBorders>
                    <w:tl2br w:val="nil"/>
                    <w:tr2bl w:val="nil"/>
                  </w:tcBorders>
                  <w:noWrap w:val="0"/>
                  <w:vAlign w:val="center"/>
                </w:tcPr>
                <w:p w14:paraId="42735E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7" w:type="dxa"/>
                  <w:tcBorders>
                    <w:tl2br w:val="nil"/>
                    <w:tr2bl w:val="nil"/>
                  </w:tcBorders>
                  <w:noWrap w:val="0"/>
                  <w:vAlign w:val="center"/>
                </w:tcPr>
                <w:p w14:paraId="2485D6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57" w:type="dxa"/>
                  <w:tcBorders>
                    <w:tl2br w:val="nil"/>
                    <w:tr2bl w:val="nil"/>
                  </w:tcBorders>
                  <w:noWrap w:val="0"/>
                  <w:vAlign w:val="center"/>
                </w:tcPr>
                <w:p w14:paraId="1A41A9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23FB61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980DF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56" w:type="dxa"/>
                  <w:tcBorders>
                    <w:tl2br w:val="nil"/>
                    <w:tr2bl w:val="nil"/>
                  </w:tcBorders>
                  <w:noWrap w:val="0"/>
                  <w:vAlign w:val="center"/>
                </w:tcPr>
                <w:p w14:paraId="48197B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56" w:type="dxa"/>
                  <w:tcBorders>
                    <w:tl2br w:val="nil"/>
                    <w:tr2bl w:val="nil"/>
                  </w:tcBorders>
                  <w:noWrap w:val="0"/>
                  <w:vAlign w:val="center"/>
                </w:tcPr>
                <w:p w14:paraId="08CD29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56" w:type="dxa"/>
                  <w:tcBorders>
                    <w:tl2br w:val="nil"/>
                    <w:tr2bl w:val="nil"/>
                  </w:tcBorders>
                  <w:noWrap w:val="0"/>
                  <w:vAlign w:val="center"/>
                </w:tcPr>
                <w:p w14:paraId="569EA2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56" w:type="dxa"/>
                  <w:tcBorders>
                    <w:tl2br w:val="nil"/>
                    <w:tr2bl w:val="nil"/>
                  </w:tcBorders>
                  <w:noWrap w:val="0"/>
                  <w:vAlign w:val="center"/>
                </w:tcPr>
                <w:p w14:paraId="094824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56" w:type="dxa"/>
                  <w:tcBorders>
                    <w:tl2br w:val="nil"/>
                    <w:tr2bl w:val="nil"/>
                  </w:tcBorders>
                  <w:noWrap w:val="0"/>
                  <w:vAlign w:val="center"/>
                </w:tcPr>
                <w:p w14:paraId="16E98A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56" w:type="dxa"/>
                  <w:tcBorders>
                    <w:tl2br w:val="nil"/>
                    <w:tr2bl w:val="nil"/>
                  </w:tcBorders>
                  <w:noWrap w:val="0"/>
                  <w:vAlign w:val="center"/>
                </w:tcPr>
                <w:p w14:paraId="10B238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56" w:type="dxa"/>
                  <w:tcBorders>
                    <w:tl2br w:val="nil"/>
                    <w:tr2bl w:val="nil"/>
                  </w:tcBorders>
                  <w:noWrap w:val="0"/>
                  <w:vAlign w:val="center"/>
                </w:tcPr>
                <w:p w14:paraId="558002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57" w:type="dxa"/>
                  <w:tcBorders>
                    <w:tl2br w:val="nil"/>
                    <w:tr2bl w:val="nil"/>
                  </w:tcBorders>
                  <w:noWrap w:val="0"/>
                  <w:vAlign w:val="center"/>
                </w:tcPr>
                <w:p w14:paraId="7A28F0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0.04004 </w:t>
                  </w:r>
                </w:p>
              </w:tc>
              <w:tc>
                <w:tcPr>
                  <w:tcW w:w="757" w:type="dxa"/>
                  <w:tcBorders>
                    <w:tl2br w:val="nil"/>
                    <w:tr2bl w:val="nil"/>
                  </w:tcBorders>
                  <w:noWrap w:val="0"/>
                  <w:vAlign w:val="center"/>
                </w:tcPr>
                <w:p w14:paraId="01B74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3EB023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77E6B9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47E78B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56" w:type="dxa"/>
                  <w:tcBorders>
                    <w:tl2br w:val="nil"/>
                    <w:tr2bl w:val="nil"/>
                  </w:tcBorders>
                  <w:noWrap w:val="0"/>
                  <w:vAlign w:val="center"/>
                </w:tcPr>
                <w:p w14:paraId="43289D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6" w:type="dxa"/>
                  <w:tcBorders>
                    <w:tl2br w:val="nil"/>
                    <w:tr2bl w:val="nil"/>
                  </w:tcBorders>
                  <w:noWrap w:val="0"/>
                  <w:vAlign w:val="center"/>
                </w:tcPr>
                <w:p w14:paraId="7547A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6" w:type="dxa"/>
                  <w:tcBorders>
                    <w:tl2br w:val="nil"/>
                    <w:tr2bl w:val="nil"/>
                  </w:tcBorders>
                  <w:noWrap w:val="0"/>
                  <w:vAlign w:val="center"/>
                </w:tcPr>
                <w:p w14:paraId="027830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6" w:type="dxa"/>
                  <w:tcBorders>
                    <w:tl2br w:val="nil"/>
                    <w:tr2bl w:val="nil"/>
                  </w:tcBorders>
                  <w:noWrap w:val="0"/>
                  <w:vAlign w:val="center"/>
                </w:tcPr>
                <w:p w14:paraId="7884B2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6" w:type="dxa"/>
                  <w:tcBorders>
                    <w:tl2br w:val="nil"/>
                    <w:tr2bl w:val="nil"/>
                  </w:tcBorders>
                  <w:noWrap w:val="0"/>
                  <w:vAlign w:val="center"/>
                </w:tcPr>
                <w:p w14:paraId="58248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6" w:type="dxa"/>
                  <w:tcBorders>
                    <w:tl2br w:val="nil"/>
                    <w:tr2bl w:val="nil"/>
                  </w:tcBorders>
                  <w:noWrap w:val="0"/>
                  <w:vAlign w:val="center"/>
                </w:tcPr>
                <w:p w14:paraId="673F8D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56" w:type="dxa"/>
                  <w:tcBorders>
                    <w:tl2br w:val="nil"/>
                    <w:tr2bl w:val="nil"/>
                  </w:tcBorders>
                  <w:noWrap w:val="0"/>
                  <w:vAlign w:val="center"/>
                </w:tcPr>
                <w:p w14:paraId="3460E9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4753DD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0964CE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625D54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r>
            <w:tr w14:paraId="47603B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0324CE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56" w:type="dxa"/>
                  <w:tcBorders>
                    <w:tl2br w:val="nil"/>
                    <w:tr2bl w:val="nil"/>
                  </w:tcBorders>
                  <w:noWrap w:val="0"/>
                  <w:vAlign w:val="center"/>
                </w:tcPr>
                <w:p w14:paraId="782772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6" w:type="dxa"/>
                  <w:tcBorders>
                    <w:tl2br w:val="nil"/>
                    <w:tr2bl w:val="nil"/>
                  </w:tcBorders>
                  <w:noWrap w:val="0"/>
                  <w:vAlign w:val="center"/>
                </w:tcPr>
                <w:p w14:paraId="0DFEA9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6" w:type="dxa"/>
                  <w:tcBorders>
                    <w:tl2br w:val="nil"/>
                    <w:tr2bl w:val="nil"/>
                  </w:tcBorders>
                  <w:noWrap w:val="0"/>
                  <w:vAlign w:val="center"/>
                </w:tcPr>
                <w:p w14:paraId="6530FB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6" w:type="dxa"/>
                  <w:tcBorders>
                    <w:tl2br w:val="nil"/>
                    <w:tr2bl w:val="nil"/>
                  </w:tcBorders>
                  <w:noWrap w:val="0"/>
                  <w:vAlign w:val="center"/>
                </w:tcPr>
                <w:p w14:paraId="1FD94A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6" w:type="dxa"/>
                  <w:tcBorders>
                    <w:tl2br w:val="nil"/>
                    <w:tr2bl w:val="nil"/>
                  </w:tcBorders>
                  <w:noWrap w:val="0"/>
                  <w:vAlign w:val="center"/>
                </w:tcPr>
                <w:p w14:paraId="1438B6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6" w:type="dxa"/>
                  <w:tcBorders>
                    <w:tl2br w:val="nil"/>
                    <w:tr2bl w:val="nil"/>
                  </w:tcBorders>
                  <w:noWrap w:val="0"/>
                  <w:vAlign w:val="center"/>
                </w:tcPr>
                <w:p w14:paraId="01DEE8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6" w:type="dxa"/>
                  <w:tcBorders>
                    <w:tl2br w:val="nil"/>
                    <w:tr2bl w:val="nil"/>
                  </w:tcBorders>
                  <w:noWrap w:val="0"/>
                  <w:vAlign w:val="center"/>
                </w:tcPr>
                <w:p w14:paraId="573454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7F218B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039BAF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57" w:type="dxa"/>
                  <w:tcBorders>
                    <w:tl2br w:val="nil"/>
                    <w:tr2bl w:val="nil"/>
                  </w:tcBorders>
                  <w:noWrap w:val="0"/>
                  <w:vAlign w:val="center"/>
                </w:tcPr>
                <w:p w14:paraId="2EA27B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r>
            <w:tr w14:paraId="680CFF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5D327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56" w:type="dxa"/>
                  <w:tcBorders>
                    <w:tl2br w:val="nil"/>
                    <w:tr2bl w:val="nil"/>
                  </w:tcBorders>
                  <w:noWrap w:val="0"/>
                  <w:vAlign w:val="center"/>
                </w:tcPr>
                <w:p w14:paraId="42D629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1B8547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3D1125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6F792C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0C2BFA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5F519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4E6BF3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605B86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0912A1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0F7072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r>
            <w:tr w14:paraId="5E5C1A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14:paraId="06F91B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56" w:type="dxa"/>
                  <w:tcBorders>
                    <w:tl2br w:val="nil"/>
                    <w:tr2bl w:val="nil"/>
                  </w:tcBorders>
                  <w:noWrap w:val="0"/>
                  <w:vAlign w:val="center"/>
                </w:tcPr>
                <w:p w14:paraId="0B3AE9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6A7AD1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512323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3B8DDE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334CF6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3FA2D2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6" w:type="dxa"/>
                  <w:tcBorders>
                    <w:tl2br w:val="nil"/>
                    <w:tr2bl w:val="nil"/>
                  </w:tcBorders>
                  <w:noWrap w:val="0"/>
                  <w:vAlign w:val="center"/>
                </w:tcPr>
                <w:p w14:paraId="0B53AD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06DE07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5614CA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c>
                <w:tcPr>
                  <w:tcW w:w="757" w:type="dxa"/>
                  <w:tcBorders>
                    <w:tl2br w:val="nil"/>
                    <w:tr2bl w:val="nil"/>
                  </w:tcBorders>
                  <w:noWrap w:val="0"/>
                  <w:vAlign w:val="center"/>
                </w:tcPr>
                <w:p w14:paraId="68A830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r>
          </w:tbl>
          <w:p w14:paraId="4C9B01D2">
            <w:pPr>
              <w:pStyle w:val="6"/>
              <w:rPr>
                <w:rFonts w:hint="eastAsia"/>
                <w:u w:val="none" w:color="auto"/>
                <w:lang w:val="en-US" w:eastAsia="zh-CN"/>
              </w:rPr>
            </w:pPr>
          </w:p>
          <w:p w14:paraId="5ED7C755">
            <w:pPr>
              <w:keepNext w:val="0"/>
              <w:keepLines w:val="0"/>
              <w:widowControl/>
              <w:suppressLineNumbers w:val="0"/>
              <w:jc w:val="center"/>
              <w:rPr>
                <w:rFonts w:hint="default" w:ascii="Times New Roman" w:hAnsi="Times New Roman" w:eastAsia="宋体" w:cs="Times New Roman"/>
                <w:b/>
                <w:bCs/>
                <w:color w:val="000000"/>
                <w:kern w:val="0"/>
                <w:sz w:val="21"/>
                <w:szCs w:val="21"/>
                <w:u w:val="none" w:color="auto"/>
                <w:lang w:val="en-US" w:eastAsia="zh-CN" w:bidi="ar"/>
              </w:rPr>
            </w:pPr>
            <w:r>
              <w:rPr>
                <w:rFonts w:hint="eastAsia" w:ascii="Times New Roman" w:hAnsi="Times New Roman" w:eastAsia="宋体" w:cs="Times New Roman"/>
                <w:b/>
                <w:bCs/>
                <w:color w:val="000000"/>
                <w:kern w:val="0"/>
                <w:sz w:val="21"/>
                <w:szCs w:val="21"/>
                <w:u w:val="none" w:color="auto"/>
                <w:lang w:val="en-US" w:eastAsia="zh-CN" w:bidi="ar"/>
              </w:rPr>
              <w:t>表5-</w:t>
            </w:r>
            <w:r>
              <w:rPr>
                <w:rFonts w:hint="eastAsia" w:ascii="Times New Roman" w:hAnsi="Times New Roman" w:cs="Times New Roman"/>
                <w:b/>
                <w:bCs/>
                <w:color w:val="000000"/>
                <w:kern w:val="0"/>
                <w:sz w:val="21"/>
                <w:szCs w:val="21"/>
                <w:u w:val="none" w:color="auto"/>
                <w:lang w:val="en-US" w:eastAsia="zh-CN" w:bidi="ar"/>
              </w:rPr>
              <w:t>8</w:t>
            </w:r>
            <w:r>
              <w:rPr>
                <w:rFonts w:hint="eastAsia" w:ascii="Times New Roman" w:hAnsi="Times New Roman" w:eastAsia="宋体" w:cs="Times New Roman"/>
                <w:b/>
                <w:bCs/>
                <w:color w:val="000000"/>
                <w:kern w:val="0"/>
                <w:sz w:val="21"/>
                <w:szCs w:val="21"/>
                <w:u w:val="none" w:color="auto"/>
                <w:lang w:val="en-US" w:eastAsia="zh-CN" w:bidi="ar"/>
              </w:rPr>
              <w:t xml:space="preserve">  废水非正常排放洣水各污染因子预测结果一览表</w:t>
            </w:r>
            <w:r>
              <w:rPr>
                <w:rFonts w:hint="eastAsia" w:ascii="宋体" w:hAnsi="宋体" w:eastAsia="宋体" w:cs="宋体"/>
                <w:b/>
                <w:bCs/>
                <w:color w:val="000000"/>
                <w:kern w:val="0"/>
                <w:sz w:val="21"/>
                <w:szCs w:val="21"/>
                <w:u w:val="none" w:color="auto"/>
                <w:lang w:val="en-US" w:eastAsia="zh-CN" w:bidi="ar"/>
              </w:rPr>
              <w:t>（单位：</w:t>
            </w:r>
            <w:r>
              <w:rPr>
                <w:rFonts w:hint="default" w:ascii="Times New Roman" w:hAnsi="Times New Roman" w:eastAsia="宋体" w:cs="Times New Roman"/>
                <w:b/>
                <w:bCs/>
                <w:color w:val="000000"/>
                <w:kern w:val="0"/>
                <w:sz w:val="21"/>
                <w:szCs w:val="21"/>
                <w:u w:val="none" w:color="auto"/>
                <w:lang w:val="en-US" w:eastAsia="zh-CN" w:bidi="ar"/>
              </w:rPr>
              <w:t>mg/L</w:t>
            </w:r>
            <w:r>
              <w:rPr>
                <w:rFonts w:hint="eastAsia" w:ascii="宋体" w:hAnsi="宋体" w:eastAsia="宋体" w:cs="宋体"/>
                <w:b/>
                <w:bCs/>
                <w:color w:val="000000"/>
                <w:kern w:val="0"/>
                <w:sz w:val="21"/>
                <w:szCs w:val="21"/>
                <w:u w:val="none" w:color="auto"/>
                <w:lang w:val="en-US" w:eastAsia="zh-CN" w:bidi="ar"/>
              </w:rPr>
              <w:t>，</w:t>
            </w:r>
            <w:r>
              <w:rPr>
                <w:rFonts w:hint="default" w:ascii="Times New Roman" w:hAnsi="Times New Roman" w:eastAsia="宋体" w:cs="Times New Roman"/>
                <w:b/>
                <w:bCs/>
                <w:color w:val="000000"/>
                <w:kern w:val="0"/>
                <w:sz w:val="21"/>
                <w:szCs w:val="21"/>
                <w:u w:val="none" w:color="auto"/>
                <w:lang w:val="en-US" w:eastAsia="zh-CN" w:bidi="ar"/>
              </w:rPr>
              <w:t>X,Y:m</w:t>
            </w:r>
            <w:r>
              <w:rPr>
                <w:rFonts w:hint="eastAsia" w:ascii="宋体" w:hAnsi="宋体" w:eastAsia="宋体" w:cs="宋体"/>
                <w:b/>
                <w:bCs/>
                <w:color w:val="000000"/>
                <w:kern w:val="0"/>
                <w:sz w:val="21"/>
                <w:szCs w:val="21"/>
                <w:u w:val="none" w:color="auto"/>
                <w:lang w:val="en-US" w:eastAsia="zh-CN" w:bidi="ar"/>
              </w:rPr>
              <w:t xml:space="preserve"> </w:t>
            </w:r>
            <w:r>
              <w:rPr>
                <w:rFonts w:hint="eastAsia" w:ascii="Times New Roman" w:hAnsi="Times New Roman" w:eastAsia="宋体" w:cs="Times New Roman"/>
                <w:b/>
                <w:bCs/>
                <w:color w:val="000000"/>
                <w:kern w:val="0"/>
                <w:sz w:val="21"/>
                <w:szCs w:val="21"/>
                <w:u w:val="none" w:color="auto"/>
                <w:lang w:val="en-US" w:eastAsia="zh-CN" w:bidi="ar"/>
              </w:rPr>
              <w:t>）</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57"/>
              <w:gridCol w:w="771"/>
              <w:gridCol w:w="772"/>
              <w:gridCol w:w="772"/>
              <w:gridCol w:w="772"/>
              <w:gridCol w:w="772"/>
              <w:gridCol w:w="772"/>
              <w:gridCol w:w="772"/>
              <w:gridCol w:w="772"/>
              <w:gridCol w:w="772"/>
              <w:gridCol w:w="772"/>
            </w:tblGrid>
            <w:tr w14:paraId="67CDFD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vMerge w:val="restart"/>
                  <w:tcBorders>
                    <w:tl2br w:val="nil"/>
                    <w:tr2bl w:val="nil"/>
                  </w:tcBorders>
                  <w:noWrap w:val="0"/>
                  <w:vAlign w:val="top"/>
                </w:tcPr>
                <w:p w14:paraId="2965DE42">
                  <w:pPr>
                    <w:keepNext w:val="0"/>
                    <w:keepLines w:val="0"/>
                    <w:pageBreakBefore w:val="0"/>
                    <w:tabs>
                      <w:tab w:val="left" w:pos="814"/>
                    </w:tabs>
                    <w:kinsoku/>
                    <w:wordWrap/>
                    <w:overflowPunct/>
                    <w:bidi w:val="0"/>
                    <w:spacing w:line="240" w:lineRule="auto"/>
                    <w:ind w:right="270"/>
                    <w:jc w:val="right"/>
                    <w:outlineLvl w:val="9"/>
                    <w:rPr>
                      <w:rFonts w:hint="default" w:ascii="Times New Roman" w:hAnsi="Times New Roman" w:eastAsia="宋体" w:cs="Times New Roman"/>
                      <w:b/>
                      <w:color w:val="auto"/>
                      <w:sz w:val="18"/>
                      <w:szCs w:val="18"/>
                      <w:u w:val="none" w:color="auto"/>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0</wp:posOffset>
                            </wp:positionV>
                            <wp:extent cx="365760" cy="537845"/>
                            <wp:effectExtent l="5080" t="3810" r="10160" b="17145"/>
                            <wp:wrapNone/>
                            <wp:docPr id="20" name="直接连接符 20"/>
                            <wp:cNvGraphicFramePr/>
                            <a:graphic xmlns:a="http://schemas.openxmlformats.org/drawingml/2006/main">
                              <a:graphicData uri="http://schemas.microsoft.com/office/word/2010/wordprocessingShape">
                                <wps:wsp>
                                  <wps:cNvCnPr/>
                                  <wps:spPr>
                                    <a:xfrm>
                                      <a:off x="0" y="0"/>
                                      <a:ext cx="365760" cy="5378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42.35pt;width:28.8pt;z-index:251663360;mso-width-relative:page;mso-height-relative:page;" filled="f" stroked="t" coordsize="21600,21600" o:gfxdata="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qPE0bVAAAABgEAAA8AAAAAAAAAAQAgAAAAIgAAAGRycy9kb3ducmV2LnhtbFBL&#10;AQIUABQAAAAIAIdO4kDcrsqr+QEAAOo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宋体" w:cs="Times New Roman"/>
                      <w:b/>
                      <w:color w:val="auto"/>
                      <w:sz w:val="18"/>
                      <w:szCs w:val="18"/>
                      <w:u w:val="none" w:color="auto"/>
                      <w:lang w:val="en-US" w:eastAsia="zh-CN"/>
                    </w:rPr>
                    <w:t>y</w:t>
                  </w:r>
                </w:p>
                <w:p w14:paraId="45B25AF8">
                  <w:pPr>
                    <w:keepNext w:val="0"/>
                    <w:keepLines w:val="0"/>
                    <w:pageBreakBefore w:val="0"/>
                    <w:kinsoku/>
                    <w:wordWrap/>
                    <w:overflowPunct/>
                    <w:bidi w:val="0"/>
                    <w:spacing w:line="240" w:lineRule="auto"/>
                    <w:outlineLvl w:val="9"/>
                    <w:rPr>
                      <w:rFonts w:hint="default" w:ascii="Times New Roman" w:hAnsi="Times New Roman" w:eastAsia="宋体" w:cs="Times New Roman"/>
                      <w:b/>
                      <w:color w:val="auto"/>
                      <w:sz w:val="18"/>
                      <w:szCs w:val="18"/>
                      <w:u w:val="none" w:color="auto"/>
                      <w:lang w:eastAsia="zh-CN"/>
                    </w:rPr>
                  </w:pPr>
                  <w:r>
                    <w:rPr>
                      <w:rFonts w:hint="default" w:ascii="Times New Roman" w:hAnsi="Times New Roman" w:eastAsia="宋体" w:cs="Times New Roman"/>
                      <w:b/>
                      <w:color w:val="auto"/>
                      <w:sz w:val="18"/>
                      <w:szCs w:val="18"/>
                      <w:u w:val="none" w:color="auto"/>
                      <w:lang w:val="en-US" w:eastAsia="zh-CN"/>
                    </w:rPr>
                    <w:t>x</w:t>
                  </w:r>
                </w:p>
              </w:tc>
              <w:tc>
                <w:tcPr>
                  <w:tcW w:w="7570" w:type="dxa"/>
                  <w:gridSpan w:val="10"/>
                  <w:tcBorders>
                    <w:tl2br w:val="nil"/>
                    <w:tr2bl w:val="nil"/>
                  </w:tcBorders>
                  <w:noWrap w:val="0"/>
                  <w:vAlign w:val="center"/>
                </w:tcPr>
                <w:p w14:paraId="767D8A1B">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CODcr</w:t>
                  </w:r>
                </w:p>
              </w:tc>
            </w:tr>
            <w:tr w14:paraId="181BE9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vMerge w:val="continue"/>
                  <w:tcBorders>
                    <w:tl2br w:val="nil"/>
                    <w:tr2bl w:val="nil"/>
                  </w:tcBorders>
                  <w:noWrap w:val="0"/>
                  <w:vAlign w:val="center"/>
                </w:tcPr>
                <w:p w14:paraId="67CD49D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rPr>
                  </w:pPr>
                </w:p>
              </w:tc>
              <w:tc>
                <w:tcPr>
                  <w:tcW w:w="748" w:type="dxa"/>
                  <w:tcBorders>
                    <w:tl2br w:val="nil"/>
                    <w:tr2bl w:val="nil"/>
                  </w:tcBorders>
                  <w:noWrap w:val="0"/>
                  <w:vAlign w:val="center"/>
                </w:tcPr>
                <w:p w14:paraId="45C68D78">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w:t>
                  </w:r>
                </w:p>
              </w:tc>
              <w:tc>
                <w:tcPr>
                  <w:tcW w:w="749" w:type="dxa"/>
                  <w:tcBorders>
                    <w:tl2br w:val="nil"/>
                    <w:tr2bl w:val="nil"/>
                  </w:tcBorders>
                  <w:noWrap w:val="0"/>
                  <w:vAlign w:val="center"/>
                </w:tcPr>
                <w:p w14:paraId="4BC73AE1">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w:t>
                  </w:r>
                </w:p>
              </w:tc>
              <w:tc>
                <w:tcPr>
                  <w:tcW w:w="749" w:type="dxa"/>
                  <w:tcBorders>
                    <w:tl2br w:val="nil"/>
                    <w:tr2bl w:val="nil"/>
                  </w:tcBorders>
                  <w:noWrap w:val="0"/>
                  <w:vAlign w:val="center"/>
                </w:tcPr>
                <w:p w14:paraId="7E4CE1FB">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5</w:t>
                  </w:r>
                </w:p>
              </w:tc>
              <w:tc>
                <w:tcPr>
                  <w:tcW w:w="749" w:type="dxa"/>
                  <w:tcBorders>
                    <w:tl2br w:val="nil"/>
                    <w:tr2bl w:val="nil"/>
                  </w:tcBorders>
                  <w:noWrap w:val="0"/>
                  <w:vAlign w:val="center"/>
                </w:tcPr>
                <w:p w14:paraId="557EA973">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w:t>
                  </w:r>
                </w:p>
              </w:tc>
              <w:tc>
                <w:tcPr>
                  <w:tcW w:w="749" w:type="dxa"/>
                  <w:tcBorders>
                    <w:tl2br w:val="nil"/>
                    <w:tr2bl w:val="nil"/>
                  </w:tcBorders>
                  <w:noWrap w:val="0"/>
                  <w:vAlign w:val="center"/>
                </w:tcPr>
                <w:p w14:paraId="4A005C6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15</w:t>
                  </w:r>
                </w:p>
              </w:tc>
              <w:tc>
                <w:tcPr>
                  <w:tcW w:w="749" w:type="dxa"/>
                  <w:tcBorders>
                    <w:tl2br w:val="nil"/>
                    <w:tr2bl w:val="nil"/>
                  </w:tcBorders>
                  <w:noWrap w:val="0"/>
                  <w:vAlign w:val="center"/>
                </w:tcPr>
                <w:p w14:paraId="3B7A7CC2">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20</w:t>
                  </w:r>
                </w:p>
              </w:tc>
              <w:tc>
                <w:tcPr>
                  <w:tcW w:w="830" w:type="dxa"/>
                  <w:tcBorders>
                    <w:tl2br w:val="nil"/>
                    <w:tr2bl w:val="nil"/>
                  </w:tcBorders>
                  <w:noWrap w:val="0"/>
                  <w:vAlign w:val="center"/>
                </w:tcPr>
                <w:p w14:paraId="3A5BB33C">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30</w:t>
                  </w:r>
                </w:p>
              </w:tc>
              <w:tc>
                <w:tcPr>
                  <w:tcW w:w="749" w:type="dxa"/>
                  <w:tcBorders>
                    <w:tl2br w:val="nil"/>
                    <w:tr2bl w:val="nil"/>
                  </w:tcBorders>
                  <w:noWrap w:val="0"/>
                  <w:vAlign w:val="center"/>
                </w:tcPr>
                <w:p w14:paraId="20410F5D">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40</w:t>
                  </w:r>
                </w:p>
              </w:tc>
              <w:tc>
                <w:tcPr>
                  <w:tcW w:w="749" w:type="dxa"/>
                  <w:tcBorders>
                    <w:tl2br w:val="nil"/>
                    <w:tr2bl w:val="nil"/>
                  </w:tcBorders>
                  <w:noWrap w:val="0"/>
                  <w:vAlign w:val="center"/>
                </w:tcPr>
                <w:p w14:paraId="05CF2C51">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80</w:t>
                  </w:r>
                </w:p>
              </w:tc>
              <w:tc>
                <w:tcPr>
                  <w:tcW w:w="749" w:type="dxa"/>
                  <w:tcBorders>
                    <w:tl2br w:val="nil"/>
                    <w:tr2bl w:val="nil"/>
                  </w:tcBorders>
                  <w:noWrap w:val="0"/>
                  <w:vAlign w:val="center"/>
                </w:tcPr>
                <w:p w14:paraId="58315019">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none" w:color="auto"/>
                      <w:lang w:val="en-US" w:eastAsia="zh-CN"/>
                    </w:rPr>
                  </w:pPr>
                  <w:r>
                    <w:rPr>
                      <w:rFonts w:hint="default" w:ascii="Times New Roman" w:hAnsi="Times New Roman" w:eastAsia="宋体" w:cs="Times New Roman"/>
                      <w:b/>
                      <w:color w:val="auto"/>
                      <w:sz w:val="18"/>
                      <w:szCs w:val="18"/>
                      <w:u w:val="none" w:color="auto"/>
                      <w:lang w:val="en-US" w:eastAsia="zh-CN"/>
                    </w:rPr>
                    <w:t>100</w:t>
                  </w:r>
                </w:p>
              </w:tc>
            </w:tr>
            <w:tr w14:paraId="02D54A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0057F6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48" w:type="dxa"/>
                  <w:tcBorders>
                    <w:tl2br w:val="nil"/>
                    <w:tr2bl w:val="nil"/>
                  </w:tcBorders>
                  <w:noWrap w:val="0"/>
                  <w:vAlign w:val="center"/>
                </w:tcPr>
                <w:p w14:paraId="3D06F8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6.00437 </w:t>
                  </w:r>
                </w:p>
              </w:tc>
              <w:tc>
                <w:tcPr>
                  <w:tcW w:w="749" w:type="dxa"/>
                  <w:tcBorders>
                    <w:tl2br w:val="nil"/>
                    <w:tr2bl w:val="nil"/>
                  </w:tcBorders>
                  <w:noWrap w:val="0"/>
                  <w:vAlign w:val="center"/>
                </w:tcPr>
                <w:p w14:paraId="295B1C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6.00433 </w:t>
                  </w:r>
                </w:p>
              </w:tc>
              <w:tc>
                <w:tcPr>
                  <w:tcW w:w="749" w:type="dxa"/>
                  <w:tcBorders>
                    <w:tl2br w:val="nil"/>
                    <w:tr2bl w:val="nil"/>
                  </w:tcBorders>
                  <w:noWrap w:val="0"/>
                  <w:vAlign w:val="center"/>
                </w:tcPr>
                <w:p w14:paraId="39E4D0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6.00403 </w:t>
                  </w:r>
                </w:p>
              </w:tc>
              <w:tc>
                <w:tcPr>
                  <w:tcW w:w="749" w:type="dxa"/>
                  <w:tcBorders>
                    <w:tl2br w:val="nil"/>
                    <w:tr2bl w:val="nil"/>
                  </w:tcBorders>
                  <w:noWrap w:val="0"/>
                  <w:vAlign w:val="center"/>
                </w:tcPr>
                <w:p w14:paraId="66A332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6.00313 </w:t>
                  </w:r>
                </w:p>
              </w:tc>
              <w:tc>
                <w:tcPr>
                  <w:tcW w:w="749" w:type="dxa"/>
                  <w:tcBorders>
                    <w:tl2br w:val="nil"/>
                    <w:tr2bl w:val="nil"/>
                  </w:tcBorders>
                  <w:noWrap w:val="0"/>
                  <w:vAlign w:val="center"/>
                </w:tcPr>
                <w:p w14:paraId="3D11B2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6.00205 </w:t>
                  </w:r>
                </w:p>
              </w:tc>
              <w:tc>
                <w:tcPr>
                  <w:tcW w:w="749" w:type="dxa"/>
                  <w:tcBorders>
                    <w:tl2br w:val="nil"/>
                    <w:tr2bl w:val="nil"/>
                  </w:tcBorders>
                  <w:noWrap w:val="0"/>
                  <w:vAlign w:val="center"/>
                </w:tcPr>
                <w:p w14:paraId="78FC49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6.00114 </w:t>
                  </w:r>
                </w:p>
              </w:tc>
              <w:tc>
                <w:tcPr>
                  <w:tcW w:w="830" w:type="dxa"/>
                  <w:tcBorders>
                    <w:tl2br w:val="nil"/>
                    <w:tr2bl w:val="nil"/>
                  </w:tcBorders>
                  <w:noWrap w:val="0"/>
                  <w:vAlign w:val="center"/>
                </w:tcPr>
                <w:p w14:paraId="47B8DD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6.00021 </w:t>
                  </w:r>
                </w:p>
              </w:tc>
              <w:tc>
                <w:tcPr>
                  <w:tcW w:w="749" w:type="dxa"/>
                  <w:tcBorders>
                    <w:tl2br w:val="nil"/>
                    <w:tr2bl w:val="nil"/>
                  </w:tcBorders>
                  <w:noWrap w:val="0"/>
                  <w:vAlign w:val="center"/>
                </w:tcPr>
                <w:p w14:paraId="12465A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6.00002 </w:t>
                  </w:r>
                </w:p>
              </w:tc>
              <w:tc>
                <w:tcPr>
                  <w:tcW w:w="749" w:type="dxa"/>
                  <w:tcBorders>
                    <w:tl2br w:val="nil"/>
                    <w:tr2bl w:val="nil"/>
                  </w:tcBorders>
                  <w:noWrap w:val="0"/>
                  <w:vAlign w:val="center"/>
                </w:tcPr>
                <w:p w14:paraId="55A946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7DD90B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1C8DF0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73D5A0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48" w:type="dxa"/>
                  <w:tcBorders>
                    <w:tl2br w:val="nil"/>
                    <w:tr2bl w:val="nil"/>
                  </w:tcBorders>
                  <w:noWrap w:val="0"/>
                  <w:vAlign w:val="center"/>
                </w:tcPr>
                <w:p w14:paraId="03A694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6.00357 </w:t>
                  </w:r>
                </w:p>
              </w:tc>
              <w:tc>
                <w:tcPr>
                  <w:tcW w:w="749" w:type="dxa"/>
                  <w:tcBorders>
                    <w:tl2br w:val="nil"/>
                    <w:tr2bl w:val="nil"/>
                  </w:tcBorders>
                  <w:noWrap w:val="0"/>
                  <w:vAlign w:val="center"/>
                </w:tcPr>
                <w:p w14:paraId="235B77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6.00355 </w:t>
                  </w:r>
                </w:p>
              </w:tc>
              <w:tc>
                <w:tcPr>
                  <w:tcW w:w="749" w:type="dxa"/>
                  <w:tcBorders>
                    <w:tl2br w:val="nil"/>
                    <w:tr2bl w:val="nil"/>
                  </w:tcBorders>
                  <w:noWrap w:val="0"/>
                  <w:vAlign w:val="center"/>
                </w:tcPr>
                <w:p w14:paraId="0F5A41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6.00338 </w:t>
                  </w:r>
                </w:p>
              </w:tc>
              <w:tc>
                <w:tcPr>
                  <w:tcW w:w="749" w:type="dxa"/>
                  <w:tcBorders>
                    <w:tl2br w:val="nil"/>
                    <w:tr2bl w:val="nil"/>
                  </w:tcBorders>
                  <w:noWrap w:val="0"/>
                  <w:vAlign w:val="center"/>
                </w:tcPr>
                <w:p w14:paraId="334EB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6.00286 </w:t>
                  </w:r>
                </w:p>
              </w:tc>
              <w:tc>
                <w:tcPr>
                  <w:tcW w:w="749" w:type="dxa"/>
                  <w:tcBorders>
                    <w:tl2br w:val="nil"/>
                    <w:tr2bl w:val="nil"/>
                  </w:tcBorders>
                  <w:noWrap w:val="0"/>
                  <w:vAlign w:val="center"/>
                </w:tcPr>
                <w:p w14:paraId="0E6072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6.00216 </w:t>
                  </w:r>
                </w:p>
              </w:tc>
              <w:tc>
                <w:tcPr>
                  <w:tcW w:w="749" w:type="dxa"/>
                  <w:tcBorders>
                    <w:tl2br w:val="nil"/>
                    <w:tr2bl w:val="nil"/>
                  </w:tcBorders>
                  <w:noWrap w:val="0"/>
                  <w:vAlign w:val="center"/>
                </w:tcPr>
                <w:p w14:paraId="72A629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6.00146 </w:t>
                  </w:r>
                </w:p>
              </w:tc>
              <w:tc>
                <w:tcPr>
                  <w:tcW w:w="830" w:type="dxa"/>
                  <w:tcBorders>
                    <w:tl2br w:val="nil"/>
                    <w:tr2bl w:val="nil"/>
                  </w:tcBorders>
                  <w:noWrap w:val="0"/>
                  <w:vAlign w:val="center"/>
                </w:tcPr>
                <w:p w14:paraId="5DE8CF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6.00047 </w:t>
                  </w:r>
                </w:p>
              </w:tc>
              <w:tc>
                <w:tcPr>
                  <w:tcW w:w="749" w:type="dxa"/>
                  <w:tcBorders>
                    <w:tl2br w:val="nil"/>
                    <w:tr2bl w:val="nil"/>
                  </w:tcBorders>
                  <w:noWrap w:val="0"/>
                  <w:vAlign w:val="center"/>
                </w:tcPr>
                <w:p w14:paraId="155489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6.00010 </w:t>
                  </w:r>
                </w:p>
              </w:tc>
              <w:tc>
                <w:tcPr>
                  <w:tcW w:w="749" w:type="dxa"/>
                  <w:tcBorders>
                    <w:tl2br w:val="nil"/>
                    <w:tr2bl w:val="nil"/>
                  </w:tcBorders>
                  <w:noWrap w:val="0"/>
                  <w:vAlign w:val="center"/>
                </w:tcPr>
                <w:p w14:paraId="385F10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4BA14A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000365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79220E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48" w:type="dxa"/>
                  <w:tcBorders>
                    <w:tl2br w:val="nil"/>
                    <w:tr2bl w:val="nil"/>
                  </w:tcBorders>
                  <w:noWrap w:val="0"/>
                  <w:vAlign w:val="center"/>
                </w:tcPr>
                <w:p w14:paraId="5780F8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6.00309 </w:t>
                  </w:r>
                </w:p>
              </w:tc>
              <w:tc>
                <w:tcPr>
                  <w:tcW w:w="749" w:type="dxa"/>
                  <w:tcBorders>
                    <w:tl2br w:val="nil"/>
                    <w:tr2bl w:val="nil"/>
                  </w:tcBorders>
                  <w:noWrap w:val="0"/>
                  <w:vAlign w:val="center"/>
                </w:tcPr>
                <w:p w14:paraId="273EF2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6.00307 </w:t>
                  </w:r>
                </w:p>
              </w:tc>
              <w:tc>
                <w:tcPr>
                  <w:tcW w:w="749" w:type="dxa"/>
                  <w:tcBorders>
                    <w:tl2br w:val="nil"/>
                    <w:tr2bl w:val="nil"/>
                  </w:tcBorders>
                  <w:noWrap w:val="0"/>
                  <w:vAlign w:val="center"/>
                </w:tcPr>
                <w:p w14:paraId="45F53C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6.00297 </w:t>
                  </w:r>
                </w:p>
              </w:tc>
              <w:tc>
                <w:tcPr>
                  <w:tcW w:w="749" w:type="dxa"/>
                  <w:tcBorders>
                    <w:tl2br w:val="nil"/>
                    <w:tr2bl w:val="nil"/>
                  </w:tcBorders>
                  <w:noWrap w:val="0"/>
                  <w:vAlign w:val="center"/>
                </w:tcPr>
                <w:p w14:paraId="78926E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6.00262 </w:t>
                  </w:r>
                </w:p>
              </w:tc>
              <w:tc>
                <w:tcPr>
                  <w:tcW w:w="749" w:type="dxa"/>
                  <w:tcBorders>
                    <w:tl2br w:val="nil"/>
                    <w:tr2bl w:val="nil"/>
                  </w:tcBorders>
                  <w:noWrap w:val="0"/>
                  <w:vAlign w:val="center"/>
                </w:tcPr>
                <w:p w14:paraId="19B0D6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6.00212 </w:t>
                  </w:r>
                </w:p>
              </w:tc>
              <w:tc>
                <w:tcPr>
                  <w:tcW w:w="749" w:type="dxa"/>
                  <w:tcBorders>
                    <w:tl2br w:val="nil"/>
                    <w:tr2bl w:val="nil"/>
                  </w:tcBorders>
                  <w:noWrap w:val="0"/>
                  <w:vAlign w:val="center"/>
                </w:tcPr>
                <w:p w14:paraId="0E98F7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6.00158 </w:t>
                  </w:r>
                </w:p>
              </w:tc>
              <w:tc>
                <w:tcPr>
                  <w:tcW w:w="830" w:type="dxa"/>
                  <w:tcBorders>
                    <w:tl2br w:val="nil"/>
                    <w:tr2bl w:val="nil"/>
                  </w:tcBorders>
                  <w:noWrap w:val="0"/>
                  <w:vAlign w:val="center"/>
                </w:tcPr>
                <w:p w14:paraId="0802C1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6.00068 </w:t>
                  </w:r>
                </w:p>
              </w:tc>
              <w:tc>
                <w:tcPr>
                  <w:tcW w:w="749" w:type="dxa"/>
                  <w:tcBorders>
                    <w:tl2br w:val="nil"/>
                    <w:tr2bl w:val="nil"/>
                  </w:tcBorders>
                  <w:noWrap w:val="0"/>
                  <w:vAlign w:val="center"/>
                </w:tcPr>
                <w:p w14:paraId="7F45BB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6.00021 </w:t>
                  </w:r>
                </w:p>
              </w:tc>
              <w:tc>
                <w:tcPr>
                  <w:tcW w:w="749" w:type="dxa"/>
                  <w:tcBorders>
                    <w:tl2br w:val="nil"/>
                    <w:tr2bl w:val="nil"/>
                  </w:tcBorders>
                  <w:noWrap w:val="0"/>
                  <w:vAlign w:val="center"/>
                </w:tcPr>
                <w:p w14:paraId="1A6F97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289642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004531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00A372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48" w:type="dxa"/>
                  <w:tcBorders>
                    <w:tl2br w:val="nil"/>
                    <w:tr2bl w:val="nil"/>
                  </w:tcBorders>
                  <w:noWrap w:val="0"/>
                  <w:vAlign w:val="center"/>
                </w:tcPr>
                <w:p w14:paraId="2904FD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6.00252 </w:t>
                  </w:r>
                </w:p>
              </w:tc>
              <w:tc>
                <w:tcPr>
                  <w:tcW w:w="749" w:type="dxa"/>
                  <w:tcBorders>
                    <w:tl2br w:val="nil"/>
                    <w:tr2bl w:val="nil"/>
                  </w:tcBorders>
                  <w:noWrap w:val="0"/>
                  <w:vAlign w:val="center"/>
                </w:tcPr>
                <w:p w14:paraId="250E5D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6.00251 </w:t>
                  </w:r>
                </w:p>
              </w:tc>
              <w:tc>
                <w:tcPr>
                  <w:tcW w:w="749" w:type="dxa"/>
                  <w:tcBorders>
                    <w:tl2br w:val="nil"/>
                    <w:tr2bl w:val="nil"/>
                  </w:tcBorders>
                  <w:noWrap w:val="0"/>
                  <w:vAlign w:val="center"/>
                </w:tcPr>
                <w:p w14:paraId="1AF397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6.00245 </w:t>
                  </w:r>
                </w:p>
              </w:tc>
              <w:tc>
                <w:tcPr>
                  <w:tcW w:w="749" w:type="dxa"/>
                  <w:tcBorders>
                    <w:tl2br w:val="nil"/>
                    <w:tr2bl w:val="nil"/>
                  </w:tcBorders>
                  <w:noWrap w:val="0"/>
                  <w:vAlign w:val="center"/>
                </w:tcPr>
                <w:p w14:paraId="108CE7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6.00226 </w:t>
                  </w:r>
                </w:p>
              </w:tc>
              <w:tc>
                <w:tcPr>
                  <w:tcW w:w="749" w:type="dxa"/>
                  <w:tcBorders>
                    <w:tl2br w:val="nil"/>
                    <w:tr2bl w:val="nil"/>
                  </w:tcBorders>
                  <w:noWrap w:val="0"/>
                  <w:vAlign w:val="center"/>
                </w:tcPr>
                <w:p w14:paraId="611FA6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6.00196 </w:t>
                  </w:r>
                </w:p>
              </w:tc>
              <w:tc>
                <w:tcPr>
                  <w:tcW w:w="749" w:type="dxa"/>
                  <w:tcBorders>
                    <w:tl2br w:val="nil"/>
                    <w:tr2bl w:val="nil"/>
                  </w:tcBorders>
                  <w:noWrap w:val="0"/>
                  <w:vAlign w:val="center"/>
                </w:tcPr>
                <w:p w14:paraId="66B09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6.00161 </w:t>
                  </w:r>
                </w:p>
              </w:tc>
              <w:tc>
                <w:tcPr>
                  <w:tcW w:w="830" w:type="dxa"/>
                  <w:tcBorders>
                    <w:tl2br w:val="nil"/>
                    <w:tr2bl w:val="nil"/>
                  </w:tcBorders>
                  <w:noWrap w:val="0"/>
                  <w:vAlign w:val="center"/>
                </w:tcPr>
                <w:p w14:paraId="01122B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6.00092 </w:t>
                  </w:r>
                </w:p>
              </w:tc>
              <w:tc>
                <w:tcPr>
                  <w:tcW w:w="749" w:type="dxa"/>
                  <w:tcBorders>
                    <w:tl2br w:val="nil"/>
                    <w:tr2bl w:val="nil"/>
                  </w:tcBorders>
                  <w:noWrap w:val="0"/>
                  <w:vAlign w:val="center"/>
                </w:tcPr>
                <w:p w14:paraId="765F49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6.00042 </w:t>
                  </w:r>
                </w:p>
              </w:tc>
              <w:tc>
                <w:tcPr>
                  <w:tcW w:w="749" w:type="dxa"/>
                  <w:tcBorders>
                    <w:tl2br w:val="nil"/>
                    <w:tr2bl w:val="nil"/>
                  </w:tcBorders>
                  <w:noWrap w:val="0"/>
                  <w:vAlign w:val="center"/>
                </w:tcPr>
                <w:p w14:paraId="0DC7E1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c>
                <w:tcPr>
                  <w:tcW w:w="749" w:type="dxa"/>
                  <w:tcBorders>
                    <w:tl2br w:val="nil"/>
                    <w:tr2bl w:val="nil"/>
                  </w:tcBorders>
                  <w:noWrap w:val="0"/>
                  <w:vAlign w:val="center"/>
                </w:tcPr>
                <w:p w14:paraId="1D8B2C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474525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768516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48" w:type="dxa"/>
                  <w:tcBorders>
                    <w:tl2br w:val="nil"/>
                    <w:tr2bl w:val="nil"/>
                  </w:tcBorders>
                  <w:noWrap w:val="0"/>
                  <w:vAlign w:val="center"/>
                </w:tcPr>
                <w:p w14:paraId="6869C4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6.00195 </w:t>
                  </w:r>
                </w:p>
              </w:tc>
              <w:tc>
                <w:tcPr>
                  <w:tcW w:w="749" w:type="dxa"/>
                  <w:tcBorders>
                    <w:tl2br w:val="nil"/>
                    <w:tr2bl w:val="nil"/>
                  </w:tcBorders>
                  <w:noWrap w:val="0"/>
                  <w:vAlign w:val="center"/>
                </w:tcPr>
                <w:p w14:paraId="4358EC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6.00194 </w:t>
                  </w:r>
                </w:p>
              </w:tc>
              <w:tc>
                <w:tcPr>
                  <w:tcW w:w="749" w:type="dxa"/>
                  <w:tcBorders>
                    <w:tl2br w:val="nil"/>
                    <w:tr2bl w:val="nil"/>
                  </w:tcBorders>
                  <w:noWrap w:val="0"/>
                  <w:vAlign w:val="center"/>
                </w:tcPr>
                <w:p w14:paraId="53BB9C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6.00192 </w:t>
                  </w:r>
                </w:p>
              </w:tc>
              <w:tc>
                <w:tcPr>
                  <w:tcW w:w="749" w:type="dxa"/>
                  <w:tcBorders>
                    <w:tl2br w:val="nil"/>
                    <w:tr2bl w:val="nil"/>
                  </w:tcBorders>
                  <w:noWrap w:val="0"/>
                  <w:vAlign w:val="center"/>
                </w:tcPr>
                <w:p w14:paraId="237806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6.00182 </w:t>
                  </w:r>
                </w:p>
              </w:tc>
              <w:tc>
                <w:tcPr>
                  <w:tcW w:w="749" w:type="dxa"/>
                  <w:tcBorders>
                    <w:tl2br w:val="nil"/>
                    <w:tr2bl w:val="nil"/>
                  </w:tcBorders>
                  <w:noWrap w:val="0"/>
                  <w:vAlign w:val="center"/>
                </w:tcPr>
                <w:p w14:paraId="6B36D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6.00167 </w:t>
                  </w:r>
                </w:p>
              </w:tc>
              <w:tc>
                <w:tcPr>
                  <w:tcW w:w="749" w:type="dxa"/>
                  <w:tcBorders>
                    <w:tl2br w:val="nil"/>
                    <w:tr2bl w:val="nil"/>
                  </w:tcBorders>
                  <w:noWrap w:val="0"/>
                  <w:vAlign w:val="center"/>
                </w:tcPr>
                <w:p w14:paraId="65E1F1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6.00149 </w:t>
                  </w:r>
                </w:p>
              </w:tc>
              <w:tc>
                <w:tcPr>
                  <w:tcW w:w="830" w:type="dxa"/>
                  <w:tcBorders>
                    <w:tl2br w:val="nil"/>
                    <w:tr2bl w:val="nil"/>
                  </w:tcBorders>
                  <w:noWrap w:val="0"/>
                  <w:vAlign w:val="center"/>
                </w:tcPr>
                <w:p w14:paraId="4036A2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6.00106 </w:t>
                  </w:r>
                </w:p>
              </w:tc>
              <w:tc>
                <w:tcPr>
                  <w:tcW w:w="749" w:type="dxa"/>
                  <w:tcBorders>
                    <w:tl2br w:val="nil"/>
                    <w:tr2bl w:val="nil"/>
                  </w:tcBorders>
                  <w:noWrap w:val="0"/>
                  <w:vAlign w:val="center"/>
                </w:tcPr>
                <w:p w14:paraId="7318B9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6.00066 </w:t>
                  </w:r>
                </w:p>
              </w:tc>
              <w:tc>
                <w:tcPr>
                  <w:tcW w:w="749" w:type="dxa"/>
                  <w:tcBorders>
                    <w:tl2br w:val="nil"/>
                    <w:tr2bl w:val="nil"/>
                  </w:tcBorders>
                  <w:noWrap w:val="0"/>
                  <w:vAlign w:val="center"/>
                </w:tcPr>
                <w:p w14:paraId="60F733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6.00003 </w:t>
                  </w:r>
                </w:p>
              </w:tc>
              <w:tc>
                <w:tcPr>
                  <w:tcW w:w="749" w:type="dxa"/>
                  <w:tcBorders>
                    <w:tl2br w:val="nil"/>
                    <w:tr2bl w:val="nil"/>
                  </w:tcBorders>
                  <w:noWrap w:val="0"/>
                  <w:vAlign w:val="center"/>
                </w:tcPr>
                <w:p w14:paraId="57F404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6.00000 </w:t>
                  </w:r>
                </w:p>
              </w:tc>
            </w:tr>
            <w:tr w14:paraId="300A8F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5C916D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48" w:type="dxa"/>
                  <w:tcBorders>
                    <w:tl2br w:val="nil"/>
                    <w:tr2bl w:val="nil"/>
                  </w:tcBorders>
                  <w:noWrap w:val="0"/>
                  <w:vAlign w:val="center"/>
                </w:tcPr>
                <w:p w14:paraId="097DE8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6.00137 </w:t>
                  </w:r>
                </w:p>
              </w:tc>
              <w:tc>
                <w:tcPr>
                  <w:tcW w:w="749" w:type="dxa"/>
                  <w:tcBorders>
                    <w:tl2br w:val="nil"/>
                    <w:tr2bl w:val="nil"/>
                  </w:tcBorders>
                  <w:noWrap w:val="0"/>
                  <w:vAlign w:val="center"/>
                </w:tcPr>
                <w:p w14:paraId="65247E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6.00137 </w:t>
                  </w:r>
                </w:p>
              </w:tc>
              <w:tc>
                <w:tcPr>
                  <w:tcW w:w="749" w:type="dxa"/>
                  <w:tcBorders>
                    <w:tl2br w:val="nil"/>
                    <w:tr2bl w:val="nil"/>
                  </w:tcBorders>
                  <w:noWrap w:val="0"/>
                  <w:vAlign w:val="center"/>
                </w:tcPr>
                <w:p w14:paraId="28F0A0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6.00136 </w:t>
                  </w:r>
                </w:p>
              </w:tc>
              <w:tc>
                <w:tcPr>
                  <w:tcW w:w="749" w:type="dxa"/>
                  <w:tcBorders>
                    <w:tl2br w:val="nil"/>
                    <w:tr2bl w:val="nil"/>
                  </w:tcBorders>
                  <w:noWrap w:val="0"/>
                  <w:vAlign w:val="center"/>
                </w:tcPr>
                <w:p w14:paraId="1801AC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6.00132 </w:t>
                  </w:r>
                </w:p>
              </w:tc>
              <w:tc>
                <w:tcPr>
                  <w:tcW w:w="749" w:type="dxa"/>
                  <w:tcBorders>
                    <w:tl2br w:val="nil"/>
                    <w:tr2bl w:val="nil"/>
                  </w:tcBorders>
                  <w:noWrap w:val="0"/>
                  <w:vAlign w:val="center"/>
                </w:tcPr>
                <w:p w14:paraId="77F8E7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6.00127 </w:t>
                  </w:r>
                </w:p>
              </w:tc>
              <w:tc>
                <w:tcPr>
                  <w:tcW w:w="749" w:type="dxa"/>
                  <w:tcBorders>
                    <w:tl2br w:val="nil"/>
                    <w:tr2bl w:val="nil"/>
                  </w:tcBorders>
                  <w:noWrap w:val="0"/>
                  <w:vAlign w:val="center"/>
                </w:tcPr>
                <w:p w14:paraId="199DE5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6.00120 </w:t>
                  </w:r>
                </w:p>
              </w:tc>
              <w:tc>
                <w:tcPr>
                  <w:tcW w:w="830" w:type="dxa"/>
                  <w:tcBorders>
                    <w:tl2br w:val="nil"/>
                    <w:tr2bl w:val="nil"/>
                  </w:tcBorders>
                  <w:noWrap w:val="0"/>
                  <w:vAlign w:val="center"/>
                </w:tcPr>
                <w:p w14:paraId="0F96CD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6.00101 </w:t>
                  </w:r>
                </w:p>
              </w:tc>
              <w:tc>
                <w:tcPr>
                  <w:tcW w:w="749" w:type="dxa"/>
                  <w:tcBorders>
                    <w:tl2br w:val="nil"/>
                    <w:tr2bl w:val="nil"/>
                  </w:tcBorders>
                  <w:noWrap w:val="0"/>
                  <w:vAlign w:val="center"/>
                </w:tcPr>
                <w:p w14:paraId="070B1C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6.00080 </w:t>
                  </w:r>
                </w:p>
              </w:tc>
              <w:tc>
                <w:tcPr>
                  <w:tcW w:w="749" w:type="dxa"/>
                  <w:tcBorders>
                    <w:tl2br w:val="nil"/>
                    <w:tr2bl w:val="nil"/>
                  </w:tcBorders>
                  <w:noWrap w:val="0"/>
                  <w:vAlign w:val="center"/>
                </w:tcPr>
                <w:p w14:paraId="2EF7D6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6.00016 </w:t>
                  </w:r>
                </w:p>
              </w:tc>
              <w:tc>
                <w:tcPr>
                  <w:tcW w:w="749" w:type="dxa"/>
                  <w:tcBorders>
                    <w:tl2br w:val="nil"/>
                    <w:tr2bl w:val="nil"/>
                  </w:tcBorders>
                  <w:noWrap w:val="0"/>
                  <w:vAlign w:val="center"/>
                </w:tcPr>
                <w:p w14:paraId="206DCC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6.00005 </w:t>
                  </w:r>
                </w:p>
              </w:tc>
            </w:tr>
            <w:tr w14:paraId="3F1363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2C2B0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48" w:type="dxa"/>
                  <w:tcBorders>
                    <w:tl2br w:val="nil"/>
                    <w:tr2bl w:val="nil"/>
                  </w:tcBorders>
                  <w:noWrap w:val="0"/>
                  <w:vAlign w:val="center"/>
                </w:tcPr>
                <w:p w14:paraId="3DC721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6.00058 </w:t>
                  </w:r>
                </w:p>
              </w:tc>
              <w:tc>
                <w:tcPr>
                  <w:tcW w:w="749" w:type="dxa"/>
                  <w:tcBorders>
                    <w:tl2br w:val="nil"/>
                    <w:tr2bl w:val="nil"/>
                  </w:tcBorders>
                  <w:noWrap w:val="0"/>
                  <w:vAlign w:val="center"/>
                </w:tcPr>
                <w:p w14:paraId="09FBA1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6.00058 </w:t>
                  </w:r>
                </w:p>
              </w:tc>
              <w:tc>
                <w:tcPr>
                  <w:tcW w:w="749" w:type="dxa"/>
                  <w:tcBorders>
                    <w:tl2br w:val="nil"/>
                    <w:tr2bl w:val="nil"/>
                  </w:tcBorders>
                  <w:noWrap w:val="0"/>
                  <w:vAlign w:val="center"/>
                </w:tcPr>
                <w:p w14:paraId="57A318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6.00058 </w:t>
                  </w:r>
                </w:p>
              </w:tc>
              <w:tc>
                <w:tcPr>
                  <w:tcW w:w="749" w:type="dxa"/>
                  <w:tcBorders>
                    <w:tl2br w:val="nil"/>
                    <w:tr2bl w:val="nil"/>
                  </w:tcBorders>
                  <w:noWrap w:val="0"/>
                  <w:vAlign w:val="center"/>
                </w:tcPr>
                <w:p w14:paraId="78A688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6.00057 </w:t>
                  </w:r>
                </w:p>
              </w:tc>
              <w:tc>
                <w:tcPr>
                  <w:tcW w:w="749" w:type="dxa"/>
                  <w:tcBorders>
                    <w:tl2br w:val="nil"/>
                    <w:tr2bl w:val="nil"/>
                  </w:tcBorders>
                  <w:noWrap w:val="0"/>
                  <w:vAlign w:val="center"/>
                </w:tcPr>
                <w:p w14:paraId="7F39A2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6.00057 </w:t>
                  </w:r>
                </w:p>
              </w:tc>
              <w:tc>
                <w:tcPr>
                  <w:tcW w:w="749" w:type="dxa"/>
                  <w:tcBorders>
                    <w:tl2br w:val="nil"/>
                    <w:tr2bl w:val="nil"/>
                  </w:tcBorders>
                  <w:noWrap w:val="0"/>
                  <w:vAlign w:val="center"/>
                </w:tcPr>
                <w:p w14:paraId="07A7AF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6.00056 </w:t>
                  </w:r>
                </w:p>
              </w:tc>
              <w:tc>
                <w:tcPr>
                  <w:tcW w:w="830" w:type="dxa"/>
                  <w:tcBorders>
                    <w:tl2br w:val="nil"/>
                    <w:tr2bl w:val="nil"/>
                  </w:tcBorders>
                  <w:noWrap w:val="0"/>
                  <w:vAlign w:val="center"/>
                </w:tcPr>
                <w:p w14:paraId="0F92F1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6.00055 </w:t>
                  </w:r>
                </w:p>
              </w:tc>
              <w:tc>
                <w:tcPr>
                  <w:tcW w:w="749" w:type="dxa"/>
                  <w:tcBorders>
                    <w:tl2br w:val="nil"/>
                    <w:tr2bl w:val="nil"/>
                  </w:tcBorders>
                  <w:noWrap w:val="0"/>
                  <w:vAlign w:val="center"/>
                </w:tcPr>
                <w:p w14:paraId="360FDD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6.00052 </w:t>
                  </w:r>
                </w:p>
              </w:tc>
              <w:tc>
                <w:tcPr>
                  <w:tcW w:w="749" w:type="dxa"/>
                  <w:tcBorders>
                    <w:tl2br w:val="nil"/>
                    <w:tr2bl w:val="nil"/>
                  </w:tcBorders>
                  <w:noWrap w:val="0"/>
                  <w:vAlign w:val="center"/>
                </w:tcPr>
                <w:p w14:paraId="077220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6.00040 </w:t>
                  </w:r>
                </w:p>
              </w:tc>
              <w:tc>
                <w:tcPr>
                  <w:tcW w:w="749" w:type="dxa"/>
                  <w:tcBorders>
                    <w:tl2br w:val="nil"/>
                    <w:tr2bl w:val="nil"/>
                  </w:tcBorders>
                  <w:noWrap w:val="0"/>
                  <w:vAlign w:val="center"/>
                </w:tcPr>
                <w:p w14:paraId="177AE9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r>
            <w:tr w14:paraId="56A9A2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29FB1C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48" w:type="dxa"/>
                  <w:tcBorders>
                    <w:tl2br w:val="nil"/>
                    <w:tr2bl w:val="nil"/>
                  </w:tcBorders>
                  <w:noWrap w:val="0"/>
                  <w:vAlign w:val="center"/>
                </w:tcPr>
                <w:p w14:paraId="74F444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6.00041 </w:t>
                  </w:r>
                </w:p>
              </w:tc>
              <w:tc>
                <w:tcPr>
                  <w:tcW w:w="749" w:type="dxa"/>
                  <w:tcBorders>
                    <w:tl2br w:val="nil"/>
                    <w:tr2bl w:val="nil"/>
                  </w:tcBorders>
                  <w:noWrap w:val="0"/>
                  <w:vAlign w:val="center"/>
                </w:tcPr>
                <w:p w14:paraId="7B0BD1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6.00041 </w:t>
                  </w:r>
                </w:p>
              </w:tc>
              <w:tc>
                <w:tcPr>
                  <w:tcW w:w="749" w:type="dxa"/>
                  <w:tcBorders>
                    <w:tl2br w:val="nil"/>
                    <w:tr2bl w:val="nil"/>
                  </w:tcBorders>
                  <w:noWrap w:val="0"/>
                  <w:vAlign w:val="center"/>
                </w:tcPr>
                <w:p w14:paraId="1A5CC5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6.00041 </w:t>
                  </w:r>
                </w:p>
              </w:tc>
              <w:tc>
                <w:tcPr>
                  <w:tcW w:w="749" w:type="dxa"/>
                  <w:tcBorders>
                    <w:tl2br w:val="nil"/>
                    <w:tr2bl w:val="nil"/>
                  </w:tcBorders>
                  <w:noWrap w:val="0"/>
                  <w:vAlign w:val="center"/>
                </w:tcPr>
                <w:p w14:paraId="1B7AEC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6.00041 </w:t>
                  </w:r>
                </w:p>
              </w:tc>
              <w:tc>
                <w:tcPr>
                  <w:tcW w:w="749" w:type="dxa"/>
                  <w:tcBorders>
                    <w:tl2br w:val="nil"/>
                    <w:tr2bl w:val="nil"/>
                  </w:tcBorders>
                  <w:noWrap w:val="0"/>
                  <w:vAlign w:val="center"/>
                </w:tcPr>
                <w:p w14:paraId="559E4F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6.00041 </w:t>
                  </w:r>
                </w:p>
              </w:tc>
              <w:tc>
                <w:tcPr>
                  <w:tcW w:w="749" w:type="dxa"/>
                  <w:tcBorders>
                    <w:tl2br w:val="nil"/>
                    <w:tr2bl w:val="nil"/>
                  </w:tcBorders>
                  <w:noWrap w:val="0"/>
                  <w:vAlign w:val="center"/>
                </w:tcPr>
                <w:p w14:paraId="23895D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6.00041 </w:t>
                  </w:r>
                </w:p>
              </w:tc>
              <w:tc>
                <w:tcPr>
                  <w:tcW w:w="830" w:type="dxa"/>
                  <w:tcBorders>
                    <w:tl2br w:val="nil"/>
                    <w:tr2bl w:val="nil"/>
                  </w:tcBorders>
                  <w:noWrap w:val="0"/>
                  <w:vAlign w:val="center"/>
                </w:tcPr>
                <w:p w14:paraId="1ABB69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6.00041 </w:t>
                  </w:r>
                </w:p>
              </w:tc>
              <w:tc>
                <w:tcPr>
                  <w:tcW w:w="749" w:type="dxa"/>
                  <w:tcBorders>
                    <w:tl2br w:val="nil"/>
                    <w:tr2bl w:val="nil"/>
                  </w:tcBorders>
                  <w:noWrap w:val="0"/>
                  <w:vAlign w:val="center"/>
                </w:tcPr>
                <w:p w14:paraId="0DF155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6.00040 </w:t>
                  </w:r>
                </w:p>
              </w:tc>
              <w:tc>
                <w:tcPr>
                  <w:tcW w:w="749" w:type="dxa"/>
                  <w:tcBorders>
                    <w:tl2br w:val="nil"/>
                    <w:tr2bl w:val="nil"/>
                  </w:tcBorders>
                  <w:noWrap w:val="0"/>
                  <w:vAlign w:val="center"/>
                </w:tcPr>
                <w:p w14:paraId="731E99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6.00038 </w:t>
                  </w:r>
                </w:p>
              </w:tc>
              <w:tc>
                <w:tcPr>
                  <w:tcW w:w="749" w:type="dxa"/>
                  <w:tcBorders>
                    <w:tl2br w:val="nil"/>
                    <w:tr2bl w:val="nil"/>
                  </w:tcBorders>
                  <w:noWrap w:val="0"/>
                  <w:vAlign w:val="center"/>
                </w:tcPr>
                <w:p w14:paraId="3DFF24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6.00037 </w:t>
                  </w:r>
                </w:p>
              </w:tc>
            </w:tr>
            <w:tr w14:paraId="21C98A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3F172E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48" w:type="dxa"/>
                  <w:tcBorders>
                    <w:tl2br w:val="nil"/>
                    <w:tr2bl w:val="nil"/>
                  </w:tcBorders>
                  <w:noWrap w:val="0"/>
                  <w:vAlign w:val="center"/>
                </w:tcPr>
                <w:p w14:paraId="7264F4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5F851B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32EDFB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591C03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3651F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42EAF2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830" w:type="dxa"/>
                  <w:tcBorders>
                    <w:tl2br w:val="nil"/>
                    <w:tr2bl w:val="nil"/>
                  </w:tcBorders>
                  <w:noWrap w:val="0"/>
                  <w:vAlign w:val="center"/>
                </w:tcPr>
                <w:p w14:paraId="5FEFE9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465CF4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72CE43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c>
                <w:tcPr>
                  <w:tcW w:w="749" w:type="dxa"/>
                  <w:tcBorders>
                    <w:tl2br w:val="nil"/>
                    <w:tr2bl w:val="nil"/>
                  </w:tcBorders>
                  <w:noWrap w:val="0"/>
                  <w:vAlign w:val="center"/>
                </w:tcPr>
                <w:p w14:paraId="4EDE58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6.00033 </w:t>
                  </w:r>
                </w:p>
              </w:tc>
            </w:tr>
            <w:tr w14:paraId="7C66B3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522AE7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48" w:type="dxa"/>
                  <w:tcBorders>
                    <w:tl2br w:val="nil"/>
                    <w:tr2bl w:val="nil"/>
                  </w:tcBorders>
                  <w:noWrap w:val="0"/>
                  <w:vAlign w:val="center"/>
                </w:tcPr>
                <w:p w14:paraId="1C5575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04BE84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5076A2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108004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52AF15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021622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830" w:type="dxa"/>
                  <w:tcBorders>
                    <w:tl2br w:val="nil"/>
                    <w:tr2bl w:val="nil"/>
                  </w:tcBorders>
                  <w:noWrap w:val="0"/>
                  <w:vAlign w:val="center"/>
                </w:tcPr>
                <w:p w14:paraId="47D5C3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38236A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25ABBD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c>
                <w:tcPr>
                  <w:tcW w:w="749" w:type="dxa"/>
                  <w:tcBorders>
                    <w:tl2br w:val="nil"/>
                    <w:tr2bl w:val="nil"/>
                  </w:tcBorders>
                  <w:noWrap w:val="0"/>
                  <w:vAlign w:val="center"/>
                </w:tcPr>
                <w:p w14:paraId="1BDA92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6.00019 </w:t>
                  </w:r>
                </w:p>
              </w:tc>
            </w:tr>
            <w:tr w14:paraId="18ED7A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276" w:type="dxa"/>
                  <w:gridSpan w:val="11"/>
                  <w:tcBorders>
                    <w:tl2br w:val="nil"/>
                    <w:tr2bl w:val="nil"/>
                  </w:tcBorders>
                  <w:noWrap w:val="0"/>
                  <w:vAlign w:val="center"/>
                </w:tcPr>
                <w:p w14:paraId="697E79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-N</w:t>
                  </w:r>
                </w:p>
              </w:tc>
            </w:tr>
            <w:tr w14:paraId="33DDAA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76435729">
                  <w:pPr>
                    <w:keepNext w:val="0"/>
                    <w:keepLines w:val="0"/>
                    <w:widowControl/>
                    <w:suppressLineNumbers w:val="0"/>
                    <w:jc w:val="center"/>
                    <w:textAlignment w:val="center"/>
                    <w:rPr>
                      <w:rFonts w:hint="eastAsia" w:ascii="Times New Roman" w:hAnsi="Times New Roman" w:eastAsia="宋体" w:cs="Times New Roman"/>
                      <w:color w:val="auto"/>
                      <w:sz w:val="18"/>
                      <w:szCs w:val="18"/>
                      <w:u w:val="none" w:color="auto"/>
                      <w:lang w:val="en-US" w:eastAsia="zh-CN"/>
                    </w:rPr>
                  </w:pPr>
                  <w:r>
                    <w:rPr>
                      <w:rFonts w:hint="default" w:ascii="Times New Roman" w:hAnsi="Times New Roman" w:eastAsia="宋体" w:cs="Times New Roman"/>
                      <w:color w:val="auto"/>
                      <w:sz w:val="18"/>
                      <w:szCs w:val="18"/>
                      <w:u w:val="none" w:color="auto"/>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13970</wp:posOffset>
                            </wp:positionV>
                            <wp:extent cx="297180" cy="423545"/>
                            <wp:effectExtent l="5080" t="3810" r="27940" b="4445"/>
                            <wp:wrapNone/>
                            <wp:docPr id="21" name="直接连接符 21"/>
                            <wp:cNvGraphicFramePr/>
                            <a:graphic xmlns:a="http://schemas.openxmlformats.org/drawingml/2006/main">
                              <a:graphicData uri="http://schemas.microsoft.com/office/word/2010/wordprocessingShape">
                                <wps:wsp>
                                  <wps:cNvCnPr/>
                                  <wps:spPr>
                                    <a:xfrm>
                                      <a:off x="0" y="0"/>
                                      <a:ext cx="297180" cy="4235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5pt;margin-top:1.1pt;height:33.35pt;width:23.4pt;z-index:251664384;mso-width-relative:page;mso-height-relative:page;" filled="f" stroked="t" coordsize="21600,21600" o:gfxdata="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1LBjU1AAAAAYBAAAPAAAAAAAAAAEAIAAAACIAAABkcnMvZG93bnJldi54bWxQSwEC&#10;FAAUAAAACACHTuJAluNwEvgBAADqAwAADgAAAAAAAAABACAAAAAjAQAAZHJzL2Uyb0RvYy54bWxQ&#10;SwUGAAAAAAYABgBZAQAAjQUAAAAA&#10;">
                            <v:fill on="f" focussize="0,0"/>
                            <v:stroke color="#000000" joinstyle="round"/>
                            <v:imagedata o:title=""/>
                            <o:lock v:ext="edit" aspectratio="f"/>
                          </v:line>
                        </w:pict>
                      </mc:Fallback>
                    </mc:AlternateContent>
                  </w:r>
                  <w:r>
                    <w:rPr>
                      <w:rFonts w:hint="eastAsia" w:cs="Times New Roman"/>
                      <w:color w:val="auto"/>
                      <w:sz w:val="18"/>
                      <w:szCs w:val="18"/>
                      <w:u w:val="none" w:color="auto"/>
                      <w:lang w:val="en-US" w:eastAsia="zh-CN"/>
                    </w:rPr>
                    <w:t>y</w:t>
                  </w:r>
                </w:p>
                <w:p w14:paraId="3E94DF2D">
                  <w:pPr>
                    <w:pStyle w:val="6"/>
                    <w:rPr>
                      <w:rFonts w:hint="default"/>
                      <w:u w:val="none" w:color="auto"/>
                      <w:lang w:val="en-US" w:eastAsia="zh-CN"/>
                    </w:rPr>
                  </w:pPr>
                  <w:r>
                    <w:rPr>
                      <w:rFonts w:hint="eastAsia" w:ascii="Times New Roman" w:hAnsi="Times New Roman" w:eastAsia="宋体" w:cs="Times New Roman"/>
                      <w:color w:val="auto"/>
                      <w:sz w:val="18"/>
                      <w:szCs w:val="18"/>
                      <w:u w:val="none" w:color="auto"/>
                      <w:lang w:val="en-US" w:eastAsia="zh-CN"/>
                    </w:rPr>
                    <w:t>x</w:t>
                  </w:r>
                </w:p>
              </w:tc>
              <w:tc>
                <w:tcPr>
                  <w:tcW w:w="748" w:type="dxa"/>
                  <w:tcBorders>
                    <w:tl2br w:val="nil"/>
                    <w:tr2bl w:val="nil"/>
                  </w:tcBorders>
                  <w:noWrap w:val="0"/>
                  <w:vAlign w:val="center"/>
                </w:tcPr>
                <w:p w14:paraId="439DABD3">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w:t>
                  </w:r>
                </w:p>
              </w:tc>
              <w:tc>
                <w:tcPr>
                  <w:tcW w:w="749" w:type="dxa"/>
                  <w:tcBorders>
                    <w:tl2br w:val="nil"/>
                    <w:tr2bl w:val="nil"/>
                  </w:tcBorders>
                  <w:noWrap w:val="0"/>
                  <w:vAlign w:val="center"/>
                </w:tcPr>
                <w:p w14:paraId="350566D7">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w:t>
                  </w:r>
                </w:p>
              </w:tc>
              <w:tc>
                <w:tcPr>
                  <w:tcW w:w="749" w:type="dxa"/>
                  <w:tcBorders>
                    <w:tl2br w:val="nil"/>
                    <w:tr2bl w:val="nil"/>
                  </w:tcBorders>
                  <w:noWrap w:val="0"/>
                  <w:vAlign w:val="center"/>
                </w:tcPr>
                <w:p w14:paraId="49F4E2AD">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5</w:t>
                  </w:r>
                </w:p>
              </w:tc>
              <w:tc>
                <w:tcPr>
                  <w:tcW w:w="749" w:type="dxa"/>
                  <w:tcBorders>
                    <w:tl2br w:val="nil"/>
                    <w:tr2bl w:val="nil"/>
                  </w:tcBorders>
                  <w:noWrap w:val="0"/>
                  <w:vAlign w:val="center"/>
                </w:tcPr>
                <w:p w14:paraId="37700806">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w:t>
                  </w:r>
                </w:p>
              </w:tc>
              <w:tc>
                <w:tcPr>
                  <w:tcW w:w="749" w:type="dxa"/>
                  <w:tcBorders>
                    <w:tl2br w:val="nil"/>
                    <w:tr2bl w:val="nil"/>
                  </w:tcBorders>
                  <w:noWrap w:val="0"/>
                  <w:vAlign w:val="center"/>
                </w:tcPr>
                <w:p w14:paraId="6664B928">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15</w:t>
                  </w:r>
                </w:p>
              </w:tc>
              <w:tc>
                <w:tcPr>
                  <w:tcW w:w="749" w:type="dxa"/>
                  <w:tcBorders>
                    <w:tl2br w:val="nil"/>
                    <w:tr2bl w:val="nil"/>
                  </w:tcBorders>
                  <w:noWrap w:val="0"/>
                  <w:vAlign w:val="center"/>
                </w:tcPr>
                <w:p w14:paraId="1F567C60">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20</w:t>
                  </w:r>
                </w:p>
              </w:tc>
              <w:tc>
                <w:tcPr>
                  <w:tcW w:w="830" w:type="dxa"/>
                  <w:tcBorders>
                    <w:tl2br w:val="nil"/>
                    <w:tr2bl w:val="nil"/>
                  </w:tcBorders>
                  <w:noWrap w:val="0"/>
                  <w:vAlign w:val="center"/>
                </w:tcPr>
                <w:p w14:paraId="5EB3C2F0">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30</w:t>
                  </w:r>
                </w:p>
              </w:tc>
              <w:tc>
                <w:tcPr>
                  <w:tcW w:w="749" w:type="dxa"/>
                  <w:tcBorders>
                    <w:tl2br w:val="nil"/>
                    <w:tr2bl w:val="nil"/>
                  </w:tcBorders>
                  <w:noWrap w:val="0"/>
                  <w:vAlign w:val="center"/>
                </w:tcPr>
                <w:p w14:paraId="77D3F94B">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40</w:t>
                  </w:r>
                </w:p>
              </w:tc>
              <w:tc>
                <w:tcPr>
                  <w:tcW w:w="749" w:type="dxa"/>
                  <w:tcBorders>
                    <w:tl2br w:val="nil"/>
                    <w:tr2bl w:val="nil"/>
                  </w:tcBorders>
                  <w:noWrap w:val="0"/>
                  <w:vAlign w:val="center"/>
                </w:tcPr>
                <w:p w14:paraId="0F08E9AE">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80</w:t>
                  </w:r>
                </w:p>
              </w:tc>
              <w:tc>
                <w:tcPr>
                  <w:tcW w:w="749" w:type="dxa"/>
                  <w:tcBorders>
                    <w:tl2br w:val="nil"/>
                    <w:tr2bl w:val="nil"/>
                  </w:tcBorders>
                  <w:noWrap w:val="0"/>
                  <w:vAlign w:val="center"/>
                </w:tcPr>
                <w:p w14:paraId="229D4CC7">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b/>
                      <w:color w:val="auto"/>
                      <w:sz w:val="18"/>
                      <w:szCs w:val="18"/>
                      <w:u w:val="none" w:color="auto"/>
                      <w:lang w:val="en-US" w:eastAsia="zh-CN"/>
                    </w:rPr>
                    <w:t>100</w:t>
                  </w:r>
                </w:p>
              </w:tc>
            </w:tr>
            <w:tr w14:paraId="4A48DA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4D3ED0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w:t>
                  </w:r>
                </w:p>
              </w:tc>
              <w:tc>
                <w:tcPr>
                  <w:tcW w:w="748" w:type="dxa"/>
                  <w:tcBorders>
                    <w:tl2br w:val="nil"/>
                    <w:tr2bl w:val="nil"/>
                  </w:tcBorders>
                  <w:noWrap w:val="0"/>
                  <w:vAlign w:val="center"/>
                </w:tcPr>
                <w:p w14:paraId="3E387C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0.04067 </w:t>
                  </w:r>
                </w:p>
              </w:tc>
              <w:tc>
                <w:tcPr>
                  <w:tcW w:w="749" w:type="dxa"/>
                  <w:tcBorders>
                    <w:tl2br w:val="nil"/>
                    <w:tr2bl w:val="nil"/>
                  </w:tcBorders>
                  <w:noWrap w:val="0"/>
                  <w:vAlign w:val="center"/>
                </w:tcPr>
                <w:p w14:paraId="08E215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0.04067 </w:t>
                  </w:r>
                </w:p>
              </w:tc>
              <w:tc>
                <w:tcPr>
                  <w:tcW w:w="749" w:type="dxa"/>
                  <w:tcBorders>
                    <w:tl2br w:val="nil"/>
                    <w:tr2bl w:val="nil"/>
                  </w:tcBorders>
                  <w:noWrap w:val="0"/>
                  <w:vAlign w:val="center"/>
                </w:tcPr>
                <w:p w14:paraId="71DF57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0.04062 </w:t>
                  </w:r>
                </w:p>
              </w:tc>
              <w:tc>
                <w:tcPr>
                  <w:tcW w:w="749" w:type="dxa"/>
                  <w:tcBorders>
                    <w:tl2br w:val="nil"/>
                    <w:tr2bl w:val="nil"/>
                  </w:tcBorders>
                  <w:noWrap w:val="0"/>
                  <w:vAlign w:val="center"/>
                </w:tcPr>
                <w:p w14:paraId="6A2AD2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0.04048 </w:t>
                  </w:r>
                </w:p>
              </w:tc>
              <w:tc>
                <w:tcPr>
                  <w:tcW w:w="749" w:type="dxa"/>
                  <w:tcBorders>
                    <w:tl2br w:val="nil"/>
                    <w:tr2bl w:val="nil"/>
                  </w:tcBorders>
                  <w:noWrap w:val="0"/>
                  <w:vAlign w:val="center"/>
                </w:tcPr>
                <w:p w14:paraId="4FC061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0.04032 </w:t>
                  </w:r>
                </w:p>
              </w:tc>
              <w:tc>
                <w:tcPr>
                  <w:tcW w:w="749" w:type="dxa"/>
                  <w:tcBorders>
                    <w:tl2br w:val="nil"/>
                    <w:tr2bl w:val="nil"/>
                  </w:tcBorders>
                  <w:noWrap w:val="0"/>
                  <w:vAlign w:val="center"/>
                </w:tcPr>
                <w:p w14:paraId="713B42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0.04018 </w:t>
                  </w:r>
                </w:p>
              </w:tc>
              <w:tc>
                <w:tcPr>
                  <w:tcW w:w="830" w:type="dxa"/>
                  <w:tcBorders>
                    <w:tl2br w:val="nil"/>
                    <w:tr2bl w:val="nil"/>
                  </w:tcBorders>
                  <w:noWrap w:val="0"/>
                  <w:vAlign w:val="center"/>
                </w:tcPr>
                <w:p w14:paraId="2FF791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06E735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49" w:type="dxa"/>
                  <w:tcBorders>
                    <w:tl2br w:val="nil"/>
                    <w:tr2bl w:val="nil"/>
                  </w:tcBorders>
                  <w:noWrap w:val="0"/>
                  <w:vAlign w:val="center"/>
                </w:tcPr>
                <w:p w14:paraId="4FA811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49" w:type="dxa"/>
                  <w:tcBorders>
                    <w:tl2br w:val="nil"/>
                    <w:tr2bl w:val="nil"/>
                  </w:tcBorders>
                  <w:noWrap w:val="0"/>
                  <w:vAlign w:val="center"/>
                </w:tcPr>
                <w:p w14:paraId="1FAECB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0C1D20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69A89B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15</w:t>
                  </w:r>
                </w:p>
              </w:tc>
              <w:tc>
                <w:tcPr>
                  <w:tcW w:w="748" w:type="dxa"/>
                  <w:tcBorders>
                    <w:tl2br w:val="nil"/>
                    <w:tr2bl w:val="nil"/>
                  </w:tcBorders>
                  <w:noWrap w:val="0"/>
                  <w:vAlign w:val="center"/>
                </w:tcPr>
                <w:p w14:paraId="12AAA5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0.04055 </w:t>
                  </w:r>
                </w:p>
              </w:tc>
              <w:tc>
                <w:tcPr>
                  <w:tcW w:w="749" w:type="dxa"/>
                  <w:tcBorders>
                    <w:tl2br w:val="nil"/>
                    <w:tr2bl w:val="nil"/>
                  </w:tcBorders>
                  <w:noWrap w:val="0"/>
                  <w:vAlign w:val="center"/>
                </w:tcPr>
                <w:p w14:paraId="39F7B4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0.04055 </w:t>
                  </w:r>
                </w:p>
              </w:tc>
              <w:tc>
                <w:tcPr>
                  <w:tcW w:w="749" w:type="dxa"/>
                  <w:tcBorders>
                    <w:tl2br w:val="nil"/>
                    <w:tr2bl w:val="nil"/>
                  </w:tcBorders>
                  <w:noWrap w:val="0"/>
                  <w:vAlign w:val="center"/>
                </w:tcPr>
                <w:p w14:paraId="4B4FD3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0.04052 </w:t>
                  </w:r>
                </w:p>
              </w:tc>
              <w:tc>
                <w:tcPr>
                  <w:tcW w:w="749" w:type="dxa"/>
                  <w:tcBorders>
                    <w:tl2br w:val="nil"/>
                    <w:tr2bl w:val="nil"/>
                  </w:tcBorders>
                  <w:noWrap w:val="0"/>
                  <w:vAlign w:val="center"/>
                </w:tcPr>
                <w:p w14:paraId="20E72B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0.04044 </w:t>
                  </w:r>
                </w:p>
              </w:tc>
              <w:tc>
                <w:tcPr>
                  <w:tcW w:w="749" w:type="dxa"/>
                  <w:tcBorders>
                    <w:tl2br w:val="nil"/>
                    <w:tr2bl w:val="nil"/>
                  </w:tcBorders>
                  <w:noWrap w:val="0"/>
                  <w:vAlign w:val="center"/>
                </w:tcPr>
                <w:p w14:paraId="72528E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0.04033 </w:t>
                  </w:r>
                </w:p>
              </w:tc>
              <w:tc>
                <w:tcPr>
                  <w:tcW w:w="749" w:type="dxa"/>
                  <w:tcBorders>
                    <w:tl2br w:val="nil"/>
                    <w:tr2bl w:val="nil"/>
                  </w:tcBorders>
                  <w:noWrap w:val="0"/>
                  <w:vAlign w:val="center"/>
                </w:tcPr>
                <w:p w14:paraId="6AA72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0.04022 </w:t>
                  </w:r>
                </w:p>
              </w:tc>
              <w:tc>
                <w:tcPr>
                  <w:tcW w:w="830" w:type="dxa"/>
                  <w:tcBorders>
                    <w:tl2br w:val="nil"/>
                    <w:tr2bl w:val="nil"/>
                  </w:tcBorders>
                  <w:noWrap w:val="0"/>
                  <w:vAlign w:val="center"/>
                </w:tcPr>
                <w:p w14:paraId="2BA099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0.04007 </w:t>
                  </w:r>
                </w:p>
              </w:tc>
              <w:tc>
                <w:tcPr>
                  <w:tcW w:w="749" w:type="dxa"/>
                  <w:tcBorders>
                    <w:tl2br w:val="nil"/>
                    <w:tr2bl w:val="nil"/>
                  </w:tcBorders>
                  <w:noWrap w:val="0"/>
                  <w:vAlign w:val="center"/>
                </w:tcPr>
                <w:p w14:paraId="785982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49" w:type="dxa"/>
                  <w:tcBorders>
                    <w:tl2br w:val="nil"/>
                    <w:tr2bl w:val="nil"/>
                  </w:tcBorders>
                  <w:noWrap w:val="0"/>
                  <w:vAlign w:val="center"/>
                </w:tcPr>
                <w:p w14:paraId="29AC6A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49" w:type="dxa"/>
                  <w:tcBorders>
                    <w:tl2br w:val="nil"/>
                    <w:tr2bl w:val="nil"/>
                  </w:tcBorders>
                  <w:noWrap w:val="0"/>
                  <w:vAlign w:val="center"/>
                </w:tcPr>
                <w:p w14:paraId="6E5477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07D165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62F393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w:t>
                  </w:r>
                </w:p>
              </w:tc>
              <w:tc>
                <w:tcPr>
                  <w:tcW w:w="748" w:type="dxa"/>
                  <w:tcBorders>
                    <w:tl2br w:val="nil"/>
                    <w:tr2bl w:val="nil"/>
                  </w:tcBorders>
                  <w:noWrap w:val="0"/>
                  <w:vAlign w:val="center"/>
                </w:tcPr>
                <w:p w14:paraId="5404FA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0.04048 </w:t>
                  </w:r>
                </w:p>
              </w:tc>
              <w:tc>
                <w:tcPr>
                  <w:tcW w:w="749" w:type="dxa"/>
                  <w:tcBorders>
                    <w:tl2br w:val="nil"/>
                    <w:tr2bl w:val="nil"/>
                  </w:tcBorders>
                  <w:noWrap w:val="0"/>
                  <w:vAlign w:val="center"/>
                </w:tcPr>
                <w:p w14:paraId="5997EB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0.04047 </w:t>
                  </w:r>
                </w:p>
              </w:tc>
              <w:tc>
                <w:tcPr>
                  <w:tcW w:w="749" w:type="dxa"/>
                  <w:tcBorders>
                    <w:tl2br w:val="nil"/>
                    <w:tr2bl w:val="nil"/>
                  </w:tcBorders>
                  <w:noWrap w:val="0"/>
                  <w:vAlign w:val="center"/>
                </w:tcPr>
                <w:p w14:paraId="7CDB00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0.04046 </w:t>
                  </w:r>
                </w:p>
              </w:tc>
              <w:tc>
                <w:tcPr>
                  <w:tcW w:w="749" w:type="dxa"/>
                  <w:tcBorders>
                    <w:tl2br w:val="nil"/>
                    <w:tr2bl w:val="nil"/>
                  </w:tcBorders>
                  <w:noWrap w:val="0"/>
                  <w:vAlign w:val="center"/>
                </w:tcPr>
                <w:p w14:paraId="7EB8E7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0.04040 </w:t>
                  </w:r>
                </w:p>
              </w:tc>
              <w:tc>
                <w:tcPr>
                  <w:tcW w:w="749" w:type="dxa"/>
                  <w:tcBorders>
                    <w:tl2br w:val="nil"/>
                    <w:tr2bl w:val="nil"/>
                  </w:tcBorders>
                  <w:noWrap w:val="0"/>
                  <w:vAlign w:val="center"/>
                </w:tcPr>
                <w:p w14:paraId="625E6E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0.04033 </w:t>
                  </w:r>
                </w:p>
              </w:tc>
              <w:tc>
                <w:tcPr>
                  <w:tcW w:w="749" w:type="dxa"/>
                  <w:tcBorders>
                    <w:tl2br w:val="nil"/>
                    <w:tr2bl w:val="nil"/>
                  </w:tcBorders>
                  <w:noWrap w:val="0"/>
                  <w:vAlign w:val="center"/>
                </w:tcPr>
                <w:p w14:paraId="324089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0.04024 </w:t>
                  </w:r>
                </w:p>
              </w:tc>
              <w:tc>
                <w:tcPr>
                  <w:tcW w:w="830" w:type="dxa"/>
                  <w:tcBorders>
                    <w:tl2br w:val="nil"/>
                    <w:tr2bl w:val="nil"/>
                  </w:tcBorders>
                  <w:noWrap w:val="0"/>
                  <w:vAlign w:val="center"/>
                </w:tcPr>
                <w:p w14:paraId="64139F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0.04010 </w:t>
                  </w:r>
                </w:p>
              </w:tc>
              <w:tc>
                <w:tcPr>
                  <w:tcW w:w="749" w:type="dxa"/>
                  <w:tcBorders>
                    <w:tl2br w:val="nil"/>
                    <w:tr2bl w:val="nil"/>
                  </w:tcBorders>
                  <w:noWrap w:val="0"/>
                  <w:vAlign w:val="center"/>
                </w:tcPr>
                <w:p w14:paraId="2F2272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414437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49" w:type="dxa"/>
                  <w:tcBorders>
                    <w:tl2br w:val="nil"/>
                    <w:tr2bl w:val="nil"/>
                  </w:tcBorders>
                  <w:noWrap w:val="0"/>
                  <w:vAlign w:val="center"/>
                </w:tcPr>
                <w:p w14:paraId="12B445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45A223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569E8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30</w:t>
                  </w:r>
                </w:p>
              </w:tc>
              <w:tc>
                <w:tcPr>
                  <w:tcW w:w="748" w:type="dxa"/>
                  <w:tcBorders>
                    <w:tl2br w:val="nil"/>
                    <w:tr2bl w:val="nil"/>
                  </w:tcBorders>
                  <w:noWrap w:val="0"/>
                  <w:vAlign w:val="center"/>
                </w:tcPr>
                <w:p w14:paraId="6540A5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0.04039 </w:t>
                  </w:r>
                </w:p>
              </w:tc>
              <w:tc>
                <w:tcPr>
                  <w:tcW w:w="749" w:type="dxa"/>
                  <w:tcBorders>
                    <w:tl2br w:val="nil"/>
                    <w:tr2bl w:val="nil"/>
                  </w:tcBorders>
                  <w:noWrap w:val="0"/>
                  <w:vAlign w:val="center"/>
                </w:tcPr>
                <w:p w14:paraId="0FC4BE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0.04039 </w:t>
                  </w:r>
                </w:p>
              </w:tc>
              <w:tc>
                <w:tcPr>
                  <w:tcW w:w="749" w:type="dxa"/>
                  <w:tcBorders>
                    <w:tl2br w:val="nil"/>
                    <w:tr2bl w:val="nil"/>
                  </w:tcBorders>
                  <w:noWrap w:val="0"/>
                  <w:vAlign w:val="center"/>
                </w:tcPr>
                <w:p w14:paraId="587B3E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0.04038 </w:t>
                  </w:r>
                </w:p>
              </w:tc>
              <w:tc>
                <w:tcPr>
                  <w:tcW w:w="749" w:type="dxa"/>
                  <w:tcBorders>
                    <w:tl2br w:val="nil"/>
                    <w:tr2bl w:val="nil"/>
                  </w:tcBorders>
                  <w:noWrap w:val="0"/>
                  <w:vAlign w:val="center"/>
                </w:tcPr>
                <w:p w14:paraId="01BFA7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0.04035 </w:t>
                  </w:r>
                </w:p>
              </w:tc>
              <w:tc>
                <w:tcPr>
                  <w:tcW w:w="749" w:type="dxa"/>
                  <w:tcBorders>
                    <w:tl2br w:val="nil"/>
                    <w:tr2bl w:val="nil"/>
                  </w:tcBorders>
                  <w:noWrap w:val="0"/>
                  <w:vAlign w:val="center"/>
                </w:tcPr>
                <w:p w14:paraId="5F6362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0.04030 </w:t>
                  </w:r>
                </w:p>
              </w:tc>
              <w:tc>
                <w:tcPr>
                  <w:tcW w:w="749" w:type="dxa"/>
                  <w:tcBorders>
                    <w:tl2br w:val="nil"/>
                    <w:tr2bl w:val="nil"/>
                  </w:tcBorders>
                  <w:noWrap w:val="0"/>
                  <w:vAlign w:val="center"/>
                </w:tcPr>
                <w:p w14:paraId="15E66C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0.04025 </w:t>
                  </w:r>
                </w:p>
              </w:tc>
              <w:tc>
                <w:tcPr>
                  <w:tcW w:w="830" w:type="dxa"/>
                  <w:tcBorders>
                    <w:tl2br w:val="nil"/>
                    <w:tr2bl w:val="nil"/>
                  </w:tcBorders>
                  <w:noWrap w:val="0"/>
                  <w:vAlign w:val="center"/>
                </w:tcPr>
                <w:p w14:paraId="76B8FA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0.04014 </w:t>
                  </w:r>
                </w:p>
              </w:tc>
              <w:tc>
                <w:tcPr>
                  <w:tcW w:w="749" w:type="dxa"/>
                  <w:tcBorders>
                    <w:tl2br w:val="nil"/>
                    <w:tr2bl w:val="nil"/>
                  </w:tcBorders>
                  <w:noWrap w:val="0"/>
                  <w:vAlign w:val="center"/>
                </w:tcPr>
                <w:p w14:paraId="796519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4DEFA6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49" w:type="dxa"/>
                  <w:tcBorders>
                    <w:tl2br w:val="nil"/>
                    <w:tr2bl w:val="nil"/>
                  </w:tcBorders>
                  <w:noWrap w:val="0"/>
                  <w:vAlign w:val="center"/>
                </w:tcPr>
                <w:p w14:paraId="37E4B2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6BEF4A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2471C1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w:t>
                  </w:r>
                </w:p>
              </w:tc>
              <w:tc>
                <w:tcPr>
                  <w:tcW w:w="748" w:type="dxa"/>
                  <w:tcBorders>
                    <w:tl2br w:val="nil"/>
                    <w:tr2bl w:val="nil"/>
                  </w:tcBorders>
                  <w:noWrap w:val="0"/>
                  <w:vAlign w:val="center"/>
                </w:tcPr>
                <w:p w14:paraId="55BD69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0.04030 </w:t>
                  </w:r>
                </w:p>
              </w:tc>
              <w:tc>
                <w:tcPr>
                  <w:tcW w:w="749" w:type="dxa"/>
                  <w:tcBorders>
                    <w:tl2br w:val="nil"/>
                    <w:tr2bl w:val="nil"/>
                  </w:tcBorders>
                  <w:noWrap w:val="0"/>
                  <w:vAlign w:val="center"/>
                </w:tcPr>
                <w:p w14:paraId="12DA42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0.04030 </w:t>
                  </w:r>
                </w:p>
              </w:tc>
              <w:tc>
                <w:tcPr>
                  <w:tcW w:w="749" w:type="dxa"/>
                  <w:tcBorders>
                    <w:tl2br w:val="nil"/>
                    <w:tr2bl w:val="nil"/>
                  </w:tcBorders>
                  <w:noWrap w:val="0"/>
                  <w:vAlign w:val="center"/>
                </w:tcPr>
                <w:p w14:paraId="0F2E63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0.04029 </w:t>
                  </w:r>
                </w:p>
              </w:tc>
              <w:tc>
                <w:tcPr>
                  <w:tcW w:w="749" w:type="dxa"/>
                  <w:tcBorders>
                    <w:tl2br w:val="nil"/>
                    <w:tr2bl w:val="nil"/>
                  </w:tcBorders>
                  <w:noWrap w:val="0"/>
                  <w:vAlign w:val="center"/>
                </w:tcPr>
                <w:p w14:paraId="3EB49B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0.04028 </w:t>
                  </w:r>
                </w:p>
              </w:tc>
              <w:tc>
                <w:tcPr>
                  <w:tcW w:w="749" w:type="dxa"/>
                  <w:tcBorders>
                    <w:tl2br w:val="nil"/>
                    <w:tr2bl w:val="nil"/>
                  </w:tcBorders>
                  <w:noWrap w:val="0"/>
                  <w:vAlign w:val="center"/>
                </w:tcPr>
                <w:p w14:paraId="2B991B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0.04026 </w:t>
                  </w:r>
                </w:p>
              </w:tc>
              <w:tc>
                <w:tcPr>
                  <w:tcW w:w="749" w:type="dxa"/>
                  <w:tcBorders>
                    <w:tl2br w:val="nil"/>
                    <w:tr2bl w:val="nil"/>
                  </w:tcBorders>
                  <w:noWrap w:val="0"/>
                  <w:vAlign w:val="center"/>
                </w:tcPr>
                <w:p w14:paraId="10A9B8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0.04023 </w:t>
                  </w:r>
                </w:p>
              </w:tc>
              <w:tc>
                <w:tcPr>
                  <w:tcW w:w="830" w:type="dxa"/>
                  <w:tcBorders>
                    <w:tl2br w:val="nil"/>
                    <w:tr2bl w:val="nil"/>
                  </w:tcBorders>
                  <w:noWrap w:val="0"/>
                  <w:vAlign w:val="center"/>
                </w:tcPr>
                <w:p w14:paraId="7A4789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0.04016 </w:t>
                  </w:r>
                </w:p>
              </w:tc>
              <w:tc>
                <w:tcPr>
                  <w:tcW w:w="749" w:type="dxa"/>
                  <w:tcBorders>
                    <w:tl2br w:val="nil"/>
                    <w:tr2bl w:val="nil"/>
                  </w:tcBorders>
                  <w:noWrap w:val="0"/>
                  <w:vAlign w:val="center"/>
                </w:tcPr>
                <w:p w14:paraId="25051C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0.04010 </w:t>
                  </w:r>
                </w:p>
              </w:tc>
              <w:tc>
                <w:tcPr>
                  <w:tcW w:w="749" w:type="dxa"/>
                  <w:tcBorders>
                    <w:tl2br w:val="nil"/>
                    <w:tr2bl w:val="nil"/>
                  </w:tcBorders>
                  <w:noWrap w:val="0"/>
                  <w:vAlign w:val="center"/>
                </w:tcPr>
                <w:p w14:paraId="281D4E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c>
                <w:tcPr>
                  <w:tcW w:w="749" w:type="dxa"/>
                  <w:tcBorders>
                    <w:tl2br w:val="nil"/>
                    <w:tr2bl w:val="nil"/>
                  </w:tcBorders>
                  <w:noWrap w:val="0"/>
                  <w:vAlign w:val="center"/>
                </w:tcPr>
                <w:p w14:paraId="64ABBE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0.04000 </w:t>
                  </w:r>
                </w:p>
              </w:tc>
            </w:tr>
            <w:tr w14:paraId="02FEA9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1DBBC6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w:t>
                  </w:r>
                </w:p>
              </w:tc>
              <w:tc>
                <w:tcPr>
                  <w:tcW w:w="748" w:type="dxa"/>
                  <w:tcBorders>
                    <w:tl2br w:val="nil"/>
                    <w:tr2bl w:val="nil"/>
                  </w:tcBorders>
                  <w:noWrap w:val="0"/>
                  <w:vAlign w:val="center"/>
                </w:tcPr>
                <w:p w14:paraId="44BF8F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0.04021 </w:t>
                  </w:r>
                </w:p>
              </w:tc>
              <w:tc>
                <w:tcPr>
                  <w:tcW w:w="749" w:type="dxa"/>
                  <w:tcBorders>
                    <w:tl2br w:val="nil"/>
                    <w:tr2bl w:val="nil"/>
                  </w:tcBorders>
                  <w:noWrap w:val="0"/>
                  <w:vAlign w:val="center"/>
                </w:tcPr>
                <w:p w14:paraId="4505B4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0.04021 </w:t>
                  </w:r>
                </w:p>
              </w:tc>
              <w:tc>
                <w:tcPr>
                  <w:tcW w:w="749" w:type="dxa"/>
                  <w:tcBorders>
                    <w:tl2br w:val="nil"/>
                    <w:tr2bl w:val="nil"/>
                  </w:tcBorders>
                  <w:noWrap w:val="0"/>
                  <w:vAlign w:val="center"/>
                </w:tcPr>
                <w:p w14:paraId="7DDF92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0.04021 </w:t>
                  </w:r>
                </w:p>
              </w:tc>
              <w:tc>
                <w:tcPr>
                  <w:tcW w:w="749" w:type="dxa"/>
                  <w:tcBorders>
                    <w:tl2br w:val="nil"/>
                    <w:tr2bl w:val="nil"/>
                  </w:tcBorders>
                  <w:noWrap w:val="0"/>
                  <w:vAlign w:val="center"/>
                </w:tcPr>
                <w:p w14:paraId="2BF89E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0.04020 </w:t>
                  </w:r>
                </w:p>
              </w:tc>
              <w:tc>
                <w:tcPr>
                  <w:tcW w:w="749" w:type="dxa"/>
                  <w:tcBorders>
                    <w:tl2br w:val="nil"/>
                    <w:tr2bl w:val="nil"/>
                  </w:tcBorders>
                  <w:noWrap w:val="0"/>
                  <w:vAlign w:val="center"/>
                </w:tcPr>
                <w:p w14:paraId="70FD8A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0.04019 </w:t>
                  </w:r>
                </w:p>
              </w:tc>
              <w:tc>
                <w:tcPr>
                  <w:tcW w:w="749" w:type="dxa"/>
                  <w:tcBorders>
                    <w:tl2br w:val="nil"/>
                    <w:tr2bl w:val="nil"/>
                  </w:tcBorders>
                  <w:noWrap w:val="0"/>
                  <w:vAlign w:val="center"/>
                </w:tcPr>
                <w:p w14:paraId="37A346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0.04018 </w:t>
                  </w:r>
                </w:p>
              </w:tc>
              <w:tc>
                <w:tcPr>
                  <w:tcW w:w="830" w:type="dxa"/>
                  <w:tcBorders>
                    <w:tl2br w:val="nil"/>
                    <w:tr2bl w:val="nil"/>
                  </w:tcBorders>
                  <w:noWrap w:val="0"/>
                  <w:vAlign w:val="center"/>
                </w:tcPr>
                <w:p w14:paraId="051DFF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0.04016 </w:t>
                  </w:r>
                </w:p>
              </w:tc>
              <w:tc>
                <w:tcPr>
                  <w:tcW w:w="749" w:type="dxa"/>
                  <w:tcBorders>
                    <w:tl2br w:val="nil"/>
                    <w:tr2bl w:val="nil"/>
                  </w:tcBorders>
                  <w:noWrap w:val="0"/>
                  <w:vAlign w:val="center"/>
                </w:tcPr>
                <w:p w14:paraId="7F592D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0.04012 </w:t>
                  </w:r>
                </w:p>
              </w:tc>
              <w:tc>
                <w:tcPr>
                  <w:tcW w:w="749" w:type="dxa"/>
                  <w:tcBorders>
                    <w:tl2br w:val="nil"/>
                    <w:tr2bl w:val="nil"/>
                  </w:tcBorders>
                  <w:noWrap w:val="0"/>
                  <w:vAlign w:val="center"/>
                </w:tcPr>
                <w:p w14:paraId="6DF6BA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0.04002 </w:t>
                  </w:r>
                </w:p>
              </w:tc>
              <w:tc>
                <w:tcPr>
                  <w:tcW w:w="749" w:type="dxa"/>
                  <w:tcBorders>
                    <w:tl2br w:val="nil"/>
                    <w:tr2bl w:val="nil"/>
                  </w:tcBorders>
                  <w:noWrap w:val="0"/>
                  <w:vAlign w:val="center"/>
                </w:tcPr>
                <w:p w14:paraId="4741B1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0.04001 </w:t>
                  </w:r>
                </w:p>
              </w:tc>
            </w:tr>
            <w:tr w14:paraId="09653A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523E9F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w:t>
                  </w:r>
                </w:p>
              </w:tc>
              <w:tc>
                <w:tcPr>
                  <w:tcW w:w="748" w:type="dxa"/>
                  <w:tcBorders>
                    <w:tl2br w:val="nil"/>
                    <w:tr2bl w:val="nil"/>
                  </w:tcBorders>
                  <w:noWrap w:val="0"/>
                  <w:vAlign w:val="center"/>
                </w:tcPr>
                <w:p w14:paraId="5BB43B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49" w:type="dxa"/>
                  <w:tcBorders>
                    <w:tl2br w:val="nil"/>
                    <w:tr2bl w:val="nil"/>
                  </w:tcBorders>
                  <w:noWrap w:val="0"/>
                  <w:vAlign w:val="center"/>
                </w:tcPr>
                <w:p w14:paraId="1F1760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49" w:type="dxa"/>
                  <w:tcBorders>
                    <w:tl2br w:val="nil"/>
                    <w:tr2bl w:val="nil"/>
                  </w:tcBorders>
                  <w:noWrap w:val="0"/>
                  <w:vAlign w:val="center"/>
                </w:tcPr>
                <w:p w14:paraId="3D8880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49" w:type="dxa"/>
                  <w:tcBorders>
                    <w:tl2br w:val="nil"/>
                    <w:tr2bl w:val="nil"/>
                  </w:tcBorders>
                  <w:noWrap w:val="0"/>
                  <w:vAlign w:val="center"/>
                </w:tcPr>
                <w:p w14:paraId="54C4C9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49" w:type="dxa"/>
                  <w:tcBorders>
                    <w:tl2br w:val="nil"/>
                    <w:tr2bl w:val="nil"/>
                  </w:tcBorders>
                  <w:noWrap w:val="0"/>
                  <w:vAlign w:val="center"/>
                </w:tcPr>
                <w:p w14:paraId="48E51B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749" w:type="dxa"/>
                  <w:tcBorders>
                    <w:tl2br w:val="nil"/>
                    <w:tr2bl w:val="nil"/>
                  </w:tcBorders>
                  <w:noWrap w:val="0"/>
                  <w:vAlign w:val="center"/>
                </w:tcPr>
                <w:p w14:paraId="5BE4B6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0.04009 </w:t>
                  </w:r>
                </w:p>
              </w:tc>
              <w:tc>
                <w:tcPr>
                  <w:tcW w:w="830" w:type="dxa"/>
                  <w:tcBorders>
                    <w:tl2br w:val="nil"/>
                    <w:tr2bl w:val="nil"/>
                  </w:tcBorders>
                  <w:noWrap w:val="0"/>
                  <w:vAlign w:val="center"/>
                </w:tcPr>
                <w:p w14:paraId="11357A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0.04008 </w:t>
                  </w:r>
                </w:p>
              </w:tc>
              <w:tc>
                <w:tcPr>
                  <w:tcW w:w="749" w:type="dxa"/>
                  <w:tcBorders>
                    <w:tl2br w:val="nil"/>
                    <w:tr2bl w:val="nil"/>
                  </w:tcBorders>
                  <w:noWrap w:val="0"/>
                  <w:vAlign w:val="center"/>
                </w:tcPr>
                <w:p w14:paraId="678609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0.04008 </w:t>
                  </w:r>
                </w:p>
              </w:tc>
              <w:tc>
                <w:tcPr>
                  <w:tcW w:w="749" w:type="dxa"/>
                  <w:tcBorders>
                    <w:tl2br w:val="nil"/>
                    <w:tr2bl w:val="nil"/>
                  </w:tcBorders>
                  <w:noWrap w:val="0"/>
                  <w:vAlign w:val="center"/>
                </w:tcPr>
                <w:p w14:paraId="31D61E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4FEF1A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r>
            <w:tr w14:paraId="35C31E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5825EE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1000</w:t>
                  </w:r>
                </w:p>
              </w:tc>
              <w:tc>
                <w:tcPr>
                  <w:tcW w:w="748" w:type="dxa"/>
                  <w:tcBorders>
                    <w:tl2br w:val="nil"/>
                    <w:tr2bl w:val="nil"/>
                  </w:tcBorders>
                  <w:noWrap w:val="0"/>
                  <w:vAlign w:val="center"/>
                </w:tcPr>
                <w:p w14:paraId="52E9BD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065CEF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7CB3D7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6BAB0A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267043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0D9F69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830" w:type="dxa"/>
                  <w:tcBorders>
                    <w:tl2br w:val="nil"/>
                    <w:tr2bl w:val="nil"/>
                  </w:tcBorders>
                  <w:noWrap w:val="0"/>
                  <w:vAlign w:val="center"/>
                </w:tcPr>
                <w:p w14:paraId="6D18FA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35DAC6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537C0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c>
                <w:tcPr>
                  <w:tcW w:w="749" w:type="dxa"/>
                  <w:tcBorders>
                    <w:tl2br w:val="nil"/>
                    <w:tr2bl w:val="nil"/>
                  </w:tcBorders>
                  <w:noWrap w:val="0"/>
                  <w:vAlign w:val="center"/>
                </w:tcPr>
                <w:p w14:paraId="7A114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0.04006 </w:t>
                  </w:r>
                </w:p>
              </w:tc>
            </w:tr>
            <w:tr w14:paraId="2F6F64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5E105B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2000</w:t>
                  </w:r>
                </w:p>
              </w:tc>
              <w:tc>
                <w:tcPr>
                  <w:tcW w:w="748" w:type="dxa"/>
                  <w:tcBorders>
                    <w:tl2br w:val="nil"/>
                    <w:tr2bl w:val="nil"/>
                  </w:tcBorders>
                  <w:noWrap w:val="0"/>
                  <w:vAlign w:val="center"/>
                </w:tcPr>
                <w:p w14:paraId="080F95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7C7851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146C0B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11CEDD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46BABA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36321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830" w:type="dxa"/>
                  <w:tcBorders>
                    <w:tl2br w:val="nil"/>
                    <w:tr2bl w:val="nil"/>
                  </w:tcBorders>
                  <w:noWrap w:val="0"/>
                  <w:vAlign w:val="center"/>
                </w:tcPr>
                <w:p w14:paraId="6388B2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414FC5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4DFB69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c>
                <w:tcPr>
                  <w:tcW w:w="749" w:type="dxa"/>
                  <w:tcBorders>
                    <w:tl2br w:val="nil"/>
                    <w:tr2bl w:val="nil"/>
                  </w:tcBorders>
                  <w:noWrap w:val="0"/>
                  <w:vAlign w:val="center"/>
                </w:tcPr>
                <w:p w14:paraId="35F731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0.04005 </w:t>
                  </w:r>
                </w:p>
              </w:tc>
            </w:tr>
            <w:tr w14:paraId="38842C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14:paraId="34C6EF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5000</w:t>
                  </w:r>
                </w:p>
              </w:tc>
              <w:tc>
                <w:tcPr>
                  <w:tcW w:w="748" w:type="dxa"/>
                  <w:tcBorders>
                    <w:tl2br w:val="nil"/>
                    <w:tr2bl w:val="nil"/>
                  </w:tcBorders>
                  <w:noWrap w:val="0"/>
                  <w:vAlign w:val="center"/>
                </w:tcPr>
                <w:p w14:paraId="1D9598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687EAA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722E75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3C089B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482B54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70AC25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830" w:type="dxa"/>
                  <w:tcBorders>
                    <w:tl2br w:val="nil"/>
                    <w:tr2bl w:val="nil"/>
                  </w:tcBorders>
                  <w:noWrap w:val="0"/>
                  <w:vAlign w:val="center"/>
                </w:tcPr>
                <w:p w14:paraId="63E561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086978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5F85A8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c>
                <w:tcPr>
                  <w:tcW w:w="749" w:type="dxa"/>
                  <w:tcBorders>
                    <w:tl2br w:val="nil"/>
                    <w:tr2bl w:val="nil"/>
                  </w:tcBorders>
                  <w:noWrap w:val="0"/>
                  <w:vAlign w:val="center"/>
                </w:tcPr>
                <w:p w14:paraId="289980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eastAsia" w:ascii="Times New Roman" w:hAnsi="Times New Roman" w:eastAsia="宋体" w:cs="Times New Roman"/>
                      <w:i w:val="0"/>
                      <w:iCs w:val="0"/>
                      <w:color w:val="000000"/>
                      <w:kern w:val="0"/>
                      <w:sz w:val="18"/>
                      <w:szCs w:val="18"/>
                      <w:u w:val="none" w:color="auto"/>
                      <w:lang w:val="en-US" w:eastAsia="zh-CN" w:bidi="ar"/>
                    </w:rPr>
                    <w:t xml:space="preserve">0.04003 </w:t>
                  </w:r>
                </w:p>
              </w:tc>
            </w:tr>
          </w:tbl>
          <w:p w14:paraId="22F610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u w:val="none" w:color="auto"/>
                <w:lang w:val="en-US" w:eastAsia="zh-CN"/>
              </w:rPr>
            </w:pPr>
            <w:r>
              <w:rPr>
                <w:rFonts w:hint="eastAsia" w:ascii="Times New Roman" w:hAnsi="Times New Roman" w:eastAsia="宋体" w:cs="Times New Roman"/>
                <w:color w:val="000000"/>
                <w:kern w:val="0"/>
                <w:sz w:val="24"/>
                <w:szCs w:val="24"/>
                <w:u w:val="none" w:color="auto"/>
                <w:lang w:val="en-US" w:eastAsia="zh-CN" w:bidi="ar"/>
              </w:rPr>
              <w:t>由上表可知，</w:t>
            </w:r>
            <w:r>
              <w:rPr>
                <w:rFonts w:hint="default" w:ascii="Times New Roman" w:hAnsi="Times New Roman" w:cs="Times New Roman"/>
                <w:color w:val="auto"/>
                <w:kern w:val="0"/>
                <w:sz w:val="24"/>
                <w:u w:val="none" w:color="auto"/>
              </w:rPr>
              <w:t>项目废水</w:t>
            </w:r>
            <w:r>
              <w:rPr>
                <w:rFonts w:hint="eastAsia" w:cs="Times New Roman"/>
                <w:color w:val="auto"/>
                <w:kern w:val="0"/>
                <w:sz w:val="24"/>
                <w:u w:val="none" w:color="auto"/>
                <w:lang w:val="en-US" w:eastAsia="zh-CN"/>
              </w:rPr>
              <w:t>在</w:t>
            </w:r>
            <w:r>
              <w:rPr>
                <w:rFonts w:hint="default" w:ascii="Times New Roman" w:hAnsi="Times New Roman" w:cs="Times New Roman"/>
                <w:color w:val="auto"/>
                <w:kern w:val="0"/>
                <w:sz w:val="24"/>
                <w:u w:val="none" w:color="auto"/>
              </w:rPr>
              <w:t>枯水期正常</w:t>
            </w:r>
            <w:r>
              <w:rPr>
                <w:rFonts w:hint="eastAsia" w:ascii="Times New Roman" w:hAnsi="Times New Roman" w:cs="Times New Roman"/>
                <w:color w:val="auto"/>
                <w:kern w:val="0"/>
                <w:sz w:val="24"/>
                <w:u w:val="none" w:color="auto"/>
                <w:lang w:eastAsia="zh-CN"/>
              </w:rPr>
              <w:t>和非正常</w:t>
            </w:r>
            <w:r>
              <w:rPr>
                <w:rFonts w:hint="eastAsia" w:cs="Times New Roman"/>
                <w:color w:val="auto"/>
                <w:kern w:val="0"/>
                <w:sz w:val="24"/>
                <w:u w:val="none" w:color="auto"/>
                <w:lang w:eastAsia="zh-CN"/>
              </w:rPr>
              <w:t>排放</w:t>
            </w:r>
            <w:r>
              <w:rPr>
                <w:rFonts w:hint="default" w:ascii="Times New Roman" w:hAnsi="Times New Roman" w:cs="Times New Roman"/>
                <w:color w:val="auto"/>
                <w:kern w:val="0"/>
                <w:sz w:val="24"/>
                <w:u w:val="none" w:color="auto"/>
              </w:rPr>
              <w:t>条件下，</w:t>
            </w:r>
            <w:r>
              <w:rPr>
                <w:rFonts w:hint="default" w:ascii="Times New Roman" w:hAnsi="Times New Roman" w:cs="Times New Roman"/>
                <w:color w:val="auto"/>
                <w:kern w:val="0"/>
                <w:sz w:val="24"/>
                <w:u w:val="none" w:color="auto"/>
                <w:lang w:bidi="ar"/>
              </w:rPr>
              <w:t>叠加</w:t>
            </w:r>
            <w:r>
              <w:rPr>
                <w:rFonts w:hint="eastAsia" w:cs="Times New Roman"/>
                <w:color w:val="auto"/>
                <w:kern w:val="0"/>
                <w:sz w:val="24"/>
                <w:u w:val="none" w:color="auto"/>
                <w:lang w:eastAsia="zh-CN" w:bidi="ar"/>
              </w:rPr>
              <w:t>洣水</w:t>
            </w:r>
            <w:r>
              <w:rPr>
                <w:rFonts w:hint="default" w:ascii="Times New Roman" w:hAnsi="Times New Roman" w:cs="Times New Roman"/>
                <w:color w:val="auto"/>
                <w:kern w:val="0"/>
                <w:sz w:val="24"/>
                <w:u w:val="none" w:color="auto"/>
                <w:lang w:bidi="ar"/>
              </w:rPr>
              <w:t>背景值预测</w:t>
            </w:r>
            <w:r>
              <w:rPr>
                <w:rFonts w:hint="eastAsia" w:ascii="Times New Roman" w:hAnsi="Times New Roman" w:eastAsia="宋体" w:cs="Times New Roman"/>
                <w:color w:val="000000"/>
                <w:kern w:val="0"/>
                <w:sz w:val="24"/>
                <w:szCs w:val="24"/>
                <w:u w:val="none" w:color="auto"/>
                <w:lang w:val="en-US" w:eastAsia="zh-CN" w:bidi="ar"/>
              </w:rPr>
              <w:t>，洣水COD和NH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eastAsia" w:ascii="Times New Roman" w:hAnsi="Times New Roman" w:eastAsia="宋体" w:cs="Times New Roman"/>
                <w:color w:val="000000"/>
                <w:kern w:val="0"/>
                <w:sz w:val="24"/>
                <w:szCs w:val="24"/>
                <w:u w:val="none" w:color="auto"/>
                <w:lang w:val="en-US" w:eastAsia="zh-CN" w:bidi="ar"/>
              </w:rPr>
              <w:t>-N的浓度均满足《地表水环境质量标准》（GB3838-2002）中的</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000000"/>
                <w:kern w:val="0"/>
                <w:sz w:val="24"/>
                <w:szCs w:val="24"/>
                <w:u w:val="none" w:color="auto"/>
                <w:lang w:val="en-US" w:eastAsia="zh-CN" w:bidi="ar"/>
              </w:rPr>
              <w:t>类标准，未出现超标。随着衰减断面距离增大，COD、NH</w:t>
            </w:r>
            <w:r>
              <w:rPr>
                <w:rFonts w:hint="eastAsia" w:ascii="Times New Roman" w:hAnsi="Times New Roman" w:eastAsia="宋体" w:cs="Times New Roman"/>
                <w:color w:val="000000"/>
                <w:kern w:val="0"/>
                <w:sz w:val="24"/>
                <w:szCs w:val="24"/>
                <w:u w:val="none" w:color="auto"/>
                <w:vertAlign w:val="subscript"/>
                <w:lang w:val="en-US" w:eastAsia="zh-CN" w:bidi="ar"/>
              </w:rPr>
              <w:t>3</w:t>
            </w:r>
            <w:r>
              <w:rPr>
                <w:rFonts w:hint="eastAsia" w:ascii="Times New Roman" w:hAnsi="Times New Roman" w:eastAsia="宋体" w:cs="Times New Roman"/>
                <w:color w:val="000000"/>
                <w:kern w:val="0"/>
                <w:sz w:val="24"/>
                <w:szCs w:val="24"/>
                <w:u w:val="none" w:color="auto"/>
                <w:lang w:val="en-US" w:eastAsia="zh-CN" w:bidi="ar"/>
              </w:rPr>
              <w:t>-N的预测值逐渐减小。</w:t>
            </w:r>
          </w:p>
          <w:p w14:paraId="1A9E5B30">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2.6.</w:t>
            </w:r>
            <w:r>
              <w:rPr>
                <w:rFonts w:hint="eastAsia" w:ascii="Times New Roman" w:hAnsi="Times New Roman" w:cs="Times New Roman"/>
                <w:b/>
                <w:bCs/>
                <w:snapToGrid w:val="0"/>
                <w:sz w:val="24"/>
                <w:szCs w:val="24"/>
                <w:u w:val="none" w:color="auto"/>
                <w:vertAlign w:val="baseline"/>
                <w:lang w:val="en-US" w:eastAsia="zh-CN"/>
              </w:rPr>
              <w:t>2</w:t>
            </w:r>
            <w:r>
              <w:rPr>
                <w:rFonts w:hint="eastAsia" w:ascii="Times New Roman" w:hAnsi="Times New Roman" w:eastAsia="宋体" w:cs="Times New Roman"/>
                <w:b/>
                <w:bCs/>
                <w:snapToGrid w:val="0"/>
                <w:sz w:val="24"/>
                <w:szCs w:val="24"/>
                <w:u w:val="none" w:color="auto"/>
                <w:vertAlign w:val="baseline"/>
                <w:lang w:val="en-US" w:eastAsia="zh-CN"/>
              </w:rPr>
              <w:t>洣水</w:t>
            </w:r>
            <w:r>
              <w:rPr>
                <w:rFonts w:hint="default" w:ascii="Times New Roman" w:hAnsi="Times New Roman" w:eastAsia="宋体" w:cs="Times New Roman"/>
                <w:b/>
                <w:bCs/>
                <w:snapToGrid w:val="0"/>
                <w:sz w:val="24"/>
                <w:szCs w:val="24"/>
                <w:u w:val="none" w:color="auto"/>
                <w:vertAlign w:val="baseline"/>
                <w:lang w:val="en-US" w:eastAsia="zh-CN"/>
              </w:rPr>
              <w:t>水域纳污能力核算</w:t>
            </w:r>
          </w:p>
          <w:p w14:paraId="51F0F4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根据国家和省市生态环境部门对实施污染物排放总量控制的要求以及项目的排放污染特点，确定污染物排放总量控制因子为 COD、氨氮。 </w:t>
            </w:r>
          </w:p>
          <w:p w14:paraId="38234A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根据《入河排污口管理技术导则》（SL532-2011）水域纳污能力应采纳各级水行政主管部门或水域管理机构核定的数据，未核定纳污能力的水域应按《水域纳污能力计算规程》（GBT25173-2010）的规定河水功能区管理要求核算纳污能力。 </w:t>
            </w:r>
          </w:p>
          <w:p w14:paraId="2A0857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（1）计算方法及模型选定 </w:t>
            </w:r>
          </w:p>
          <w:p w14:paraId="735A2A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根据《水域纳污能力计算规程》（GBT25173-2010）河流纳污能力数学模型计算法，计算河段多年平均流量 Q 将计算河段划分为三种类型；Q≥150m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15"/>
                <w:szCs w:val="15"/>
                <w:u w:val="none" w:color="auto"/>
                <w:lang w:val="en-US" w:eastAsia="zh-CN" w:bidi="ar"/>
              </w:rPr>
              <w:t xml:space="preserve"> </w:t>
            </w:r>
            <w:r>
              <w:rPr>
                <w:rFonts w:hint="default" w:ascii="Times New Roman" w:hAnsi="Times New Roman" w:eastAsia="宋体" w:cs="Times New Roman"/>
                <w:color w:val="000000"/>
                <w:kern w:val="0"/>
                <w:sz w:val="24"/>
                <w:szCs w:val="24"/>
                <w:u w:val="none" w:color="auto"/>
                <w:lang w:val="en-US" w:eastAsia="zh-CN" w:bidi="ar"/>
              </w:rPr>
              <w:t>/s 为大型河段，15m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15"/>
                <w:szCs w:val="15"/>
                <w:u w:val="none" w:color="auto"/>
                <w:lang w:val="en-US" w:eastAsia="zh-CN" w:bidi="ar"/>
              </w:rPr>
              <w:t xml:space="preserve"> </w:t>
            </w:r>
            <w:r>
              <w:rPr>
                <w:rFonts w:hint="default" w:ascii="Times New Roman" w:hAnsi="Times New Roman" w:eastAsia="宋体" w:cs="Times New Roman"/>
                <w:color w:val="000000"/>
                <w:kern w:val="0"/>
                <w:sz w:val="24"/>
                <w:szCs w:val="24"/>
                <w:u w:val="none" w:color="auto"/>
                <w:lang w:val="en-US" w:eastAsia="zh-CN" w:bidi="ar"/>
              </w:rPr>
              <w:t>/s&lt;Q&lt;150m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15"/>
                <w:szCs w:val="15"/>
                <w:u w:val="none" w:color="auto"/>
                <w:lang w:val="en-US" w:eastAsia="zh-CN" w:bidi="ar"/>
              </w:rPr>
              <w:t xml:space="preserve"> </w:t>
            </w:r>
            <w:r>
              <w:rPr>
                <w:rFonts w:hint="default" w:ascii="Times New Roman" w:hAnsi="Times New Roman" w:eastAsia="宋体" w:cs="Times New Roman"/>
                <w:color w:val="000000"/>
                <w:kern w:val="0"/>
                <w:sz w:val="24"/>
                <w:szCs w:val="24"/>
                <w:u w:val="none" w:color="auto"/>
                <w:lang w:val="en-US" w:eastAsia="zh-CN" w:bidi="ar"/>
              </w:rPr>
              <w:t>/s 为中型河段，Q≤15m</w:t>
            </w:r>
            <w:r>
              <w:rPr>
                <w:rFonts w:hint="default" w:ascii="Times New Roman" w:hAnsi="Times New Roman" w:cs="Times New Roman"/>
                <w:color w:val="000000"/>
                <w:kern w:val="0"/>
                <w:sz w:val="24"/>
                <w:szCs w:val="24"/>
                <w:u w:val="none" w:color="auto"/>
                <w:vertAlign w:val="superscript"/>
                <w:lang w:val="en-US" w:eastAsia="zh-CN" w:bidi="ar"/>
              </w:rPr>
              <w:t>3</w:t>
            </w:r>
            <w:r>
              <w:rPr>
                <w:rFonts w:hint="default" w:ascii="Times New Roman" w:hAnsi="Times New Roman" w:eastAsia="宋体" w:cs="Times New Roman"/>
                <w:color w:val="000000"/>
                <w:kern w:val="0"/>
                <w:sz w:val="24"/>
                <w:szCs w:val="24"/>
                <w:u w:val="none" w:color="auto"/>
                <w:lang w:val="en-US" w:eastAsia="zh-CN" w:bidi="ar"/>
              </w:rPr>
              <w:t>/s 为小型河段</w:t>
            </w:r>
            <w:r>
              <w:rPr>
                <w:rFonts w:hint="default" w:ascii="Times New Roman" w:hAnsi="Times New Roman"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因</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cs="Times New Roman"/>
                <w:color w:val="auto"/>
                <w:sz w:val="24"/>
                <w:u w:val="none" w:color="auto"/>
              </w:rPr>
              <w:t>多年平均径流量为132m</w:t>
            </w:r>
            <w:r>
              <w:rPr>
                <w:rFonts w:hint="default" w:ascii="Times New Roman" w:hAnsi="Times New Roman" w:cs="Times New Roman"/>
                <w:color w:val="auto"/>
                <w:sz w:val="24"/>
                <w:u w:val="none" w:color="auto"/>
                <w:vertAlign w:val="superscript"/>
              </w:rPr>
              <w:t>3</w:t>
            </w:r>
            <w:r>
              <w:rPr>
                <w:rFonts w:hint="default" w:ascii="Times New Roman" w:hAnsi="Times New Roman" w:cs="Times New Roman"/>
                <w:color w:val="auto"/>
                <w:sz w:val="24"/>
                <w:u w:val="none" w:color="auto"/>
              </w:rPr>
              <w:t>/s</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属于</w:t>
            </w:r>
            <w:r>
              <w:rPr>
                <w:rFonts w:hint="eastAsia" w:ascii="Times New Roman" w:hAnsi="Times New Roman" w:eastAsia="宋体" w:cs="Times New Roman"/>
                <w:color w:val="000000"/>
                <w:kern w:val="0"/>
                <w:sz w:val="24"/>
                <w:szCs w:val="24"/>
                <w:u w:val="none" w:color="auto"/>
                <w:lang w:val="en-US" w:eastAsia="zh-CN" w:bidi="ar"/>
              </w:rPr>
              <w:t>中</w:t>
            </w:r>
            <w:r>
              <w:rPr>
                <w:rFonts w:hint="default" w:ascii="Times New Roman" w:hAnsi="Times New Roman" w:eastAsia="宋体" w:cs="Times New Roman"/>
                <w:color w:val="000000"/>
                <w:kern w:val="0"/>
                <w:sz w:val="24"/>
                <w:szCs w:val="24"/>
                <w:u w:val="none" w:color="auto"/>
                <w:lang w:val="en-US" w:eastAsia="zh-CN" w:bidi="ar"/>
              </w:rPr>
              <w:t>型</w:t>
            </w:r>
            <w:r>
              <w:rPr>
                <w:rFonts w:hint="eastAsia" w:cs="Times New Roman"/>
                <w:color w:val="000000"/>
                <w:kern w:val="0"/>
                <w:sz w:val="24"/>
                <w:szCs w:val="24"/>
                <w:u w:val="none" w:color="auto"/>
                <w:lang w:val="en-US" w:eastAsia="zh-CN" w:bidi="ar"/>
              </w:rPr>
              <w:t>河流</w:t>
            </w:r>
            <w:r>
              <w:rPr>
                <w:rFonts w:hint="default" w:ascii="Times New Roman" w:hAnsi="Times New Roman" w:eastAsia="宋体" w:cs="Times New Roman"/>
                <w:color w:val="000000"/>
                <w:kern w:val="0"/>
                <w:sz w:val="24"/>
                <w:szCs w:val="24"/>
                <w:u w:val="none" w:color="auto"/>
                <w:lang w:val="en-US" w:eastAsia="zh-CN" w:bidi="ar"/>
              </w:rPr>
              <w:t xml:space="preserve">。 </w:t>
            </w:r>
          </w:p>
          <w:p w14:paraId="47D619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1）河流</w:t>
            </w:r>
            <w:r>
              <w:rPr>
                <w:rFonts w:hint="eastAsia" w:cs="Times New Roman"/>
                <w:color w:val="000000"/>
                <w:kern w:val="0"/>
                <w:sz w:val="24"/>
                <w:szCs w:val="24"/>
                <w:u w:val="none" w:color="auto"/>
                <w:lang w:val="en-US" w:eastAsia="zh-CN" w:bidi="ar"/>
              </w:rPr>
              <w:t>二</w:t>
            </w:r>
            <w:r>
              <w:rPr>
                <w:rFonts w:hint="default" w:ascii="Times New Roman" w:hAnsi="Times New Roman" w:eastAsia="宋体" w:cs="Times New Roman"/>
                <w:color w:val="000000"/>
                <w:kern w:val="0"/>
                <w:sz w:val="24"/>
                <w:szCs w:val="24"/>
                <w:u w:val="none" w:color="auto"/>
                <w:lang w:val="en-US" w:eastAsia="zh-CN" w:bidi="ar"/>
              </w:rPr>
              <w:t>维模型</w:t>
            </w:r>
          </w:p>
          <w:p w14:paraId="6679C5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cs="Times New Roman"/>
                <w:color w:val="000000"/>
                <w:kern w:val="0"/>
                <w:sz w:val="24"/>
                <w:szCs w:val="24"/>
                <w:u w:val="none" w:color="auto"/>
                <w:lang w:val="en-US" w:eastAsia="zh-CN" w:bidi="ar"/>
              </w:rPr>
              <w:t>二</w:t>
            </w:r>
            <w:r>
              <w:rPr>
                <w:rFonts w:hint="default" w:ascii="Times New Roman" w:hAnsi="Times New Roman" w:eastAsia="宋体" w:cs="Times New Roman"/>
                <w:color w:val="000000"/>
                <w:kern w:val="0"/>
                <w:sz w:val="24"/>
                <w:szCs w:val="24"/>
                <w:u w:val="none" w:color="auto"/>
                <w:lang w:val="en-US" w:eastAsia="zh-CN" w:bidi="ar"/>
              </w:rPr>
              <w:t>维模型方程式如下</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 xml:space="preserve"> </w:t>
            </w:r>
          </w:p>
          <w:p w14:paraId="706910EB">
            <w:pPr>
              <w:keepNext w:val="0"/>
              <w:keepLines w:val="0"/>
              <w:widowControl/>
              <w:numPr>
                <w:ilvl w:val="0"/>
                <w:numId w:val="0"/>
              </w:numPr>
              <w:suppressLineNumbers w:val="0"/>
              <w:jc w:val="center"/>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drawing>
                <wp:inline distT="0" distB="0" distL="114300" distR="114300">
                  <wp:extent cx="5054600" cy="673100"/>
                  <wp:effectExtent l="0" t="0" r="0" b="12700"/>
                  <wp:docPr id="10" name="图片 10" descr="截屏2024-07-09 11.4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截屏2024-07-09 11.49.53"/>
                          <pic:cNvPicPr>
                            <a:picLocks noChangeAspect="1"/>
                          </pic:cNvPicPr>
                        </pic:nvPicPr>
                        <pic:blipFill>
                          <a:blip r:embed="rId14"/>
                          <a:stretch>
                            <a:fillRect/>
                          </a:stretch>
                        </pic:blipFill>
                        <pic:spPr>
                          <a:xfrm>
                            <a:off x="0" y="0"/>
                            <a:ext cx="5054600" cy="673100"/>
                          </a:xfrm>
                          <a:prstGeom prst="rect">
                            <a:avLst/>
                          </a:prstGeom>
                        </pic:spPr>
                      </pic:pic>
                    </a:graphicData>
                  </a:graphic>
                </wp:inline>
              </w:drawing>
            </w:r>
          </w:p>
          <w:p w14:paraId="605A7F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式中: </w:t>
            </w:r>
          </w:p>
          <w:p w14:paraId="75FEC3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C(x,y)———</w:t>
            </w:r>
            <w:r>
              <w:rPr>
                <w:rFonts w:hint="eastAsia" w:ascii="Times New Roman" w:hAnsi="Times New Roman" w:eastAsia="宋体" w:cs="Times New Roman"/>
                <w:color w:val="000000"/>
                <w:kern w:val="0"/>
                <w:sz w:val="24"/>
                <w:szCs w:val="24"/>
                <w:u w:val="none" w:color="auto"/>
                <w:lang w:val="en-US" w:eastAsia="zh-CN" w:bidi="ar"/>
              </w:rPr>
              <w:t>计算水域代表点的污染物平均浓度</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单位为毫克每升</w:t>
            </w:r>
            <w:r>
              <w:rPr>
                <w:rFonts w:hint="default" w:ascii="Times New Roman" w:hAnsi="Times New Roman" w:eastAsia="宋体" w:cs="Times New Roman"/>
                <w:color w:val="000000"/>
                <w:kern w:val="0"/>
                <w:sz w:val="24"/>
                <w:szCs w:val="24"/>
                <w:u w:val="none" w:color="auto"/>
                <w:lang w:val="en-US" w:eastAsia="zh-CN" w:bidi="ar"/>
              </w:rPr>
              <w:t xml:space="preserve">(mg/L); </w:t>
            </w:r>
          </w:p>
          <w:p w14:paraId="6FD22E2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eastAsia="宋体" w:cs="Times New Roman"/>
                <w:color w:val="000000"/>
                <w:kern w:val="0"/>
                <w:sz w:val="24"/>
                <w:szCs w:val="24"/>
                <w:u w:val="none" w:color="auto"/>
                <w:lang w:val="en-US" w:eastAsia="zh-CN" w:bidi="ar"/>
              </w:rPr>
            </w:pPr>
            <w:r>
              <w:rPr>
                <w:rFonts w:hint="default"/>
                <w:lang w:val="en-US" w:eastAsia="zh-CN"/>
              </w:rPr>
              <w:drawing>
                <wp:anchor distT="0" distB="0" distL="114300" distR="114300" simplePos="0" relativeHeight="251665408" behindDoc="1" locked="0" layoutInCell="1" allowOverlap="1">
                  <wp:simplePos x="0" y="0"/>
                  <wp:positionH relativeFrom="column">
                    <wp:posOffset>813435</wp:posOffset>
                  </wp:positionH>
                  <wp:positionV relativeFrom="paragraph">
                    <wp:posOffset>518795</wp:posOffset>
                  </wp:positionV>
                  <wp:extent cx="3467100" cy="647700"/>
                  <wp:effectExtent l="0" t="0" r="12700" b="12700"/>
                  <wp:wrapNone/>
                  <wp:docPr id="38" name="图片 38" descr="截屏2024-07-09 11.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截屏2024-07-09 11.50.04"/>
                          <pic:cNvPicPr>
                            <a:picLocks noChangeAspect="1"/>
                          </pic:cNvPicPr>
                        </pic:nvPicPr>
                        <pic:blipFill>
                          <a:blip r:embed="rId15"/>
                          <a:stretch>
                            <a:fillRect/>
                          </a:stretch>
                        </pic:blipFill>
                        <pic:spPr>
                          <a:xfrm>
                            <a:off x="0" y="0"/>
                            <a:ext cx="3467100" cy="647700"/>
                          </a:xfrm>
                          <a:prstGeom prst="rect">
                            <a:avLst/>
                          </a:prstGeom>
                        </pic:spPr>
                      </pic:pic>
                    </a:graphicData>
                  </a:graphic>
                </wp:anchor>
              </w:drawing>
            </w:r>
            <w:r>
              <w:rPr>
                <w:rFonts w:hint="eastAsia" w:ascii="Times New Roman" w:hAnsi="Times New Roman" w:eastAsia="宋体" w:cs="Times New Roman"/>
                <w:color w:val="000000"/>
                <w:kern w:val="0"/>
                <w:sz w:val="24"/>
                <w:szCs w:val="24"/>
                <w:u w:val="none" w:color="auto"/>
                <w:lang w:val="en-US" w:eastAsia="zh-CN" w:bidi="ar"/>
              </w:rPr>
              <w:t>以岸边污染物浓度作为下游控制断面的控制浓度时,即y</w:t>
            </w:r>
            <w:r>
              <w:rPr>
                <w:rFonts w:hint="default" w:ascii="Times New Roman" w:hAnsi="Times New Roman" w:eastAsia="宋体" w:cs="Times New Roman"/>
                <w:color w:val="000000"/>
                <w:kern w:val="0"/>
                <w:sz w:val="24"/>
                <w:szCs w:val="24"/>
                <w:u w:val="none" w:color="auto"/>
                <w:lang w:val="en-US" w:eastAsia="zh-CN" w:bidi="ar"/>
              </w:rPr>
              <w:t>=0,</w:t>
            </w:r>
            <w:r>
              <w:rPr>
                <w:rFonts w:hint="eastAsia" w:ascii="Times New Roman" w:hAnsi="Times New Roman" w:eastAsia="宋体" w:cs="Times New Roman"/>
                <w:color w:val="000000"/>
                <w:kern w:val="0"/>
                <w:sz w:val="24"/>
                <w:szCs w:val="24"/>
                <w:u w:val="none" w:color="auto"/>
                <w:lang w:val="en-US" w:eastAsia="zh-CN" w:bidi="ar"/>
              </w:rPr>
              <w:t>岸边污染物浓度按</w:t>
            </w:r>
            <w:r>
              <w:rPr>
                <w:rFonts w:hint="eastAsia" w:eastAsia="宋体" w:cs="Times New Roman"/>
                <w:color w:val="000000"/>
                <w:kern w:val="0"/>
                <w:sz w:val="24"/>
                <w:szCs w:val="24"/>
                <w:u w:val="none" w:color="auto"/>
                <w:lang w:val="en-US" w:eastAsia="zh-CN" w:bidi="ar"/>
              </w:rPr>
              <w:t>如下</w:t>
            </w:r>
            <w:r>
              <w:rPr>
                <w:rFonts w:hint="eastAsia" w:ascii="Times New Roman" w:hAnsi="Times New Roman" w:eastAsia="宋体" w:cs="Times New Roman"/>
                <w:color w:val="000000"/>
                <w:kern w:val="0"/>
                <w:sz w:val="24"/>
                <w:szCs w:val="24"/>
                <w:u w:val="none" w:color="auto"/>
                <w:lang w:val="en-US" w:eastAsia="zh-CN" w:bidi="ar"/>
              </w:rPr>
              <w:t>式</w:t>
            </w:r>
            <w:r>
              <w:rPr>
                <w:rFonts w:hint="eastAsia" w:eastAsia="宋体" w:cs="Times New Roman"/>
                <w:color w:val="000000"/>
                <w:kern w:val="0"/>
                <w:sz w:val="24"/>
                <w:szCs w:val="24"/>
                <w:u w:val="none" w:color="auto"/>
                <w:lang w:val="en-US" w:eastAsia="zh-CN" w:bidi="ar"/>
              </w:rPr>
              <w:t>计算：</w:t>
            </w:r>
          </w:p>
          <w:p w14:paraId="0304280A">
            <w:pPr>
              <w:pStyle w:val="3"/>
              <w:rPr>
                <w:rFonts w:hint="default"/>
                <w:lang w:val="en-US" w:eastAsia="zh-CN"/>
              </w:rPr>
            </w:pPr>
          </w:p>
          <w:p w14:paraId="1E19937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default" w:ascii="Times New Roman" w:hAnsi="Times New Roman" w:eastAsia="宋体" w:cs="Times New Roman"/>
                <w:color w:val="000000"/>
                <w:kern w:val="0"/>
                <w:sz w:val="24"/>
                <w:szCs w:val="24"/>
                <w:u w:val="none" w:color="auto"/>
                <w:lang w:val="en-US" w:eastAsia="zh-CN" w:bidi="ar"/>
              </w:rPr>
            </w:pPr>
          </w:p>
          <w:p w14:paraId="3C029F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 xml:space="preserve">式中: </w:t>
            </w:r>
          </w:p>
          <w:p w14:paraId="0141EE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C</w:t>
            </w:r>
            <w:r>
              <w:rPr>
                <w:rFonts w:hint="default" w:ascii="Times New Roman" w:hAnsi="Times New Roman" w:eastAsia="宋体" w:cs="Times New Roman"/>
                <w:color w:val="000000"/>
                <w:kern w:val="0"/>
                <w:sz w:val="24"/>
                <w:szCs w:val="24"/>
                <w:u w:val="none" w:color="auto"/>
                <w:lang w:val="en-US" w:eastAsia="zh-CN" w:bidi="ar"/>
              </w:rPr>
              <w:t>(x,0)———</w:t>
            </w:r>
            <w:r>
              <w:rPr>
                <w:rFonts w:hint="eastAsia" w:ascii="Times New Roman" w:hAnsi="Times New Roman" w:eastAsia="宋体" w:cs="Times New Roman"/>
                <w:color w:val="000000"/>
                <w:kern w:val="0"/>
                <w:sz w:val="24"/>
                <w:szCs w:val="24"/>
                <w:u w:val="none" w:color="auto"/>
                <w:lang w:val="en-US" w:eastAsia="zh-CN" w:bidi="ar"/>
              </w:rPr>
              <w:t>纵向距离为</w:t>
            </w:r>
            <w:r>
              <w:rPr>
                <w:rFonts w:hint="default" w:ascii="Times New Roman" w:hAnsi="Times New Roman" w:eastAsia="宋体" w:cs="Times New Roman"/>
                <w:color w:val="000000"/>
                <w:kern w:val="0"/>
                <w:sz w:val="24"/>
                <w:szCs w:val="24"/>
                <w:u w:val="none" w:color="auto"/>
                <w:lang w:val="en-US" w:eastAsia="zh-CN" w:bidi="ar"/>
              </w:rPr>
              <w:t>x</w:t>
            </w:r>
            <w:r>
              <w:rPr>
                <w:rFonts w:hint="eastAsia" w:ascii="Times New Roman" w:hAnsi="Times New Roman" w:eastAsia="宋体" w:cs="Times New Roman"/>
                <w:color w:val="000000"/>
                <w:kern w:val="0"/>
                <w:sz w:val="24"/>
                <w:szCs w:val="24"/>
                <w:u w:val="none" w:color="auto"/>
                <w:lang w:val="en-US" w:eastAsia="zh-CN" w:bidi="ar"/>
              </w:rPr>
              <w:t>的断面岸边</w:t>
            </w:r>
            <w:r>
              <w:rPr>
                <w:rFonts w:hint="default" w:ascii="Times New Roman" w:hAnsi="Times New Roman" w:eastAsia="宋体" w:cs="Times New Roman"/>
                <w:color w:val="000000"/>
                <w:kern w:val="0"/>
                <w:sz w:val="24"/>
                <w:szCs w:val="24"/>
                <w:u w:val="none" w:color="auto"/>
                <w:lang w:val="en-US" w:eastAsia="zh-CN" w:bidi="ar"/>
              </w:rPr>
              <w:t>(y=0)</w:t>
            </w:r>
            <w:r>
              <w:rPr>
                <w:rFonts w:hint="eastAsia" w:ascii="Times New Roman" w:hAnsi="Times New Roman" w:eastAsia="宋体" w:cs="Times New Roman"/>
                <w:color w:val="000000"/>
                <w:kern w:val="0"/>
                <w:sz w:val="24"/>
                <w:szCs w:val="24"/>
                <w:u w:val="none" w:color="auto"/>
                <w:lang w:val="en-US" w:eastAsia="zh-CN" w:bidi="ar"/>
              </w:rPr>
              <w:t>污染物浓度</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单位为毫克每升</w:t>
            </w:r>
            <w:r>
              <w:rPr>
                <w:rFonts w:hint="default" w:ascii="Times New Roman" w:hAnsi="Times New Roman" w:eastAsia="宋体" w:cs="Times New Roman"/>
                <w:color w:val="000000"/>
                <w:kern w:val="0"/>
                <w:sz w:val="24"/>
                <w:szCs w:val="24"/>
                <w:u w:val="none" w:color="auto"/>
                <w:lang w:val="en-US" w:eastAsia="zh-CN" w:bidi="ar"/>
              </w:rPr>
              <w:t xml:space="preserve">(mg/L); </w:t>
            </w:r>
          </w:p>
          <w:p w14:paraId="3E1A05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v———</w:t>
            </w:r>
            <w:r>
              <w:rPr>
                <w:rFonts w:hint="eastAsia" w:ascii="Times New Roman" w:hAnsi="Times New Roman" w:eastAsia="宋体" w:cs="Times New Roman"/>
                <w:color w:val="000000"/>
                <w:kern w:val="0"/>
                <w:sz w:val="24"/>
                <w:szCs w:val="24"/>
                <w:u w:val="none" w:color="auto"/>
                <w:lang w:val="en-US" w:eastAsia="zh-CN" w:bidi="ar"/>
              </w:rPr>
              <w:t>设计流量下计算水域的平均流速</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单位为米每秒</w:t>
            </w:r>
            <w:r>
              <w:rPr>
                <w:rFonts w:hint="default" w:ascii="Times New Roman" w:hAnsi="Times New Roman" w:eastAsia="宋体" w:cs="Times New Roman"/>
                <w:color w:val="000000"/>
                <w:kern w:val="0"/>
                <w:sz w:val="24"/>
                <w:szCs w:val="24"/>
                <w:u w:val="none" w:color="auto"/>
                <w:lang w:val="en-US" w:eastAsia="zh-CN" w:bidi="ar"/>
              </w:rPr>
              <w:t xml:space="preserve">(m/s); </w:t>
            </w:r>
          </w:p>
          <w:p w14:paraId="41E881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h———</w:t>
            </w:r>
            <w:r>
              <w:rPr>
                <w:rFonts w:hint="eastAsia" w:ascii="Times New Roman" w:hAnsi="Times New Roman" w:eastAsia="宋体" w:cs="Times New Roman"/>
                <w:color w:val="000000"/>
                <w:kern w:val="0"/>
                <w:sz w:val="24"/>
                <w:szCs w:val="24"/>
                <w:u w:val="none" w:color="auto"/>
                <w:lang w:val="en-US" w:eastAsia="zh-CN" w:bidi="ar"/>
              </w:rPr>
              <w:t>设计流量下计算水域的平均水深</w:t>
            </w:r>
            <w:r>
              <w:rPr>
                <w:rFonts w:hint="default" w:ascii="Times New Roman" w:hAnsi="Times New Roman" w:eastAsia="宋体" w:cs="Times New Roman"/>
                <w:color w:val="000000"/>
                <w:kern w:val="0"/>
                <w:sz w:val="24"/>
                <w:szCs w:val="24"/>
                <w:u w:val="none" w:color="auto"/>
                <w:lang w:val="en-US" w:eastAsia="zh-CN" w:bidi="ar"/>
              </w:rPr>
              <w:t>,</w:t>
            </w:r>
            <w:r>
              <w:rPr>
                <w:rFonts w:hint="eastAsia" w:ascii="Times New Roman" w:hAnsi="Times New Roman" w:eastAsia="宋体" w:cs="Times New Roman"/>
                <w:color w:val="000000"/>
                <w:kern w:val="0"/>
                <w:sz w:val="24"/>
                <w:szCs w:val="24"/>
                <w:u w:val="none" w:color="auto"/>
                <w:lang w:val="en-US" w:eastAsia="zh-CN" w:bidi="ar"/>
              </w:rPr>
              <w:t>单位为米</w:t>
            </w:r>
            <w:r>
              <w:rPr>
                <w:rFonts w:hint="default" w:ascii="Times New Roman" w:hAnsi="Times New Roman" w:eastAsia="宋体" w:cs="Times New Roman"/>
                <w:color w:val="000000"/>
                <w:kern w:val="0"/>
                <w:sz w:val="24"/>
                <w:szCs w:val="24"/>
                <w:u w:val="none" w:color="auto"/>
                <w:lang w:val="en-US" w:eastAsia="zh-CN" w:bidi="ar"/>
              </w:rPr>
              <w:t xml:space="preserve">(m); </w:t>
            </w:r>
          </w:p>
          <w:p w14:paraId="16A502B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default"/>
                <w:lang w:val="en-US" w:eastAsia="zh-CN"/>
              </w:rPr>
            </w:pPr>
            <w:r>
              <w:rPr>
                <w:rFonts w:hint="default" w:ascii="Times New Roman" w:hAnsi="Times New Roman" w:eastAsia="宋体" w:cs="Times New Roman"/>
                <w:color w:val="000000"/>
                <w:kern w:val="0"/>
                <w:sz w:val="24"/>
                <w:szCs w:val="24"/>
                <w:u w:val="none" w:color="auto"/>
                <w:lang w:val="en-US" w:eastAsia="zh-CN" w:bidi="ar"/>
              </w:rPr>
              <w:t xml:space="preserve">相应的水域纳污能力按下式计算： </w:t>
            </w:r>
          </w:p>
          <w:p w14:paraId="70609E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color="auto"/>
                <w:lang w:val="en-US" w:eastAsia="zh-CN" w:bidi="ar"/>
              </w:rPr>
            </w:pPr>
            <w:r>
              <w:rPr>
                <w:rFonts w:hint="default" w:ascii="Times New Roman" w:hAnsi="Times New Roman" w:eastAsia="宋体" w:cs="Times New Roman"/>
                <w:i w:val="0"/>
                <w:iCs w:val="0"/>
                <w:color w:val="000000"/>
                <w:kern w:val="0"/>
                <w:sz w:val="18"/>
                <w:szCs w:val="18"/>
                <w:u w:val="none" w:color="auto"/>
                <w:lang w:val="en-US" w:eastAsia="zh-CN" w:bidi="ar"/>
              </w:rPr>
              <w:drawing>
                <wp:inline distT="0" distB="0" distL="114300" distR="114300">
                  <wp:extent cx="4521200" cy="889000"/>
                  <wp:effectExtent l="0" t="0" r="0" b="0"/>
                  <wp:docPr id="42" name="图片 42" descr="截屏2024-07-09 11.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截屏2024-07-09 11.50.26"/>
                          <pic:cNvPicPr>
                            <a:picLocks noChangeAspect="1"/>
                          </pic:cNvPicPr>
                        </pic:nvPicPr>
                        <pic:blipFill>
                          <a:blip r:embed="rId16"/>
                          <a:stretch>
                            <a:fillRect/>
                          </a:stretch>
                        </pic:blipFill>
                        <pic:spPr>
                          <a:xfrm>
                            <a:off x="0" y="0"/>
                            <a:ext cx="4521200" cy="889000"/>
                          </a:xfrm>
                          <a:prstGeom prst="rect">
                            <a:avLst/>
                          </a:prstGeom>
                        </pic:spPr>
                      </pic:pic>
                    </a:graphicData>
                  </a:graphic>
                </wp:inline>
              </w:drawing>
            </w:r>
          </w:p>
          <w:p w14:paraId="637773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式中，M——水域纳污能力，g/s； </w:t>
            </w:r>
          </w:p>
          <w:p w14:paraId="70F5530B">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Cs——水质目标浓度值，mg/L； </w:t>
            </w:r>
          </w:p>
          <w:p w14:paraId="663455E4">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其余符号意义同前。 </w:t>
            </w:r>
          </w:p>
          <w:p w14:paraId="589E53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根据附录 A 数学模型及参数，选用河流</w:t>
            </w:r>
            <w:r>
              <w:rPr>
                <w:rFonts w:hint="eastAsia" w:cs="Times New Roman"/>
                <w:color w:val="000000"/>
                <w:kern w:val="0"/>
                <w:sz w:val="24"/>
                <w:szCs w:val="24"/>
                <w:u w:val="none" w:color="auto"/>
                <w:lang w:val="en-US" w:eastAsia="zh-CN" w:bidi="ar"/>
              </w:rPr>
              <w:t>二</w:t>
            </w:r>
            <w:r>
              <w:rPr>
                <w:rFonts w:hint="default" w:ascii="Times New Roman" w:hAnsi="Times New Roman" w:eastAsia="宋体" w:cs="Times New Roman"/>
                <w:color w:val="000000"/>
                <w:kern w:val="0"/>
                <w:sz w:val="24"/>
                <w:szCs w:val="24"/>
                <w:u w:val="none" w:color="auto"/>
                <w:lang w:val="en-US" w:eastAsia="zh-CN" w:bidi="ar"/>
              </w:rPr>
              <w:t>维水质模型来确定非持久性污染物（COD、氨氮）的水环境容量。</w:t>
            </w:r>
          </w:p>
          <w:p w14:paraId="76219C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（2）计算参数的选取 </w:t>
            </w:r>
          </w:p>
          <w:p w14:paraId="24FF07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①河段水质控制目标：COD</w:t>
            </w:r>
            <w:r>
              <w:rPr>
                <w:rFonts w:hint="eastAsia" w:cs="Times New Roman"/>
                <w:color w:val="000000"/>
                <w:kern w:val="0"/>
                <w:sz w:val="24"/>
                <w:szCs w:val="24"/>
                <w:u w:val="none" w:color="auto"/>
                <w:lang w:val="en-US" w:eastAsia="zh-CN" w:bidi="ar"/>
              </w:rPr>
              <w:t xml:space="preserve"> 20</w:t>
            </w:r>
            <w:r>
              <w:rPr>
                <w:rFonts w:hint="default" w:ascii="Times New Roman" w:hAnsi="Times New Roman" w:eastAsia="宋体" w:cs="Times New Roman"/>
                <w:color w:val="000000"/>
                <w:kern w:val="0"/>
                <w:sz w:val="24"/>
                <w:szCs w:val="24"/>
                <w:u w:val="none" w:color="auto"/>
                <w:lang w:val="en-US" w:eastAsia="zh-CN" w:bidi="ar"/>
              </w:rPr>
              <w:t xml:space="preserve">mg/L、氨氮 </w:t>
            </w:r>
            <w:r>
              <w:rPr>
                <w:rFonts w:hint="eastAsia" w:cs="Times New Roman"/>
                <w:color w:val="000000"/>
                <w:kern w:val="0"/>
                <w:sz w:val="24"/>
                <w:szCs w:val="24"/>
                <w:u w:val="none" w:color="auto"/>
                <w:lang w:val="en-US" w:eastAsia="zh-CN" w:bidi="ar"/>
              </w:rPr>
              <w:t xml:space="preserve">1 </w:t>
            </w:r>
            <w:r>
              <w:rPr>
                <w:rFonts w:hint="default" w:ascii="Times New Roman" w:hAnsi="Times New Roman" w:eastAsia="宋体" w:cs="Times New Roman"/>
                <w:color w:val="000000"/>
                <w:kern w:val="0"/>
                <w:sz w:val="24"/>
                <w:szCs w:val="24"/>
                <w:u w:val="none" w:color="auto"/>
                <w:lang w:val="en-US" w:eastAsia="zh-CN" w:bidi="ar"/>
              </w:rPr>
              <w:t xml:space="preserve">mg/L。 </w:t>
            </w:r>
          </w:p>
          <w:p w14:paraId="46AE6C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 xml:space="preserve">②纳污能力以90%保证率最枯月平均流量为设计流量。 </w:t>
            </w:r>
          </w:p>
          <w:p w14:paraId="44452E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为了解项目区域水文资料，</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枯水期水文资料参考表</w:t>
            </w:r>
            <w:r>
              <w:rPr>
                <w:rFonts w:hint="eastAsia" w:cs="Times New Roman"/>
                <w:color w:val="000000"/>
                <w:kern w:val="0"/>
                <w:sz w:val="24"/>
                <w:szCs w:val="24"/>
                <w:u w:val="none" w:color="auto"/>
                <w:lang w:val="en-US" w:eastAsia="zh-CN" w:bidi="ar"/>
              </w:rPr>
              <w:t>5-7</w:t>
            </w:r>
            <w:r>
              <w:rPr>
                <w:rFonts w:hint="default" w:ascii="Times New Roman" w:hAnsi="Times New Roman" w:cs="Times New Roman"/>
                <w:color w:val="000000"/>
                <w:kern w:val="0"/>
                <w:sz w:val="24"/>
                <w:szCs w:val="24"/>
                <w:u w:val="none" w:color="auto"/>
                <w:lang w:val="en-US" w:eastAsia="zh-CN" w:bidi="ar"/>
              </w:rPr>
              <w:t>。</w:t>
            </w:r>
          </w:p>
          <w:p w14:paraId="32FC8F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none" w:color="auto"/>
              </w:rPr>
            </w:pPr>
            <w:r>
              <w:rPr>
                <w:rFonts w:hint="default" w:ascii="Times New Roman" w:hAnsi="Times New Roman" w:eastAsia="宋体" w:cs="Times New Roman"/>
                <w:color w:val="000000"/>
                <w:kern w:val="0"/>
                <w:sz w:val="24"/>
                <w:szCs w:val="24"/>
                <w:u w:val="none" w:color="auto"/>
                <w:lang w:val="en-US" w:eastAsia="zh-CN" w:bidi="ar"/>
              </w:rPr>
              <w:t>（3）计算结果</w:t>
            </w:r>
          </w:p>
          <w:p w14:paraId="7A1464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纳污能力计算各参数及数值计算值见下表所示。</w:t>
            </w:r>
          </w:p>
          <w:p w14:paraId="262AE2AE">
            <w:pPr>
              <w:adjustRightInd w:val="0"/>
              <w:snapToGrid w:val="0"/>
              <w:spacing w:line="240" w:lineRule="auto"/>
              <w:jc w:val="center"/>
              <w:rPr>
                <w:rFonts w:hint="default" w:ascii="Times New Roman" w:hAnsi="Times New Roman" w:eastAsia="宋体"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5-8</w:t>
            </w:r>
            <w:r>
              <w:rPr>
                <w:rFonts w:hint="default" w:ascii="Times New Roman" w:hAnsi="Times New Roman" w:cs="Times New Roman"/>
                <w:b/>
                <w:bCs/>
                <w:sz w:val="21"/>
                <w:szCs w:val="21"/>
                <w:u w:val="none" w:color="auto"/>
              </w:rPr>
              <w:t xml:space="preserve"> </w:t>
            </w:r>
            <w:r>
              <w:rPr>
                <w:rFonts w:hint="default" w:ascii="Times New Roman" w:hAnsi="Times New Roman" w:cs="Times New Roman"/>
                <w:b/>
                <w:bCs/>
                <w:sz w:val="21"/>
                <w:szCs w:val="21"/>
                <w:u w:val="none" w:color="auto"/>
                <w:lang w:val="en-US" w:eastAsia="zh-CN"/>
              </w:rPr>
              <w:t>排污口河段水域纳污能力影响分析表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57" w:type="dxa"/>
                <w:bottom w:w="28" w:type="dxa"/>
                <w:right w:w="57" w:type="dxa"/>
              </w:tblCellMar>
            </w:tblPr>
            <w:tblGrid>
              <w:gridCol w:w="915"/>
              <w:gridCol w:w="983"/>
              <w:gridCol w:w="1025"/>
              <w:gridCol w:w="1011"/>
              <w:gridCol w:w="927"/>
              <w:gridCol w:w="969"/>
              <w:gridCol w:w="1247"/>
              <w:gridCol w:w="1199"/>
            </w:tblGrid>
            <w:tr w14:paraId="1491D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tcBorders>
                    <w:tl2br w:val="nil"/>
                    <w:tr2bl w:val="nil"/>
                  </w:tcBorders>
                  <w:noWrap w:val="0"/>
                  <w:vAlign w:val="center"/>
                </w:tcPr>
                <w:p w14:paraId="42A9C5A5">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河流</w:t>
                  </w:r>
                </w:p>
                <w:p w14:paraId="0C33FCAB">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名称</w:t>
                  </w:r>
                </w:p>
              </w:tc>
              <w:tc>
                <w:tcPr>
                  <w:tcW w:w="983" w:type="dxa"/>
                  <w:tcBorders>
                    <w:tl2br w:val="nil"/>
                    <w:tr2bl w:val="nil"/>
                  </w:tcBorders>
                  <w:noWrap w:val="0"/>
                  <w:vAlign w:val="center"/>
                </w:tcPr>
                <w:p w14:paraId="137D6686">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运行状况</w:t>
                  </w:r>
                </w:p>
              </w:tc>
              <w:tc>
                <w:tcPr>
                  <w:tcW w:w="1025" w:type="dxa"/>
                  <w:tcBorders>
                    <w:tl2br w:val="nil"/>
                    <w:tr2bl w:val="nil"/>
                  </w:tcBorders>
                  <w:noWrap w:val="0"/>
                  <w:vAlign w:val="center"/>
                </w:tcPr>
                <w:p w14:paraId="21CB5DD0">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b/>
                      <w:bCs/>
                      <w:color w:val="000000"/>
                      <w:u w:val="none" w:color="auto"/>
                      <w:lang w:val="en-US" w:eastAsia="zh-CN"/>
                    </w:rPr>
                    <w:t>污染物控制指标</w:t>
                  </w:r>
                </w:p>
              </w:tc>
              <w:tc>
                <w:tcPr>
                  <w:tcW w:w="1011" w:type="dxa"/>
                  <w:tcBorders>
                    <w:tl2br w:val="nil"/>
                    <w:tr2bl w:val="nil"/>
                  </w:tcBorders>
                  <w:noWrap w:val="0"/>
                  <w:vAlign w:val="center"/>
                </w:tcPr>
                <w:p w14:paraId="17088C0F">
                  <w:pPr>
                    <w:pStyle w:val="24"/>
                    <w:bidi w:val="0"/>
                    <w:jc w:val="center"/>
                    <w:rPr>
                      <w:rFonts w:hint="eastAsia" w:ascii="Times New Roman" w:hAnsi="Times New Roman" w:cs="Times New Roman"/>
                      <w:b/>
                      <w:bCs/>
                      <w:color w:val="000000"/>
                      <w:u w:val="none" w:color="auto"/>
                      <w:vertAlign w:val="subscript"/>
                      <w:lang w:val="en-US" w:eastAsia="zh-CN"/>
                    </w:rPr>
                  </w:pPr>
                  <w:r>
                    <w:rPr>
                      <w:rFonts w:hint="eastAsia" w:ascii="Times New Roman" w:hAnsi="Times New Roman" w:cs="Times New Roman"/>
                      <w:b/>
                      <w:bCs/>
                      <w:color w:val="000000"/>
                      <w:u w:val="none" w:color="auto"/>
                      <w:lang w:val="en-US" w:eastAsia="zh-CN"/>
                    </w:rPr>
                    <w:t>C</w:t>
                  </w:r>
                  <w:r>
                    <w:rPr>
                      <w:rFonts w:hint="eastAsia" w:ascii="Times New Roman" w:hAnsi="Times New Roman" w:cs="Times New Roman"/>
                      <w:b/>
                      <w:bCs/>
                      <w:color w:val="000000"/>
                      <w:u w:val="none" w:color="auto"/>
                      <w:vertAlign w:val="subscript"/>
                      <w:lang w:val="en-US" w:eastAsia="zh-CN"/>
                    </w:rPr>
                    <w:t>x</w:t>
                  </w:r>
                </w:p>
                <w:p w14:paraId="639EB0EC">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mg/L</w:t>
                  </w:r>
                </w:p>
              </w:tc>
              <w:tc>
                <w:tcPr>
                  <w:tcW w:w="927" w:type="dxa"/>
                  <w:tcBorders>
                    <w:tl2br w:val="nil"/>
                    <w:tr2bl w:val="nil"/>
                  </w:tcBorders>
                  <w:noWrap w:val="0"/>
                  <w:vAlign w:val="center"/>
                </w:tcPr>
                <w:p w14:paraId="2970227B">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控制目标mg/L</w:t>
                  </w:r>
                </w:p>
              </w:tc>
              <w:tc>
                <w:tcPr>
                  <w:tcW w:w="969" w:type="dxa"/>
                  <w:tcBorders>
                    <w:tl2br w:val="nil"/>
                    <w:tr2bl w:val="nil"/>
                  </w:tcBorders>
                  <w:noWrap w:val="0"/>
                  <w:vAlign w:val="center"/>
                </w:tcPr>
                <w:p w14:paraId="4AA557FD">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纳污能力t/a</w:t>
                  </w:r>
                </w:p>
              </w:tc>
              <w:tc>
                <w:tcPr>
                  <w:tcW w:w="1247" w:type="dxa"/>
                  <w:tcBorders>
                    <w:tl2br w:val="nil"/>
                    <w:tr2bl w:val="nil"/>
                  </w:tcBorders>
                  <w:noWrap w:val="0"/>
                  <w:vAlign w:val="center"/>
                </w:tcPr>
                <w:p w14:paraId="0183F03F">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污染物排放量t/a</w:t>
                  </w:r>
                </w:p>
              </w:tc>
              <w:tc>
                <w:tcPr>
                  <w:tcW w:w="1199" w:type="dxa"/>
                  <w:tcBorders>
                    <w:tl2br w:val="nil"/>
                    <w:tr2bl w:val="nil"/>
                  </w:tcBorders>
                  <w:noWrap w:val="0"/>
                  <w:vAlign w:val="center"/>
                </w:tcPr>
                <w:p w14:paraId="5EA42CFF">
                  <w:pPr>
                    <w:pStyle w:val="24"/>
                    <w:bidi w:val="0"/>
                    <w:jc w:val="center"/>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环境剩余容量t/a</w:t>
                  </w:r>
                </w:p>
              </w:tc>
            </w:tr>
            <w:tr w14:paraId="26A0E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vMerge w:val="restart"/>
                  <w:tcBorders>
                    <w:tl2br w:val="nil"/>
                    <w:tr2bl w:val="nil"/>
                  </w:tcBorders>
                  <w:noWrap w:val="0"/>
                  <w:vAlign w:val="center"/>
                </w:tcPr>
                <w:p w14:paraId="58F42A5A">
                  <w:pPr>
                    <w:pStyle w:val="24"/>
                    <w:bidi w:val="0"/>
                    <w:jc w:val="center"/>
                    <w:rPr>
                      <w:rFonts w:hint="default" w:ascii="Times New Roman" w:hAnsi="Times New Roman" w:cs="Times New Roman"/>
                      <w:color w:val="000000"/>
                      <w:u w:val="none" w:color="auto"/>
                      <w:lang w:val="en-US" w:eastAsia="zh-CN"/>
                    </w:rPr>
                  </w:pPr>
                  <w:r>
                    <w:rPr>
                      <w:rFonts w:hint="eastAsia" w:ascii="Times New Roman" w:hAnsi="Times New Roman" w:cs="Times New Roman"/>
                      <w:color w:val="000000"/>
                      <w:u w:val="none" w:color="auto"/>
                      <w:lang w:val="en-US" w:eastAsia="zh-CN"/>
                    </w:rPr>
                    <w:t>洣水</w:t>
                  </w:r>
                </w:p>
              </w:tc>
              <w:tc>
                <w:tcPr>
                  <w:tcW w:w="983" w:type="dxa"/>
                  <w:vMerge w:val="restart"/>
                  <w:tcBorders>
                    <w:tl2br w:val="nil"/>
                    <w:tr2bl w:val="nil"/>
                  </w:tcBorders>
                  <w:noWrap w:val="0"/>
                  <w:vAlign w:val="center"/>
                </w:tcPr>
                <w:p w14:paraId="6739D05A">
                  <w:pPr>
                    <w:pStyle w:val="24"/>
                    <w:bidi w:val="0"/>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正常</w:t>
                  </w:r>
                </w:p>
              </w:tc>
              <w:tc>
                <w:tcPr>
                  <w:tcW w:w="1025" w:type="dxa"/>
                  <w:tcBorders>
                    <w:tl2br w:val="nil"/>
                    <w:tr2bl w:val="nil"/>
                  </w:tcBorders>
                  <w:noWrap w:val="0"/>
                  <w:vAlign w:val="center"/>
                </w:tcPr>
                <w:p w14:paraId="33BE5CAA">
                  <w:pPr>
                    <w:pStyle w:val="24"/>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COD</w:t>
                  </w:r>
                </w:p>
              </w:tc>
              <w:tc>
                <w:tcPr>
                  <w:tcW w:w="1011" w:type="dxa"/>
                  <w:tcBorders>
                    <w:tl2br w:val="nil"/>
                    <w:tr2bl w:val="nil"/>
                  </w:tcBorders>
                  <w:noWrap w:val="0"/>
                  <w:vAlign w:val="center"/>
                </w:tcPr>
                <w:p w14:paraId="6B91C726">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6</w:t>
                  </w:r>
                </w:p>
              </w:tc>
              <w:tc>
                <w:tcPr>
                  <w:tcW w:w="927" w:type="dxa"/>
                  <w:tcBorders>
                    <w:tl2br w:val="nil"/>
                    <w:tr2bl w:val="nil"/>
                  </w:tcBorders>
                  <w:noWrap w:val="0"/>
                  <w:vAlign w:val="center"/>
                </w:tcPr>
                <w:p w14:paraId="7EF69ED0">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20</w:t>
                  </w:r>
                </w:p>
              </w:tc>
              <w:tc>
                <w:tcPr>
                  <w:tcW w:w="969" w:type="dxa"/>
                  <w:tcBorders>
                    <w:tl2br w:val="nil"/>
                    <w:tr2bl w:val="nil"/>
                  </w:tcBorders>
                  <w:noWrap w:val="0"/>
                  <w:vAlign w:val="center"/>
                </w:tcPr>
                <w:p w14:paraId="08CC4EE1">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13245.12</w:t>
                  </w:r>
                </w:p>
              </w:tc>
              <w:tc>
                <w:tcPr>
                  <w:tcW w:w="1247" w:type="dxa"/>
                  <w:tcBorders>
                    <w:tl2br w:val="nil"/>
                    <w:tr2bl w:val="nil"/>
                  </w:tcBorders>
                  <w:noWrap w:val="0"/>
                  <w:vAlign w:val="center"/>
                </w:tcPr>
                <w:p w14:paraId="3578A728">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0.2236</w:t>
                  </w:r>
                </w:p>
              </w:tc>
              <w:tc>
                <w:tcPr>
                  <w:tcW w:w="1199" w:type="dxa"/>
                  <w:tcBorders>
                    <w:tl2br w:val="nil"/>
                    <w:tr2bl w:val="nil"/>
                  </w:tcBorders>
                  <w:noWrap w:val="0"/>
                  <w:vAlign w:val="center"/>
                </w:tcPr>
                <w:p w14:paraId="4ABB7F83">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13244.896</w:t>
                  </w:r>
                </w:p>
              </w:tc>
            </w:tr>
            <w:tr w14:paraId="58801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vMerge w:val="continue"/>
                  <w:tcBorders>
                    <w:tl2br w:val="nil"/>
                    <w:tr2bl w:val="nil"/>
                  </w:tcBorders>
                  <w:noWrap w:val="0"/>
                  <w:vAlign w:val="center"/>
                </w:tcPr>
                <w:p w14:paraId="7FC50D29">
                  <w:pPr>
                    <w:pStyle w:val="24"/>
                    <w:bidi w:val="0"/>
                    <w:jc w:val="center"/>
                    <w:rPr>
                      <w:rFonts w:hint="default" w:ascii="Times New Roman" w:hAnsi="Times New Roman" w:cs="Times New Roman"/>
                      <w:color w:val="000000"/>
                      <w:u w:val="none" w:color="auto"/>
                      <w:lang w:val="en-US" w:eastAsia="zh-CN"/>
                    </w:rPr>
                  </w:pPr>
                </w:p>
              </w:tc>
              <w:tc>
                <w:tcPr>
                  <w:tcW w:w="983" w:type="dxa"/>
                  <w:vMerge w:val="continue"/>
                  <w:tcBorders>
                    <w:tl2br w:val="nil"/>
                    <w:tr2bl w:val="nil"/>
                  </w:tcBorders>
                  <w:noWrap w:val="0"/>
                  <w:vAlign w:val="center"/>
                </w:tcPr>
                <w:p w14:paraId="790CA676">
                  <w:pPr>
                    <w:pStyle w:val="24"/>
                    <w:bidi w:val="0"/>
                    <w:rPr>
                      <w:rFonts w:hint="default" w:ascii="Times New Roman" w:hAnsi="Times New Roman" w:cs="Times New Roman"/>
                      <w:color w:val="000000"/>
                      <w:u w:val="none" w:color="auto"/>
                      <w:lang w:val="en-US" w:eastAsia="zh-CN"/>
                    </w:rPr>
                  </w:pPr>
                </w:p>
              </w:tc>
              <w:tc>
                <w:tcPr>
                  <w:tcW w:w="1025" w:type="dxa"/>
                  <w:tcBorders>
                    <w:tl2br w:val="nil"/>
                    <w:tr2bl w:val="nil"/>
                  </w:tcBorders>
                  <w:noWrap w:val="0"/>
                  <w:vAlign w:val="center"/>
                </w:tcPr>
                <w:p w14:paraId="7744B7B7">
                  <w:pPr>
                    <w:pStyle w:val="24"/>
                    <w:bidi w:val="0"/>
                    <w:jc w:val="center"/>
                    <w:rPr>
                      <w:rFonts w:hint="default" w:ascii="Times New Roman" w:hAnsi="Times New Roman" w:cs="Times New Roman"/>
                      <w:color w:val="000000"/>
                      <w:u w:val="none" w:color="auto"/>
                      <w:lang w:val="en-US" w:eastAsia="zh-CN"/>
                    </w:rPr>
                  </w:pPr>
                  <w:r>
                    <w:rPr>
                      <w:rFonts w:hint="default" w:ascii="Times New Roman" w:hAnsi="Times New Roman" w:cs="Times New Roman"/>
                      <w:color w:val="000000"/>
                      <w:u w:val="none" w:color="auto"/>
                      <w:lang w:val="en-US" w:eastAsia="zh-CN"/>
                    </w:rPr>
                    <w:t>NH</w:t>
                  </w:r>
                  <w:r>
                    <w:rPr>
                      <w:rFonts w:hint="default" w:ascii="Times New Roman" w:hAnsi="Times New Roman" w:cs="Times New Roman"/>
                      <w:color w:val="000000"/>
                      <w:u w:val="none" w:color="auto"/>
                      <w:vertAlign w:val="subscript"/>
                      <w:lang w:val="en-US" w:eastAsia="zh-CN"/>
                    </w:rPr>
                    <w:t>3</w:t>
                  </w:r>
                  <w:r>
                    <w:rPr>
                      <w:rFonts w:hint="default" w:ascii="Times New Roman" w:hAnsi="Times New Roman" w:cs="Times New Roman"/>
                      <w:color w:val="000000"/>
                      <w:u w:val="none" w:color="auto"/>
                      <w:lang w:val="en-US" w:eastAsia="zh-CN"/>
                    </w:rPr>
                    <w:t>-N</w:t>
                  </w:r>
                </w:p>
              </w:tc>
              <w:tc>
                <w:tcPr>
                  <w:tcW w:w="1011" w:type="dxa"/>
                  <w:tcBorders>
                    <w:tl2br w:val="nil"/>
                    <w:tr2bl w:val="nil"/>
                  </w:tcBorders>
                  <w:noWrap w:val="0"/>
                  <w:vAlign w:val="center"/>
                </w:tcPr>
                <w:p w14:paraId="66079161">
                  <w:pPr>
                    <w:pStyle w:val="24"/>
                    <w:bidi w:val="0"/>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0.0</w:t>
                  </w:r>
                  <w:r>
                    <w:rPr>
                      <w:rFonts w:hint="eastAsia" w:cs="Times New Roman"/>
                      <w:color w:val="auto"/>
                      <w:u w:val="none" w:color="auto"/>
                      <w:lang w:val="en-US" w:eastAsia="zh-CN"/>
                    </w:rPr>
                    <w:t>4</w:t>
                  </w:r>
                </w:p>
              </w:tc>
              <w:tc>
                <w:tcPr>
                  <w:tcW w:w="927" w:type="dxa"/>
                  <w:tcBorders>
                    <w:tl2br w:val="nil"/>
                    <w:tr2bl w:val="nil"/>
                  </w:tcBorders>
                  <w:noWrap w:val="0"/>
                  <w:vAlign w:val="center"/>
                </w:tcPr>
                <w:p w14:paraId="23692F57">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w:t>
                  </w:r>
                </w:p>
              </w:tc>
              <w:tc>
                <w:tcPr>
                  <w:tcW w:w="969" w:type="dxa"/>
                  <w:tcBorders>
                    <w:tl2br w:val="nil"/>
                    <w:tr2bl w:val="nil"/>
                  </w:tcBorders>
                  <w:noWrap w:val="0"/>
                  <w:vAlign w:val="center"/>
                </w:tcPr>
                <w:p w14:paraId="48159281">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908.24</w:t>
                  </w:r>
                </w:p>
              </w:tc>
              <w:tc>
                <w:tcPr>
                  <w:tcW w:w="1247" w:type="dxa"/>
                  <w:tcBorders>
                    <w:tl2br w:val="nil"/>
                    <w:tr2bl w:val="nil"/>
                  </w:tcBorders>
                  <w:noWrap w:val="0"/>
                  <w:vAlign w:val="center"/>
                </w:tcPr>
                <w:p w14:paraId="686E2219">
                  <w:pPr>
                    <w:pStyle w:val="24"/>
                    <w:bidi w:val="0"/>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0.0</w:t>
                  </w:r>
                  <w:r>
                    <w:rPr>
                      <w:rFonts w:hint="eastAsia" w:cs="Times New Roman"/>
                      <w:color w:val="auto"/>
                      <w:u w:val="none" w:color="auto"/>
                      <w:lang w:val="en-US" w:eastAsia="zh-CN"/>
                    </w:rPr>
                    <w:t>559</w:t>
                  </w:r>
                </w:p>
              </w:tc>
              <w:tc>
                <w:tcPr>
                  <w:tcW w:w="1199" w:type="dxa"/>
                  <w:tcBorders>
                    <w:tl2br w:val="nil"/>
                    <w:tr2bl w:val="nil"/>
                  </w:tcBorders>
                  <w:noWrap w:val="0"/>
                  <w:vAlign w:val="center"/>
                </w:tcPr>
                <w:p w14:paraId="0ABE481A">
                  <w:pPr>
                    <w:pStyle w:val="24"/>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908.1841</w:t>
                  </w:r>
                </w:p>
              </w:tc>
            </w:tr>
          </w:tbl>
          <w:p w14:paraId="590475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u w:val="none" w:color="auto"/>
                <w:lang w:val="en-US" w:eastAsia="zh-CN"/>
              </w:rPr>
            </w:pPr>
            <w:r>
              <w:rPr>
                <w:rFonts w:hint="default" w:ascii="Times New Roman" w:hAnsi="Times New Roman" w:eastAsia="宋体" w:cs="Times New Roman"/>
                <w:color w:val="000000"/>
                <w:kern w:val="0"/>
                <w:sz w:val="24"/>
                <w:szCs w:val="24"/>
                <w:u w:val="none" w:color="auto"/>
                <w:lang w:val="en-US" w:eastAsia="zh-CN" w:bidi="ar"/>
              </w:rPr>
              <w:t>根据上述预测结果，</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评价地表水段枯水期对</w:t>
            </w:r>
            <w:r>
              <w:rPr>
                <w:rFonts w:hint="eastAsia" w:ascii="Times New Roman" w:hAnsi="Times New Roman" w:eastAsia="宋体" w:cs="Times New Roman"/>
                <w:color w:val="000000"/>
                <w:kern w:val="0"/>
                <w:sz w:val="24"/>
                <w:szCs w:val="24"/>
                <w:u w:val="none" w:color="auto"/>
                <w:lang w:val="en-US" w:eastAsia="zh-CN" w:bidi="ar"/>
              </w:rPr>
              <w:t>茶陵县</w:t>
            </w:r>
            <w:r>
              <w:rPr>
                <w:rFonts w:hint="eastAsia" w:cs="Times New Roman"/>
                <w:color w:val="000000"/>
                <w:kern w:val="0"/>
                <w:sz w:val="24"/>
                <w:szCs w:val="24"/>
                <w:u w:val="none" w:color="auto"/>
                <w:lang w:val="en-US" w:eastAsia="zh-CN" w:bidi="ar"/>
              </w:rPr>
              <w:t>浣溪卫生院</w:t>
            </w:r>
            <w:r>
              <w:rPr>
                <w:rFonts w:hint="default" w:ascii="Times New Roman" w:hAnsi="Times New Roman" w:eastAsia="宋体" w:cs="Times New Roman"/>
                <w:color w:val="000000"/>
                <w:kern w:val="0"/>
                <w:sz w:val="24"/>
                <w:szCs w:val="24"/>
                <w:u w:val="none" w:color="auto"/>
                <w:lang w:val="en-US" w:eastAsia="zh-CN" w:bidi="ar"/>
              </w:rPr>
              <w:t>入河排污口设置论证项目排放的COD、氨氮在按III类标准目标值进行估算后，均可承受。</w:t>
            </w:r>
          </w:p>
          <w:p w14:paraId="257AE89D">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w:t>
            </w:r>
            <w:r>
              <w:rPr>
                <w:rFonts w:hint="eastAsia" w:ascii="Times New Roman" w:hAnsi="Times New Roman" w:eastAsia="宋体" w:cs="Times New Roman"/>
                <w:b/>
                <w:bCs/>
                <w:snapToGrid w:val="0"/>
                <w:sz w:val="24"/>
                <w:szCs w:val="24"/>
                <w:u w:val="none" w:color="auto"/>
                <w:vertAlign w:val="baseline"/>
                <w:lang w:val="en-US" w:eastAsia="zh-CN"/>
              </w:rPr>
              <w:t>7</w:t>
            </w:r>
            <w:r>
              <w:rPr>
                <w:rFonts w:hint="default" w:ascii="Times New Roman" w:hAnsi="Times New Roman" w:eastAsia="宋体" w:cs="Times New Roman"/>
                <w:b/>
                <w:bCs/>
                <w:snapToGrid w:val="0"/>
                <w:sz w:val="24"/>
                <w:szCs w:val="24"/>
                <w:u w:val="none" w:color="auto"/>
                <w:vertAlign w:val="baseline"/>
                <w:lang w:val="en-US" w:eastAsia="zh-CN"/>
              </w:rPr>
              <w:t>排放总量</w:t>
            </w:r>
          </w:p>
          <w:p w14:paraId="0707ED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入河排污口管理技术导则》（SL532－2011），限制排污总量原则上以各级水行政主管部门或流域管理机构向环境部门提出的意见为准，未提出限制排污总量意见，以不超过纳污能力为限，故现状考虑按水域纳污能力等于限制排污总量。</w:t>
            </w:r>
          </w:p>
          <w:p w14:paraId="08D63546">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2.</w:t>
            </w:r>
            <w:r>
              <w:rPr>
                <w:rFonts w:hint="eastAsia" w:ascii="Times New Roman" w:hAnsi="Times New Roman" w:eastAsia="宋体" w:cs="Times New Roman"/>
                <w:b/>
                <w:bCs/>
                <w:snapToGrid w:val="0"/>
                <w:sz w:val="24"/>
                <w:szCs w:val="24"/>
                <w:u w:val="none" w:color="auto"/>
                <w:vertAlign w:val="baseline"/>
                <w:lang w:val="en-US" w:eastAsia="zh-CN"/>
              </w:rPr>
              <w:t>8</w:t>
            </w:r>
            <w:r>
              <w:rPr>
                <w:rFonts w:hint="default" w:ascii="Times New Roman" w:hAnsi="Times New Roman" w:eastAsia="宋体" w:cs="Times New Roman"/>
                <w:b/>
                <w:bCs/>
                <w:snapToGrid w:val="0"/>
                <w:sz w:val="24"/>
                <w:szCs w:val="24"/>
                <w:u w:val="none" w:color="auto"/>
                <w:vertAlign w:val="baseline"/>
                <w:lang w:val="en-US" w:eastAsia="zh-CN"/>
              </w:rPr>
              <w:t>排污口规范化</w:t>
            </w:r>
          </w:p>
          <w:p w14:paraId="6B89B5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按照环办执法函[2020]718 号文件有关规定，在排污口附近设置环境保护图形标志牌，填写本工程的主要污染物；标志牌必须保持清晰、完整，发现形象损坏、颜色污染或有变化、</w:t>
            </w:r>
            <w:r>
              <w:rPr>
                <w:rFonts w:hint="eastAsia" w:ascii="Times New Roman" w:hAnsi="Times New Roman" w:eastAsia="宋体" w:cs="Times New Roman"/>
                <w:color w:val="000000"/>
                <w:kern w:val="0"/>
                <w:sz w:val="24"/>
                <w:szCs w:val="24"/>
                <w:u w:val="none" w:color="auto"/>
                <w:lang w:val="en-US" w:eastAsia="zh-CN" w:bidi="ar"/>
              </w:rPr>
              <w:t>褪色</w:t>
            </w:r>
            <w:r>
              <w:rPr>
                <w:rFonts w:hint="default" w:ascii="Times New Roman" w:hAnsi="Times New Roman" w:eastAsia="宋体" w:cs="Times New Roman"/>
                <w:color w:val="000000"/>
                <w:kern w:val="0"/>
                <w:sz w:val="24"/>
                <w:szCs w:val="24"/>
                <w:u w:val="none" w:color="auto"/>
                <w:lang w:val="en-US" w:eastAsia="zh-CN" w:bidi="ar"/>
              </w:rPr>
              <w:t>等不符合图形标志标准的情况，应及时修复或更换，检查时间至少每年一次。入河排放口图形标志详见下图。</w:t>
            </w:r>
          </w:p>
          <w:p w14:paraId="68E79CD0">
            <w:pPr>
              <w:keepNext w:val="0"/>
              <w:keepLines w:val="0"/>
              <w:widowControl/>
              <w:suppressLineNumbers w:val="0"/>
              <w:jc w:val="center"/>
              <w:rPr>
                <w:rFonts w:hint="default" w:ascii="Times New Roman" w:hAnsi="Times New Roman" w:cs="Times New Roman"/>
                <w:u w:val="none" w:color="auto"/>
              </w:rPr>
            </w:pPr>
            <w:r>
              <w:rPr>
                <w:u w:val="none" w:color="auto"/>
              </w:rPr>
              <w:drawing>
                <wp:inline distT="0" distB="0" distL="114300" distR="114300">
                  <wp:extent cx="3028950" cy="2409825"/>
                  <wp:effectExtent l="0" t="0" r="0" b="9525"/>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7"/>
                          <a:stretch>
                            <a:fillRect/>
                          </a:stretch>
                        </pic:blipFill>
                        <pic:spPr>
                          <a:xfrm>
                            <a:off x="0" y="0"/>
                            <a:ext cx="3028950" cy="2409825"/>
                          </a:xfrm>
                          <a:prstGeom prst="rect">
                            <a:avLst/>
                          </a:prstGeom>
                          <a:noFill/>
                          <a:ln>
                            <a:noFill/>
                          </a:ln>
                        </pic:spPr>
                      </pic:pic>
                    </a:graphicData>
                  </a:graphic>
                </wp:inline>
              </w:drawing>
            </w:r>
          </w:p>
          <w:p w14:paraId="23482083">
            <w:pPr>
              <w:keepNext w:val="0"/>
              <w:keepLines w:val="0"/>
              <w:widowControl/>
              <w:suppressLineNumbers w:val="0"/>
              <w:jc w:val="both"/>
              <w:rPr>
                <w:rFonts w:hint="default" w:ascii="Times New Roman" w:hAnsi="Times New Roman" w:eastAsia="宋体" w:cs="Times New Roman"/>
                <w:color w:val="000000"/>
                <w:kern w:val="0"/>
                <w:sz w:val="24"/>
                <w:szCs w:val="24"/>
                <w:u w:val="none" w:color="auto"/>
                <w:lang w:val="en-US" w:eastAsia="zh-CN" w:bidi="ar"/>
              </w:rPr>
            </w:pPr>
          </w:p>
          <w:p w14:paraId="06658240">
            <w:pPr>
              <w:adjustRightInd w:val="0"/>
              <w:snapToGrid w:val="0"/>
              <w:spacing w:line="240" w:lineRule="auto"/>
              <w:jc w:val="center"/>
              <w:rPr>
                <w:rFonts w:hint="default" w:ascii="Times New Roman" w:hAnsi="Times New Roman" w:eastAsia="宋体" w:cs="Times New Roman"/>
                <w:u w:val="none" w:color="auto"/>
                <w:lang w:val="en-US" w:eastAsia="zh-CN"/>
              </w:rPr>
            </w:pPr>
            <w:r>
              <w:rPr>
                <w:rFonts w:hint="default" w:ascii="Times New Roman" w:hAnsi="Times New Roman" w:cs="Times New Roman"/>
                <w:b/>
                <w:bCs/>
                <w:sz w:val="21"/>
                <w:szCs w:val="21"/>
                <w:u w:val="none" w:color="auto"/>
                <w:lang w:val="en-US" w:eastAsia="zh-CN"/>
              </w:rPr>
              <w:t>图5-1</w:t>
            </w:r>
            <w:r>
              <w:rPr>
                <w:rFonts w:hint="default" w:ascii="Times New Roman" w:hAnsi="Times New Roman" w:cs="Times New Roman"/>
                <w:b/>
                <w:bCs/>
                <w:sz w:val="21"/>
                <w:szCs w:val="21"/>
                <w:u w:val="none" w:color="auto"/>
              </w:rPr>
              <w:t xml:space="preserve"> </w:t>
            </w:r>
            <w:r>
              <w:rPr>
                <w:rFonts w:hint="eastAsia" w:ascii="Times New Roman" w:hAnsi="Times New Roman" w:cs="Times New Roman"/>
                <w:b/>
                <w:bCs/>
                <w:sz w:val="21"/>
                <w:szCs w:val="21"/>
                <w:u w:val="none" w:color="auto"/>
                <w:lang w:val="en-US" w:eastAsia="zh-CN"/>
              </w:rPr>
              <w:t>医疗废水</w:t>
            </w:r>
            <w:r>
              <w:rPr>
                <w:rFonts w:hint="default" w:ascii="Times New Roman" w:hAnsi="Times New Roman" w:cs="Times New Roman"/>
                <w:b/>
                <w:bCs/>
                <w:sz w:val="21"/>
                <w:szCs w:val="21"/>
                <w:u w:val="none" w:color="auto"/>
                <w:lang w:val="en-US" w:eastAsia="zh-CN"/>
              </w:rPr>
              <w:t>排污口图形标志</w:t>
            </w:r>
          </w:p>
          <w:p w14:paraId="0B7ADE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图形要求： </w:t>
            </w:r>
          </w:p>
          <w:p w14:paraId="443206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1）样式：采用立柱式、平面固定式和墩式； </w:t>
            </w:r>
          </w:p>
          <w:p w14:paraId="782768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2）牌面信息：包括图形标志、文字信息和二维码，原则上按照“左图右文”的方式排列； </w:t>
            </w:r>
          </w:p>
          <w:p w14:paraId="09F60E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3）文字信息 </w:t>
            </w:r>
          </w:p>
          <w:p w14:paraId="6D8BB5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排污口类型：按《长江、黄河和渤海入海（河）排污口排查整治分类规则（试行）》中排污口分类的大类填写； </w:t>
            </w:r>
          </w:p>
          <w:p w14:paraId="401C49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排污口名称：按《长江、黄河和渤海入海（河）排污口命名与编码规则（试行）》 </w:t>
            </w:r>
          </w:p>
          <w:p w14:paraId="01249A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执行； </w:t>
            </w:r>
          </w:p>
          <w:p w14:paraId="3456A0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排污口编码：按《长江、黄河和渤海入海（河）排污口明明于编码规则（试行）》 </w:t>
            </w:r>
          </w:p>
          <w:p w14:paraId="28ED90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执行，包含海区/水系代码、行政区划代码、顺序代码、排污口类型代码（不包含扩展代码）；排污口责任主体；监管主体和监督电话； </w:t>
            </w:r>
          </w:p>
          <w:p w14:paraId="1AB206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各地可视情况增加其他信息，如排污口执行的排放标准、排水取消、所在水系示意图等。 </w:t>
            </w:r>
          </w:p>
          <w:p w14:paraId="36B45D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4）二维码 </w:t>
            </w:r>
          </w:p>
          <w:p w14:paraId="3B5A1A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二维码应关联排污口详细信息，包括：牌面上所有信息，以及经纬度、详细地址、排水去向和排放要求。其中，排放要求可为排放标准或管理要求。各地可增加污水监测数据、受纳水体的水质目标及水质现状、所在水系示意图等信息。 </w:t>
            </w:r>
          </w:p>
          <w:p w14:paraId="799972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鼓励各地开发二维码举报投诉功能，具备拍照上传功能并与地方有关网络举报平台关联，便于公众在发现排污口排水水色异常、气味异常或排入水体附近出现死鱼等情况时，及时通过二维码反映情况。 </w:t>
            </w:r>
          </w:p>
          <w:p w14:paraId="7AF129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5）材料 </w:t>
            </w:r>
          </w:p>
          <w:p w14:paraId="623A0B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标志牌应选用耐久性材料制作，具有耐候、耐腐蚀等化学性能，保证一定的使用寿命。立柱式和平面固定式标志牌面可选用铝塑板、薄钢板等，表面选用反光贴膜、搪瓷等；立柱可选用镀锌管等</w:t>
            </w:r>
            <w:r>
              <w:rPr>
                <w:rFonts w:hint="eastAsia" w:ascii="Times New Roman" w:hAnsi="Times New Roman"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 xml:space="preserve">墩式可选用水泥、石材等。 </w:t>
            </w:r>
          </w:p>
          <w:p w14:paraId="201B43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6）颜色 </w:t>
            </w:r>
          </w:p>
          <w:p w14:paraId="1652C2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立柱式和平面固定式标志牌面颜色可选用蓝色、绿色，图形标志和文字可选用白色。 </w:t>
            </w:r>
          </w:p>
          <w:p w14:paraId="52210C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墩式标志牌面可选用材料原色，图形标志和文字颜色可根据实际情况确定。</w:t>
            </w:r>
          </w:p>
          <w:p w14:paraId="39C993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7）尺寸 </w:t>
            </w:r>
          </w:p>
          <w:p w14:paraId="2E1D11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标志牌面为横纵比大于 1 的矩形。原则上，立柱式和平面固定式标志牌面尺寸不小于 640mm×400mm，墩式不小于 480mm×300mm。各地可根据设置原则视情确</w:t>
            </w:r>
          </w:p>
          <w:p w14:paraId="2722E4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定尺寸大小。 </w:t>
            </w:r>
          </w:p>
          <w:p w14:paraId="1A0B85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8）制作管理 </w:t>
            </w:r>
          </w:p>
          <w:p w14:paraId="6D1639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各省（自治区、直辖市）生态环境厅（局）负责统筹组织各相关地市进行标志牌设置、制作和日常维护。生态环境部相关流域生态环境监督管理局加强指导。 </w:t>
            </w:r>
          </w:p>
          <w:p w14:paraId="68E4CE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制作和日常维护中，应注意标志牌无明显变形，表面无气泡、开裂、脱落及其他破损，图案清晰，色泽一致，无明显缺损。</w:t>
            </w:r>
          </w:p>
          <w:p w14:paraId="03580DAC">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3、</w:t>
            </w:r>
            <w:r>
              <w:rPr>
                <w:rFonts w:hint="default" w:ascii="Times New Roman" w:hAnsi="Times New Roman" w:eastAsia="宋体" w:cs="Times New Roman"/>
                <w:b/>
                <w:bCs/>
                <w:snapToGrid w:val="0"/>
                <w:sz w:val="24"/>
                <w:szCs w:val="24"/>
                <w:u w:val="none" w:color="auto"/>
                <w:vertAlign w:val="baseline"/>
                <w:lang w:val="en-US" w:eastAsia="zh-CN"/>
              </w:rPr>
              <w:t>入河排污口设置对水功能区水质和生态环境影响分析</w:t>
            </w:r>
          </w:p>
          <w:p w14:paraId="6EAEB835">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3.1废水排放情况及</w:t>
            </w:r>
            <w:r>
              <w:rPr>
                <w:rFonts w:hint="default" w:ascii="Times New Roman" w:hAnsi="Times New Roman" w:eastAsia="宋体" w:cs="Times New Roman"/>
                <w:b/>
                <w:bCs/>
                <w:snapToGrid w:val="0"/>
                <w:sz w:val="24"/>
                <w:szCs w:val="24"/>
                <w:u w:val="none" w:color="auto"/>
                <w:vertAlign w:val="baseline"/>
                <w:lang w:val="en-US" w:eastAsia="zh-CN"/>
              </w:rPr>
              <w:t>影响范围</w:t>
            </w:r>
          </w:p>
          <w:p w14:paraId="6AF746A8">
            <w:pPr>
              <w:pStyle w:val="44"/>
              <w:keepNext w:val="0"/>
              <w:keepLines w:val="0"/>
              <w:pageBreakBefore w:val="0"/>
              <w:widowControl w:val="0"/>
              <w:numPr>
                <w:ilvl w:val="0"/>
                <w:numId w:val="0"/>
              </w:numPr>
              <w:kinsoku/>
              <w:wordWrap/>
              <w:overflowPunct/>
              <w:topLinePunct/>
              <w:autoSpaceDE w:val="0"/>
              <w:autoSpaceDN/>
              <w:bidi w:val="0"/>
              <w:adjustRightInd/>
              <w:snapToGrid/>
              <w:spacing w:line="360" w:lineRule="auto"/>
              <w:ind w:firstLine="480" w:firstLineChars="200"/>
              <w:textAlignment w:val="auto"/>
              <w:rPr>
                <w:rFonts w:hint="eastAsia" w:cs="Times New Roman"/>
                <w:color w:val="auto"/>
                <w:sz w:val="24"/>
                <w:u w:val="none" w:color="auto"/>
                <w:lang w:val="en-US" w:eastAsia="zh-CN"/>
              </w:rPr>
            </w:pPr>
            <w:r>
              <w:rPr>
                <w:rFonts w:hint="eastAsia" w:cs="Times New Roman"/>
                <w:color w:val="auto"/>
                <w:sz w:val="24"/>
                <w:u w:val="none" w:color="auto"/>
                <w:lang w:eastAsia="zh-CN"/>
              </w:rPr>
              <w:t>茶陵县</w:t>
            </w:r>
            <w:r>
              <w:rPr>
                <w:rFonts w:hint="eastAsia" w:cs="Times New Roman"/>
                <w:color w:val="auto"/>
                <w:sz w:val="24"/>
                <w:u w:val="none" w:color="auto"/>
                <w:lang w:val="en-US" w:eastAsia="zh-CN"/>
              </w:rPr>
              <w:t>浣溪镇共设置1个排污口，位于项目东侧洣水。</w:t>
            </w:r>
          </w:p>
          <w:p w14:paraId="59351B11">
            <w:pPr>
              <w:spacing w:line="360" w:lineRule="auto"/>
              <w:ind w:firstLine="480" w:firstLineChars="200"/>
              <w:rPr>
                <w:rFonts w:hint="eastAsia" w:ascii="Times New Roman" w:hAnsi="Times New Roman" w:eastAsia="宋体" w:cs="Times New Roman"/>
                <w:color w:val="auto"/>
                <w:kern w:val="0"/>
                <w:sz w:val="24"/>
                <w:szCs w:val="24"/>
                <w:u w:val="none" w:color="auto"/>
                <w:lang w:val="en-US" w:eastAsia="zh-CN" w:bidi="ar"/>
              </w:rPr>
            </w:pPr>
            <w:r>
              <w:rPr>
                <w:rFonts w:hint="eastAsia" w:cs="Times New Roman"/>
                <w:color w:val="auto"/>
                <w:sz w:val="24"/>
                <w:u w:val="none" w:color="auto"/>
                <w:lang w:val="en-US" w:eastAsia="zh-CN"/>
              </w:rPr>
              <w:t>项目废水排</w:t>
            </w:r>
            <w:r>
              <w:rPr>
                <w:rFonts w:hint="default" w:ascii="Times New Roman" w:hAnsi="Times New Roman" w:cs="Times New Roman"/>
                <w:color w:val="auto"/>
                <w:sz w:val="24"/>
                <w:szCs w:val="24"/>
                <w:u w:val="none" w:color="auto"/>
              </w:rPr>
              <w:t>入</w:t>
            </w:r>
            <w:r>
              <w:rPr>
                <w:rFonts w:hint="eastAsia" w:ascii="Times New Roman" w:hAnsi="Times New Roman" w:cs="Times New Roman"/>
                <w:color w:val="auto"/>
                <w:sz w:val="24"/>
                <w:szCs w:val="24"/>
                <w:u w:val="none" w:color="auto"/>
                <w:lang w:eastAsia="zh-CN"/>
              </w:rPr>
              <w:t>洣</w:t>
            </w:r>
            <w:r>
              <w:rPr>
                <w:rFonts w:hint="eastAsia" w:cs="Times New Roman"/>
                <w:color w:val="auto"/>
                <w:sz w:val="24"/>
                <w:szCs w:val="24"/>
                <w:u w:val="none" w:color="auto"/>
                <w:lang w:eastAsia="zh-CN"/>
              </w:rPr>
              <w:t>水</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u w:val="none" w:color="auto"/>
                <w:lang w:val="en-US" w:eastAsia="zh-CN"/>
              </w:rPr>
              <w:t>本项目</w:t>
            </w:r>
            <w:r>
              <w:rPr>
                <w:rFonts w:hint="default" w:ascii="Times New Roman" w:hAnsi="Times New Roman" w:cs="Times New Roman"/>
                <w:color w:val="auto"/>
                <w:sz w:val="24"/>
                <w:u w:val="none" w:color="auto"/>
              </w:rPr>
              <w:t>排污口直接受纳水体</w:t>
            </w:r>
            <w:r>
              <w:rPr>
                <w:rFonts w:hint="default" w:ascii="Times New Roman" w:hAnsi="Times New Roman" w:cs="Times New Roman"/>
                <w:color w:val="auto"/>
                <w:sz w:val="24"/>
                <w:u w:val="none" w:color="auto"/>
                <w:lang w:eastAsia="zh-CN"/>
              </w:rPr>
              <w:t>为</w:t>
            </w:r>
            <w:r>
              <w:rPr>
                <w:rFonts w:hint="eastAsia" w:cs="Times New Roman"/>
                <w:color w:val="auto"/>
                <w:sz w:val="24"/>
                <w:u w:val="none" w:color="auto"/>
                <w:lang w:val="en-US" w:eastAsia="zh-CN"/>
              </w:rPr>
              <w:t>东</w:t>
            </w:r>
            <w:r>
              <w:rPr>
                <w:rFonts w:hint="eastAsia" w:ascii="Times New Roman" w:hAnsi="Times New Roman" w:cs="Times New Roman"/>
                <w:color w:val="auto"/>
                <w:sz w:val="24"/>
                <w:u w:val="none" w:color="auto"/>
                <w:lang w:val="en-US" w:eastAsia="zh-CN"/>
              </w:rPr>
              <w:t>侧洣水</w:t>
            </w:r>
            <w:r>
              <w:rPr>
                <w:rFonts w:hint="default" w:ascii="Times New Roman" w:hAnsi="Times New Roman" w:cs="Times New Roman"/>
                <w:color w:val="auto"/>
                <w:sz w:val="24"/>
                <w:u w:val="none" w:color="auto"/>
                <w:lang w:val="en-US" w:eastAsia="zh-CN"/>
              </w:rPr>
              <w:t>，</w:t>
            </w:r>
            <w:r>
              <w:rPr>
                <w:rFonts w:hint="eastAsia" w:ascii="Times New Roman" w:hAnsi="Times New Roman" w:eastAsia="宋体" w:cs="Times New Roman"/>
                <w:color w:val="auto"/>
                <w:kern w:val="0"/>
                <w:sz w:val="24"/>
                <w:szCs w:val="28"/>
                <w:u w:val="none" w:color="auto"/>
                <w:lang w:val="en-US" w:eastAsia="zh-CN" w:bidi="ar-SA"/>
              </w:rPr>
              <w:t>洣水水水功能区划为</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auto"/>
                <w:kern w:val="0"/>
                <w:sz w:val="24"/>
                <w:szCs w:val="28"/>
                <w:u w:val="none" w:color="auto"/>
                <w:lang w:val="en-US" w:eastAsia="zh-CN" w:bidi="ar-SA"/>
              </w:rPr>
              <w:t>类水体。洣水</w:t>
            </w:r>
            <w:r>
              <w:rPr>
                <w:rFonts w:hint="default" w:ascii="Times New Roman" w:hAnsi="Times New Roman" w:cs="Times New Roman"/>
                <w:color w:val="auto"/>
                <w:sz w:val="24"/>
                <w:szCs w:val="24"/>
                <w:u w:val="none" w:color="auto"/>
                <w:lang w:eastAsia="zh-CN"/>
              </w:rPr>
              <w:t>水质目标为</w:t>
            </w:r>
            <w:r>
              <w:rPr>
                <w:rFonts w:hint="default" w:ascii="Times New Roman" w:hAnsi="Times New Roman" w:cs="Times New Roman"/>
                <w:color w:val="auto"/>
                <w:sz w:val="24"/>
                <w:szCs w:val="24"/>
                <w:u w:val="none" w:color="auto"/>
              </w:rPr>
              <w:t>《地表水环境质量标准》（GB3838-2002）</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cs="Times New Roman"/>
                <w:color w:val="auto"/>
                <w:sz w:val="24"/>
                <w:szCs w:val="24"/>
                <w:u w:val="none" w:color="auto"/>
              </w:rPr>
              <w:t>类</w:t>
            </w:r>
            <w:r>
              <w:rPr>
                <w:rFonts w:hint="default" w:ascii="Times New Roman" w:hAnsi="Times New Roman" w:cs="Times New Roman"/>
                <w:color w:val="auto"/>
                <w:sz w:val="24"/>
                <w:szCs w:val="24"/>
                <w:u w:val="none" w:color="auto"/>
                <w:lang w:eastAsia="zh-CN"/>
              </w:rPr>
              <w:t>。本入河</w:t>
            </w:r>
            <w:r>
              <w:rPr>
                <w:rFonts w:hint="default" w:ascii="Times New Roman" w:hAnsi="Times New Roman" w:cs="Times New Roman"/>
                <w:color w:val="auto"/>
                <w:sz w:val="24"/>
                <w:szCs w:val="24"/>
                <w:u w:val="none" w:color="auto"/>
              </w:rPr>
              <w:t>排污口位置</w:t>
            </w:r>
            <w:r>
              <w:rPr>
                <w:rFonts w:hint="default" w:ascii="Times New Roman" w:hAnsi="Times New Roman" w:cs="Times New Roman"/>
                <w:color w:val="auto"/>
                <w:sz w:val="24"/>
                <w:szCs w:val="24"/>
                <w:u w:val="none" w:color="auto"/>
                <w:lang w:eastAsia="zh-CN"/>
              </w:rPr>
              <w:t>位于</w:t>
            </w:r>
            <w:r>
              <w:rPr>
                <w:rFonts w:hint="eastAsia" w:cs="Times New Roman"/>
                <w:color w:val="auto"/>
                <w:sz w:val="24"/>
                <w:szCs w:val="24"/>
                <w:u w:val="none" w:color="auto"/>
                <w:lang w:val="en-US" w:eastAsia="zh-CN"/>
              </w:rPr>
              <w:t>东侧洣水，</w:t>
            </w:r>
            <w:r>
              <w:rPr>
                <w:rFonts w:hint="default" w:ascii="Times New Roman" w:hAnsi="Times New Roman" w:cs="Times New Roman"/>
                <w:color w:val="auto"/>
                <w:sz w:val="24"/>
                <w:szCs w:val="24"/>
                <w:u w:val="none" w:color="auto"/>
              </w:rPr>
              <w:t>因此本次论证范围</w:t>
            </w:r>
            <w:r>
              <w:rPr>
                <w:rFonts w:hint="eastAsia" w:ascii="Times New Roman" w:hAnsi="Times New Roman" w:cs="Times New Roman"/>
                <w:color w:val="auto"/>
                <w:sz w:val="24"/>
                <w:szCs w:val="24"/>
                <w:u w:val="none" w:color="auto"/>
                <w:lang w:eastAsia="zh-CN"/>
              </w:rPr>
              <w:t>为</w:t>
            </w:r>
            <w:r>
              <w:rPr>
                <w:rFonts w:hint="eastAsia" w:cs="Times New Roman"/>
                <w:color w:val="auto"/>
                <w:sz w:val="24"/>
                <w:szCs w:val="24"/>
                <w:u w:val="none" w:color="auto"/>
                <w:lang w:val="en-US" w:eastAsia="zh-CN"/>
              </w:rPr>
              <w:t>东</w:t>
            </w:r>
            <w:r>
              <w:rPr>
                <w:rFonts w:hint="eastAsia" w:ascii="Times New Roman" w:hAnsi="Times New Roman" w:cs="Times New Roman"/>
                <w:color w:val="auto"/>
                <w:sz w:val="24"/>
                <w:szCs w:val="24"/>
                <w:u w:val="none" w:color="auto"/>
                <w:lang w:eastAsia="zh-CN"/>
              </w:rPr>
              <w:t>侧</w:t>
            </w:r>
            <w:r>
              <w:rPr>
                <w:rFonts w:hint="eastAsia" w:ascii="Times New Roman" w:hAnsi="Times New Roman" w:cs="Times New Roman"/>
                <w:color w:val="auto"/>
                <w:sz w:val="24"/>
                <w:szCs w:val="24"/>
                <w:u w:val="none" w:color="auto"/>
                <w:lang w:val="en-US" w:eastAsia="zh-CN"/>
              </w:rPr>
              <w:t>洣水</w:t>
            </w:r>
            <w:r>
              <w:rPr>
                <w:rFonts w:hint="default" w:ascii="Times New Roman" w:hAnsi="Times New Roman" w:eastAsia="宋体" w:cs="Times New Roman"/>
                <w:color w:val="auto"/>
                <w:kern w:val="0"/>
                <w:sz w:val="24"/>
                <w:szCs w:val="24"/>
                <w:u w:val="none" w:color="auto"/>
                <w:lang w:val="en-US" w:eastAsia="zh-CN" w:bidi="ar"/>
              </w:rPr>
              <w:t>入河排污口上游500m、下游</w:t>
            </w:r>
            <w:r>
              <w:rPr>
                <w:rFonts w:hint="eastAsia" w:ascii="Times New Roman" w:hAnsi="Times New Roman" w:cs="Times New Roman"/>
                <w:color w:val="auto"/>
                <w:kern w:val="0"/>
                <w:sz w:val="24"/>
                <w:szCs w:val="24"/>
                <w:u w:val="none" w:color="auto"/>
                <w:lang w:val="en-US" w:eastAsia="zh-CN" w:bidi="ar"/>
              </w:rPr>
              <w:t>15</w:t>
            </w:r>
            <w:r>
              <w:rPr>
                <w:rFonts w:hint="default" w:ascii="Times New Roman" w:hAnsi="Times New Roman" w:eastAsia="宋体" w:cs="Times New Roman"/>
                <w:color w:val="auto"/>
                <w:kern w:val="0"/>
                <w:sz w:val="24"/>
                <w:szCs w:val="24"/>
                <w:u w:val="none" w:color="auto"/>
                <w:lang w:val="en-US" w:eastAsia="zh-CN" w:bidi="ar"/>
              </w:rPr>
              <w:t>00m</w:t>
            </w:r>
            <w:r>
              <w:rPr>
                <w:rFonts w:hint="eastAsia" w:ascii="Times New Roman" w:hAnsi="Times New Roman" w:eastAsia="宋体" w:cs="Times New Roman"/>
                <w:color w:val="auto"/>
                <w:kern w:val="0"/>
                <w:sz w:val="24"/>
                <w:szCs w:val="24"/>
                <w:u w:val="none" w:color="auto"/>
                <w:lang w:val="en-US" w:eastAsia="zh-CN" w:bidi="ar"/>
              </w:rPr>
              <w:t>。</w:t>
            </w:r>
          </w:p>
          <w:p w14:paraId="41E1D9C1">
            <w:pPr>
              <w:pStyle w:val="45"/>
              <w:numPr>
                <w:ilvl w:val="0"/>
                <w:numId w:val="0"/>
              </w:numPr>
              <w:spacing w:before="156"/>
              <w:ind w:leftChars="0"/>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val="en-US" w:eastAsia="zh-CN"/>
              </w:rPr>
              <w:t>3.2</w:t>
            </w:r>
            <w:r>
              <w:rPr>
                <w:rFonts w:hint="default" w:ascii="Times New Roman" w:hAnsi="Times New Roman" w:cs="Times New Roman"/>
                <w:color w:val="auto"/>
                <w:sz w:val="24"/>
                <w:szCs w:val="24"/>
                <w:u w:val="none" w:color="auto"/>
              </w:rPr>
              <w:t>排放时期分析</w:t>
            </w:r>
          </w:p>
          <w:p w14:paraId="03EDAD55">
            <w:pPr>
              <w:spacing w:before="0" w:beforeLines="0" w:line="360" w:lineRule="auto"/>
              <w:ind w:firstLine="482"/>
              <w:rPr>
                <w:rFonts w:hint="default"/>
                <w:u w:val="none" w:color="auto"/>
                <w:lang w:val="en-US" w:eastAsia="zh-CN"/>
              </w:rPr>
            </w:pPr>
            <w:r>
              <w:rPr>
                <w:rFonts w:hint="default" w:ascii="Times New Roman" w:hAnsi="Times New Roman" w:cs="Times New Roman"/>
                <w:color w:val="auto"/>
                <w:sz w:val="24"/>
                <w:u w:val="none" w:color="auto"/>
              </w:rPr>
              <w:t>项目</w:t>
            </w:r>
            <w:r>
              <w:rPr>
                <w:rFonts w:hint="eastAsia" w:ascii="Times New Roman" w:hAnsi="Times New Roman" w:cs="Times New Roman"/>
                <w:color w:val="auto"/>
                <w:sz w:val="24"/>
                <w:u w:val="none" w:color="auto"/>
                <w:lang w:eastAsia="zh-CN"/>
              </w:rPr>
              <w:t>废</w:t>
            </w:r>
            <w:r>
              <w:rPr>
                <w:rFonts w:hint="default" w:ascii="Times New Roman" w:hAnsi="Times New Roman" w:cs="Times New Roman"/>
                <w:color w:val="auto"/>
                <w:sz w:val="24"/>
                <w:u w:val="none" w:color="auto"/>
              </w:rPr>
              <w:t>水排放不设定特殊时段，是随</w:t>
            </w:r>
            <w:r>
              <w:rPr>
                <w:rFonts w:hint="eastAsia" w:cs="Times New Roman"/>
                <w:color w:val="auto"/>
                <w:sz w:val="24"/>
                <w:u w:val="none" w:color="auto"/>
                <w:lang w:eastAsia="zh-CN"/>
              </w:rPr>
              <w:t>医院运营情况</w:t>
            </w:r>
            <w:r>
              <w:rPr>
                <w:rFonts w:hint="default" w:ascii="Times New Roman" w:hAnsi="Times New Roman" w:cs="Times New Roman"/>
                <w:color w:val="auto"/>
                <w:sz w:val="24"/>
                <w:u w:val="none" w:color="auto"/>
              </w:rPr>
              <w:t>随时排放，基本上能保障均匀排放，不会在某一个时段集中排放，这样对于河流水体稀释污染物的过程更为均匀，避免一次性排入河道引起严重污染。</w:t>
            </w:r>
          </w:p>
          <w:p w14:paraId="270633CC">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3.</w:t>
            </w:r>
            <w:r>
              <w:rPr>
                <w:rFonts w:hint="eastAsia" w:ascii="Times New Roman" w:hAnsi="Times New Roman" w:eastAsia="宋体" w:cs="Times New Roman"/>
                <w:b/>
                <w:bCs/>
                <w:snapToGrid w:val="0"/>
                <w:sz w:val="24"/>
                <w:szCs w:val="24"/>
                <w:u w:val="none" w:color="auto"/>
                <w:vertAlign w:val="baseline"/>
                <w:lang w:val="en-US" w:eastAsia="zh-CN"/>
              </w:rPr>
              <w:t>2</w:t>
            </w:r>
            <w:r>
              <w:rPr>
                <w:rFonts w:hint="default" w:ascii="Times New Roman" w:hAnsi="Times New Roman" w:eastAsia="宋体" w:cs="Times New Roman"/>
                <w:b/>
                <w:bCs/>
                <w:snapToGrid w:val="0"/>
                <w:sz w:val="24"/>
                <w:szCs w:val="24"/>
                <w:u w:val="none" w:color="auto"/>
                <w:vertAlign w:val="baseline"/>
                <w:lang w:val="en-US" w:eastAsia="zh-CN"/>
              </w:rPr>
              <w:t>入河污水对水功能区的影响</w:t>
            </w:r>
          </w:p>
          <w:p w14:paraId="4C4B71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u w:val="none" w:color="auto"/>
                <w:lang w:val="en-US"/>
              </w:rPr>
            </w:pPr>
            <w:r>
              <w:rPr>
                <w:rFonts w:hint="default" w:ascii="Times New Roman" w:hAnsi="Times New Roman" w:eastAsia="宋体" w:cs="Times New Roman"/>
                <w:color w:val="auto"/>
                <w:kern w:val="0"/>
                <w:sz w:val="24"/>
                <w:szCs w:val="24"/>
                <w:u w:val="none" w:color="auto"/>
                <w:lang w:val="en-US" w:eastAsia="zh-CN" w:bidi="ar"/>
              </w:rPr>
              <w:t>根据地表水检测数据</w:t>
            </w:r>
            <w:r>
              <w:rPr>
                <w:rFonts w:hint="eastAsia" w:ascii="Times New Roman" w:hAnsi="Times New Roman" w:eastAsia="宋体" w:cs="Times New Roman"/>
                <w:color w:val="auto"/>
                <w:kern w:val="0"/>
                <w:sz w:val="24"/>
                <w:szCs w:val="24"/>
                <w:u w:val="none" w:color="auto"/>
                <w:lang w:val="en-US" w:eastAsia="zh-CN" w:bidi="ar"/>
              </w:rPr>
              <w:t>和</w:t>
            </w:r>
            <w:r>
              <w:rPr>
                <w:rFonts w:hint="default" w:ascii="Times New Roman" w:hAnsi="Times New Roman" w:eastAsia="宋体" w:cs="Times New Roman"/>
                <w:color w:val="000000"/>
                <w:sz w:val="24"/>
                <w:szCs w:val="24"/>
                <w:highlight w:val="none"/>
                <w:u w:val="none" w:color="auto"/>
              </w:rPr>
              <w:t>《株洲市生态环境保护委员会办公室关于202</w:t>
            </w:r>
            <w:r>
              <w:rPr>
                <w:rFonts w:hint="eastAsia" w:cs="Times New Roman"/>
                <w:color w:val="000000"/>
                <w:sz w:val="24"/>
                <w:szCs w:val="24"/>
                <w:highlight w:val="none"/>
                <w:u w:val="none" w:color="auto"/>
                <w:lang w:val="en-US" w:eastAsia="zh-CN"/>
              </w:rPr>
              <w:t>3</w:t>
            </w:r>
            <w:r>
              <w:rPr>
                <w:rFonts w:hint="default" w:ascii="Times New Roman" w:hAnsi="Times New Roman" w:eastAsia="宋体" w:cs="Times New Roman"/>
                <w:color w:val="000000"/>
                <w:sz w:val="24"/>
                <w:szCs w:val="24"/>
                <w:highlight w:val="none"/>
                <w:u w:val="none" w:color="auto"/>
              </w:rPr>
              <w:t>年12月及全年全市环境空气质量、地表水环境质量状况的通报》中地表水达标情况的结论</w:t>
            </w:r>
            <w:r>
              <w:rPr>
                <w:rFonts w:hint="default" w:ascii="Times New Roman" w:hAnsi="Times New Roman" w:eastAsia="宋体" w:cs="Times New Roman"/>
                <w:color w:val="auto"/>
                <w:kern w:val="0"/>
                <w:sz w:val="24"/>
                <w:szCs w:val="24"/>
                <w:u w:val="none" w:color="auto"/>
                <w:lang w:val="en-US" w:eastAsia="zh-CN" w:bidi="ar"/>
              </w:rPr>
              <w:t>可知，在正常情况下，项目外排污水进入</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，在河水的降解和稀释作用下，</w:t>
            </w:r>
            <w:r>
              <w:rPr>
                <w:rFonts w:hint="eastAsia" w:ascii="Times New Roman" w:hAnsi="Times New Roman" w:eastAsia="宋体"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河段范围内 COD、氨氮预测浓度均符合《地表水环境质量标准》（GB3838-2002）</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类水质标准要求，因此污水排放</w:t>
            </w:r>
            <w:r>
              <w:rPr>
                <w:rFonts w:hint="default" w:ascii="Times New Roman" w:hAnsi="Times New Roman" w:eastAsia="宋体" w:cs="Times New Roman"/>
                <w:color w:val="000000"/>
                <w:kern w:val="0"/>
                <w:sz w:val="24"/>
                <w:szCs w:val="24"/>
                <w:u w:val="none" w:color="auto"/>
                <w:lang w:val="en-US" w:eastAsia="zh-CN" w:bidi="ar"/>
              </w:rPr>
              <w:t>对水功能区整体水质类别不会产生影响。</w:t>
            </w:r>
          </w:p>
          <w:p w14:paraId="735C03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通过地表水预测检测结果可知，</w:t>
            </w:r>
            <w:r>
              <w:rPr>
                <w:rFonts w:hint="eastAsia" w:ascii="Times New Roman" w:hAnsi="Times New Roman" w:eastAsia="宋体" w:cs="Times New Roman"/>
                <w:color w:val="000000"/>
                <w:kern w:val="0"/>
                <w:sz w:val="24"/>
                <w:szCs w:val="24"/>
                <w:u w:val="none" w:color="auto"/>
                <w:lang w:val="en-US" w:eastAsia="zh-CN" w:bidi="ar"/>
              </w:rPr>
              <w:t>废水在</w:t>
            </w:r>
            <w:r>
              <w:rPr>
                <w:rFonts w:hint="default" w:ascii="Times New Roman" w:hAnsi="Times New Roman" w:eastAsia="宋体" w:cs="Times New Roman"/>
                <w:color w:val="000000"/>
                <w:kern w:val="0"/>
                <w:sz w:val="24"/>
                <w:szCs w:val="24"/>
                <w:u w:val="none" w:color="auto"/>
                <w:lang w:val="en-US" w:eastAsia="zh-CN" w:bidi="ar"/>
              </w:rPr>
              <w:t>正常</w:t>
            </w:r>
            <w:r>
              <w:rPr>
                <w:rFonts w:hint="eastAsia" w:ascii="Times New Roman" w:hAnsi="Times New Roman" w:eastAsia="宋体" w:cs="Times New Roman"/>
                <w:color w:val="000000"/>
                <w:kern w:val="0"/>
                <w:sz w:val="24"/>
                <w:szCs w:val="24"/>
                <w:u w:val="none" w:color="auto"/>
                <w:lang w:val="en-US" w:eastAsia="zh-CN" w:bidi="ar"/>
              </w:rPr>
              <w:t>和非正常排放</w:t>
            </w:r>
            <w:r>
              <w:rPr>
                <w:rFonts w:hint="default" w:ascii="Times New Roman" w:hAnsi="Times New Roman" w:eastAsia="宋体" w:cs="Times New Roman"/>
                <w:color w:val="000000"/>
                <w:kern w:val="0"/>
                <w:sz w:val="24"/>
                <w:szCs w:val="24"/>
                <w:u w:val="none" w:color="auto"/>
                <w:lang w:val="en-US" w:eastAsia="zh-CN" w:bidi="ar"/>
              </w:rPr>
              <w:t>情况下</w:t>
            </w:r>
            <w:r>
              <w:rPr>
                <w:rFonts w:hint="default" w:ascii="Times New Roman" w:hAnsi="Times New Roman" w:eastAsia="宋体" w:cs="Times New Roman"/>
                <w:color w:val="auto"/>
                <w:kern w:val="0"/>
                <w:sz w:val="24"/>
                <w:szCs w:val="24"/>
                <w:u w:val="none" w:color="auto"/>
                <w:lang w:val="en-US" w:eastAsia="zh-CN" w:bidi="ar"/>
              </w:rPr>
              <w:t>，排污口至下游河段完全混合后各项污染物均未发生超标，水质仍满足《地表水环境质量标准》（GB3838-2002）的</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auto"/>
                <w:kern w:val="0"/>
                <w:sz w:val="24"/>
                <w:szCs w:val="24"/>
                <w:u w:val="none" w:color="auto"/>
                <w:lang w:val="en-US" w:eastAsia="zh-CN" w:bidi="ar"/>
              </w:rPr>
              <w:t>类</w:t>
            </w:r>
            <w:r>
              <w:rPr>
                <w:rFonts w:hint="default" w:ascii="Times New Roman" w:hAnsi="Times New Roman" w:eastAsia="宋体" w:cs="Times New Roman"/>
                <w:color w:val="auto"/>
                <w:kern w:val="0"/>
                <w:sz w:val="24"/>
                <w:szCs w:val="24"/>
                <w:u w:val="none" w:color="auto"/>
                <w:lang w:val="en-US" w:eastAsia="zh-CN" w:bidi="ar"/>
              </w:rPr>
              <w:t>标准。因此，本项目尾水排放对项目所在地地表水环境的影响不大。</w:t>
            </w:r>
          </w:p>
          <w:p w14:paraId="026817FB">
            <w:pPr>
              <w:pStyle w:val="43"/>
              <w:keepNext w:val="0"/>
              <w:keepLines w:val="0"/>
              <w:pageBreakBefore w:val="0"/>
              <w:widowControl/>
              <w:kinsoku/>
              <w:wordWrap/>
              <w:overflowPunct/>
              <w:topLinePunct w:val="0"/>
              <w:bidi w:val="0"/>
              <w:spacing w:before="0" w:beforeAutospacing="0" w:after="0" w:afterAutospacing="0" w:line="360" w:lineRule="auto"/>
              <w:ind w:right="0"/>
              <w:jc w:val="both"/>
              <w:textAlignment w:val="auto"/>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3.</w:t>
            </w:r>
            <w:r>
              <w:rPr>
                <w:rFonts w:hint="eastAsia" w:cs="Times New Roman"/>
                <w:b/>
                <w:bCs/>
                <w:snapToGrid w:val="0"/>
                <w:sz w:val="24"/>
                <w:szCs w:val="24"/>
                <w:u w:val="none" w:color="auto"/>
                <w:vertAlign w:val="baseline"/>
                <w:lang w:val="en-US" w:eastAsia="zh-CN"/>
              </w:rPr>
              <w:t>3</w:t>
            </w:r>
            <w:r>
              <w:rPr>
                <w:rFonts w:hint="default" w:ascii="Times New Roman" w:hAnsi="Times New Roman" w:eastAsia="宋体" w:cs="Times New Roman"/>
                <w:b/>
                <w:bCs/>
                <w:snapToGrid w:val="0"/>
                <w:sz w:val="24"/>
                <w:szCs w:val="24"/>
                <w:u w:val="none" w:color="auto"/>
                <w:vertAlign w:val="baseline"/>
                <w:lang w:val="en-US" w:eastAsia="zh-CN"/>
              </w:rPr>
              <w:t>对水生生态的影响分析</w:t>
            </w:r>
          </w:p>
          <w:p w14:paraId="14D02B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经过论证计算可知，正常的排污状况情况下，在影响范围内的水质类别没有发生显著变化，影响范围非常有限，不会对该河段部分饵料生物群落结构和生物量产生明显影响；在非正常排放情况下，影响范围相对正常排放有所增大，但仍未超标，可能引起浮游植物与浮游动物数量和组成的变化，耐污种数量和种类可能会增加。</w:t>
            </w:r>
          </w:p>
          <w:p w14:paraId="0CFB0929">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4、</w:t>
            </w:r>
            <w:r>
              <w:rPr>
                <w:rFonts w:hint="default" w:ascii="Times New Roman" w:hAnsi="Times New Roman" w:eastAsia="宋体" w:cs="Times New Roman"/>
                <w:b/>
                <w:bCs/>
                <w:snapToGrid w:val="0"/>
                <w:sz w:val="24"/>
                <w:szCs w:val="24"/>
                <w:u w:val="none" w:color="auto"/>
                <w:vertAlign w:val="baseline"/>
                <w:lang w:val="en-US" w:eastAsia="zh-CN"/>
              </w:rPr>
              <w:t>入河排污口设置对第三者影响分析</w:t>
            </w:r>
          </w:p>
          <w:p w14:paraId="02A037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论证区域水体的主要用途为</w:t>
            </w:r>
            <w:r>
              <w:rPr>
                <w:rFonts w:hint="eastAsia" w:ascii="Times New Roman" w:hAnsi="Times New Roman" w:eastAsia="宋体" w:cs="Times New Roman"/>
                <w:color w:val="000000"/>
                <w:kern w:val="0"/>
                <w:sz w:val="24"/>
                <w:szCs w:val="24"/>
                <w:u w:val="none" w:color="auto"/>
                <w:lang w:val="en-US" w:eastAsia="zh-CN" w:bidi="ar"/>
              </w:rPr>
              <w:t>农业灌溉</w:t>
            </w:r>
            <w:r>
              <w:rPr>
                <w:rFonts w:hint="default" w:ascii="Times New Roman" w:hAnsi="Times New Roman" w:eastAsia="宋体" w:cs="Times New Roman"/>
                <w:color w:val="000000"/>
                <w:kern w:val="0"/>
                <w:sz w:val="24"/>
                <w:szCs w:val="24"/>
                <w:u w:val="none" w:color="auto"/>
                <w:lang w:val="en-US" w:eastAsia="zh-CN" w:bidi="ar"/>
              </w:rPr>
              <w:t>用水，</w:t>
            </w:r>
            <w:r>
              <w:rPr>
                <w:rFonts w:hint="eastAsia" w:ascii="Times New Roman" w:hAnsi="Times New Roman" w:eastAsia="宋体" w:cs="Times New Roman"/>
                <w:color w:val="000000"/>
                <w:kern w:val="0"/>
                <w:sz w:val="24"/>
                <w:szCs w:val="24"/>
                <w:u w:val="none" w:color="auto"/>
                <w:lang w:val="en-US" w:eastAsia="zh-CN" w:bidi="ar"/>
              </w:rPr>
              <w:t>根据地表水现状监测，</w:t>
            </w:r>
            <w:r>
              <w:rPr>
                <w:rFonts w:hint="eastAsia" w:ascii="Times New Roman" w:hAnsi="Times New Roman" w:cs="Times New Roman"/>
                <w:color w:val="000000"/>
                <w:kern w:val="0"/>
                <w:sz w:val="24"/>
                <w:szCs w:val="24"/>
                <w:u w:val="none" w:color="auto"/>
                <w:lang w:val="en-US" w:eastAsia="zh-CN" w:bidi="ar"/>
              </w:rPr>
              <w:t>洣水</w:t>
            </w:r>
            <w:r>
              <w:rPr>
                <w:rFonts w:hint="eastAsia" w:ascii="Times New Roman" w:hAnsi="Times New Roman" w:eastAsia="宋体" w:cs="Times New Roman"/>
                <w:color w:val="000000"/>
                <w:kern w:val="0"/>
                <w:sz w:val="24"/>
                <w:szCs w:val="24"/>
                <w:u w:val="none" w:color="auto"/>
                <w:lang w:val="en-US" w:eastAsia="zh-CN" w:bidi="ar"/>
              </w:rPr>
              <w:t>目前水质达到地表水</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000000"/>
                <w:kern w:val="0"/>
                <w:sz w:val="24"/>
                <w:szCs w:val="24"/>
                <w:u w:val="none" w:color="auto"/>
                <w:lang w:val="en-US" w:eastAsia="zh-CN" w:bidi="ar"/>
              </w:rPr>
              <w:t>标准，因此，</w:t>
            </w:r>
            <w:r>
              <w:rPr>
                <w:rFonts w:hint="eastAsia" w:cs="Times New Roman"/>
                <w:color w:val="000000"/>
                <w:kern w:val="0"/>
                <w:sz w:val="24"/>
                <w:szCs w:val="24"/>
                <w:u w:val="none" w:color="auto"/>
                <w:lang w:val="en-US" w:eastAsia="zh-CN" w:bidi="ar"/>
              </w:rPr>
              <w:t>东</w:t>
            </w:r>
            <w:r>
              <w:rPr>
                <w:rFonts w:hint="eastAsia" w:ascii="Times New Roman" w:hAnsi="Times New Roman" w:cs="Times New Roman"/>
                <w:color w:val="000000"/>
                <w:kern w:val="0"/>
                <w:sz w:val="24"/>
                <w:szCs w:val="24"/>
                <w:u w:val="none" w:color="auto"/>
                <w:lang w:val="en-US" w:eastAsia="zh-CN" w:bidi="ar"/>
              </w:rPr>
              <w:t>侧洣水</w:t>
            </w:r>
            <w:r>
              <w:rPr>
                <w:rFonts w:hint="eastAsia" w:ascii="Times New Roman" w:hAnsi="Times New Roman" w:eastAsia="宋体" w:cs="Times New Roman"/>
                <w:color w:val="000000"/>
                <w:kern w:val="0"/>
                <w:sz w:val="24"/>
                <w:szCs w:val="24"/>
                <w:u w:val="none" w:color="auto"/>
                <w:lang w:val="en-US" w:eastAsia="zh-CN" w:bidi="ar"/>
              </w:rPr>
              <w:t>现状</w:t>
            </w:r>
            <w:r>
              <w:rPr>
                <w:rFonts w:hint="default" w:ascii="Times New Roman" w:hAnsi="Times New Roman" w:eastAsia="宋体" w:cs="Times New Roman"/>
                <w:color w:val="000000"/>
                <w:kern w:val="0"/>
                <w:sz w:val="24"/>
                <w:szCs w:val="24"/>
                <w:u w:val="none" w:color="auto"/>
                <w:lang w:val="en-US" w:eastAsia="zh-CN" w:bidi="ar"/>
              </w:rPr>
              <w:t>水质目标为III类标准。</w:t>
            </w:r>
            <w:r>
              <w:rPr>
                <w:rFonts w:hint="eastAsia" w:ascii="Times New Roman" w:hAnsi="Times New Roman" w:eastAsia="宋体" w:cs="Times New Roman"/>
                <w:color w:val="000000"/>
                <w:kern w:val="0"/>
                <w:sz w:val="24"/>
                <w:szCs w:val="24"/>
                <w:u w:val="none" w:color="auto"/>
                <w:lang w:val="en-US" w:eastAsia="zh-CN" w:bidi="ar"/>
              </w:rPr>
              <w:t>根据《茶陵县农村“千人以上”集中式饮用水水源保护区划分技术报告》，</w:t>
            </w:r>
            <w:r>
              <w:rPr>
                <w:rFonts w:hint="default" w:ascii="Times New Roman" w:hAnsi="Times New Roman" w:eastAsia="宋体" w:cs="Times New Roman"/>
                <w:color w:val="000000"/>
                <w:kern w:val="0"/>
                <w:sz w:val="24"/>
                <w:szCs w:val="24"/>
                <w:u w:val="none" w:color="auto"/>
                <w:lang w:val="en-US" w:eastAsia="zh-CN" w:bidi="ar"/>
              </w:rPr>
              <w:t>经调查，</w:t>
            </w:r>
            <w:r>
              <w:rPr>
                <w:rFonts w:hint="eastAsia" w:ascii="Times New Roman" w:hAnsi="Times New Roman" w:eastAsia="宋体" w:cs="Times New Roman"/>
                <w:color w:val="000000"/>
                <w:kern w:val="0"/>
                <w:sz w:val="24"/>
                <w:szCs w:val="24"/>
                <w:u w:val="none" w:color="auto"/>
                <w:lang w:val="en-US" w:eastAsia="zh-CN" w:bidi="ar"/>
              </w:rPr>
              <w:t>本项目排污口上游500m至</w:t>
            </w:r>
            <w:r>
              <w:rPr>
                <w:rFonts w:hint="default" w:ascii="Times New Roman" w:hAnsi="Times New Roman" w:eastAsia="宋体" w:cs="Times New Roman"/>
                <w:color w:val="000000"/>
                <w:kern w:val="0"/>
                <w:sz w:val="24"/>
                <w:szCs w:val="24"/>
                <w:u w:val="none" w:color="auto"/>
                <w:lang w:val="en-US" w:eastAsia="zh-CN" w:bidi="ar"/>
              </w:rPr>
              <w:t>下游</w:t>
            </w:r>
            <w:r>
              <w:rPr>
                <w:rFonts w:hint="eastAsia" w:ascii="Times New Roman" w:hAnsi="Times New Roman" w:eastAsia="宋体" w:cs="Times New Roman"/>
                <w:color w:val="000000"/>
                <w:kern w:val="0"/>
                <w:sz w:val="24"/>
                <w:szCs w:val="24"/>
                <w:u w:val="none" w:color="auto"/>
                <w:lang w:val="en-US" w:eastAsia="zh-CN" w:bidi="ar"/>
              </w:rPr>
              <w:t>1500</w:t>
            </w:r>
            <w:r>
              <w:rPr>
                <w:rFonts w:hint="default" w:ascii="Times New Roman" w:hAnsi="Times New Roman" w:eastAsia="宋体" w:cs="Times New Roman"/>
                <w:color w:val="000000"/>
                <w:kern w:val="0"/>
                <w:sz w:val="24"/>
                <w:szCs w:val="24"/>
                <w:u w:val="none" w:color="auto"/>
                <w:lang w:val="en-US" w:eastAsia="zh-CN" w:bidi="ar"/>
              </w:rPr>
              <w:t>m范围内无集中饮用水取水口，也无</w:t>
            </w:r>
            <w:r>
              <w:rPr>
                <w:rFonts w:hint="eastAsia" w:cs="Times New Roman"/>
                <w:color w:val="000000"/>
                <w:kern w:val="0"/>
                <w:sz w:val="24"/>
                <w:szCs w:val="24"/>
                <w:u w:val="none" w:color="auto"/>
                <w:lang w:val="en-US" w:eastAsia="zh-CN" w:bidi="ar"/>
              </w:rPr>
              <w:t>其他生活</w:t>
            </w:r>
            <w:r>
              <w:rPr>
                <w:rFonts w:hint="default" w:ascii="Times New Roman" w:hAnsi="Times New Roman" w:eastAsia="宋体" w:cs="Times New Roman"/>
                <w:color w:val="000000"/>
                <w:kern w:val="0"/>
                <w:sz w:val="24"/>
                <w:szCs w:val="24"/>
                <w:u w:val="none" w:color="auto"/>
                <w:lang w:val="en-US" w:eastAsia="zh-CN" w:bidi="ar"/>
              </w:rPr>
              <w:t>和工业用水取水口，亦无现状养殖或规划养殖区</w:t>
            </w:r>
            <w:r>
              <w:rPr>
                <w:rFonts w:hint="eastAsia" w:ascii="Times New Roman" w:hAnsi="Times New Roman" w:eastAsia="宋体" w:cs="Times New Roman"/>
                <w:color w:val="000000"/>
                <w:kern w:val="0"/>
                <w:sz w:val="24"/>
                <w:szCs w:val="24"/>
                <w:u w:val="none" w:color="auto"/>
                <w:lang w:val="en-US" w:eastAsia="zh-CN" w:bidi="ar"/>
              </w:rPr>
              <w:t>。</w:t>
            </w:r>
          </w:p>
          <w:p w14:paraId="6D3937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通过地表水预测结果可知，正常情况下</w:t>
            </w:r>
            <w:r>
              <w:rPr>
                <w:rFonts w:hint="eastAsia" w:ascii="Times New Roman" w:hAnsi="Times New Roman" w:eastAsia="宋体" w:cs="Times New Roman"/>
                <w:color w:val="000000"/>
                <w:kern w:val="0"/>
                <w:sz w:val="24"/>
                <w:szCs w:val="24"/>
                <w:u w:val="none" w:color="auto"/>
                <w:lang w:val="en-US" w:eastAsia="zh-CN" w:bidi="ar"/>
              </w:rPr>
              <w:t>和非正常情况下</w:t>
            </w:r>
            <w:r>
              <w:rPr>
                <w:rFonts w:hint="default" w:ascii="Times New Roman" w:hAnsi="Times New Roman" w:eastAsia="宋体" w:cs="Times New Roman"/>
                <w:color w:val="000000"/>
                <w:kern w:val="0"/>
                <w:sz w:val="24"/>
                <w:szCs w:val="24"/>
                <w:u w:val="none" w:color="auto"/>
                <w:lang w:val="en-US" w:eastAsia="zh-CN" w:bidi="ar"/>
              </w:rPr>
              <w:t>，本项目</w:t>
            </w:r>
            <w:r>
              <w:rPr>
                <w:rFonts w:hint="eastAsia" w:ascii="Times New Roman" w:hAnsi="Times New Roman" w:eastAsia="宋体" w:cs="Times New Roman"/>
                <w:color w:val="000000"/>
                <w:kern w:val="0"/>
                <w:sz w:val="24"/>
                <w:szCs w:val="24"/>
                <w:u w:val="none" w:color="auto"/>
                <w:lang w:val="en-US" w:eastAsia="zh-CN" w:bidi="ar"/>
              </w:rPr>
              <w:t>外排</w:t>
            </w:r>
            <w:r>
              <w:rPr>
                <w:rFonts w:hint="default" w:ascii="Times New Roman" w:hAnsi="Times New Roman" w:eastAsia="宋体" w:cs="Times New Roman"/>
                <w:color w:val="000000"/>
                <w:kern w:val="0"/>
                <w:sz w:val="24"/>
                <w:szCs w:val="24"/>
                <w:u w:val="none" w:color="auto"/>
                <w:lang w:val="en-US" w:eastAsia="zh-CN" w:bidi="ar"/>
              </w:rPr>
              <w:t>废水与</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混合后，河流水质几乎不变，对河流水质影响较小，</w:t>
            </w:r>
            <w:r>
              <w:rPr>
                <w:rFonts w:hint="eastAsia" w:ascii="Times New Roman" w:hAnsi="Times New Roman" w:eastAsia="宋体" w:cs="Times New Roman"/>
                <w:color w:val="000000"/>
                <w:kern w:val="0"/>
                <w:sz w:val="24"/>
                <w:szCs w:val="24"/>
                <w:u w:val="none" w:color="auto"/>
                <w:lang w:val="en-US" w:eastAsia="zh-CN" w:bidi="ar"/>
              </w:rPr>
              <w:t>同时根据对洣水地表水预测结果和</w:t>
            </w:r>
            <w:r>
              <w:rPr>
                <w:rFonts w:hint="default" w:ascii="Times New Roman" w:hAnsi="Times New Roman" w:eastAsia="宋体" w:cs="Times New Roman"/>
                <w:color w:val="000000"/>
                <w:sz w:val="24"/>
                <w:szCs w:val="24"/>
                <w:highlight w:val="none"/>
                <w:u w:val="none" w:color="auto"/>
              </w:rPr>
              <w:t>《株洲市生态环境保护委员会办公室关于202</w:t>
            </w:r>
            <w:r>
              <w:rPr>
                <w:rFonts w:hint="eastAsia" w:cs="Times New Roman"/>
                <w:color w:val="000000"/>
                <w:sz w:val="24"/>
                <w:szCs w:val="24"/>
                <w:highlight w:val="none"/>
                <w:u w:val="none" w:color="auto"/>
                <w:lang w:val="en-US" w:eastAsia="zh-CN"/>
              </w:rPr>
              <w:t>3</w:t>
            </w:r>
            <w:r>
              <w:rPr>
                <w:rFonts w:hint="default" w:ascii="Times New Roman" w:hAnsi="Times New Roman" w:eastAsia="宋体" w:cs="Times New Roman"/>
                <w:color w:val="000000"/>
                <w:sz w:val="24"/>
                <w:szCs w:val="24"/>
                <w:highlight w:val="none"/>
                <w:u w:val="none" w:color="auto"/>
              </w:rPr>
              <w:t>年12月及全年全市环境空气质量、地表水环境质量状况的通报》中地表水达标情况的结论</w:t>
            </w:r>
            <w:r>
              <w:rPr>
                <w:rFonts w:hint="eastAsia" w:ascii="Times New Roman" w:hAnsi="Times New Roman" w:eastAsia="宋体" w:cs="Times New Roman"/>
                <w:color w:val="000000"/>
                <w:sz w:val="24"/>
                <w:szCs w:val="24"/>
                <w:highlight w:val="none"/>
                <w:u w:val="none" w:color="auto"/>
                <w:lang w:eastAsia="zh-CN"/>
              </w:rPr>
              <w:t>，</w:t>
            </w:r>
            <w:r>
              <w:rPr>
                <w:rFonts w:hint="eastAsia" w:ascii="Times New Roman" w:hAnsi="Times New Roman" w:eastAsia="宋体" w:cs="Times New Roman"/>
                <w:color w:val="000000"/>
                <w:kern w:val="0"/>
                <w:sz w:val="24"/>
                <w:szCs w:val="24"/>
                <w:u w:val="none" w:color="auto"/>
                <w:lang w:val="en-US" w:eastAsia="zh-CN" w:bidi="ar"/>
              </w:rPr>
              <w:t>云阳自来水厂监测断面水质均达到了《地表水环境质量标准》（GB3838-2002）中的</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000000"/>
                <w:kern w:val="0"/>
                <w:sz w:val="24"/>
                <w:szCs w:val="24"/>
                <w:u w:val="none" w:color="auto"/>
                <w:lang w:val="en-US" w:eastAsia="zh-CN" w:bidi="ar"/>
              </w:rPr>
              <w:t>类标准要求。</w:t>
            </w:r>
          </w:p>
          <w:p w14:paraId="1C9ED449">
            <w:pPr>
              <w:spacing w:before="62" w:beforeLines="20" w:line="360" w:lineRule="auto"/>
              <w:ind w:firstLine="480" w:firstLineChars="200"/>
              <w:rPr>
                <w:rFonts w:hint="eastAsia" w:ascii="宋体" w:hAnsi="宋体" w:eastAsia="宋体" w:cs="宋体"/>
                <w:color w:val="auto"/>
                <w:sz w:val="24"/>
                <w:szCs w:val="24"/>
                <w:u w:val="none" w:color="auto"/>
                <w:lang w:eastAsia="zh-CN"/>
              </w:rPr>
            </w:pPr>
            <w:r>
              <w:rPr>
                <w:rFonts w:hint="eastAsia" w:ascii="宋体" w:hAnsi="宋体" w:eastAsia="宋体" w:cs="宋体"/>
                <w:color w:val="auto"/>
                <w:sz w:val="24"/>
                <w:szCs w:val="24"/>
                <w:u w:val="none" w:color="auto"/>
                <w:lang w:eastAsia="zh-CN"/>
              </w:rPr>
              <w:t>本项目</w:t>
            </w:r>
            <w:r>
              <w:rPr>
                <w:rFonts w:ascii="宋体" w:hAnsi="宋体" w:eastAsia="宋体" w:cs="宋体"/>
                <w:color w:val="auto"/>
                <w:sz w:val="24"/>
                <w:szCs w:val="24"/>
                <w:u w:val="none" w:color="auto"/>
              </w:rPr>
              <w:t>区域内</w:t>
            </w:r>
            <w:r>
              <w:rPr>
                <w:rFonts w:hint="default" w:ascii="Times New Roman" w:hAnsi="Times New Roman" w:cs="Times New Roman"/>
                <w:color w:val="auto"/>
                <w:sz w:val="24"/>
                <w:u w:val="none" w:color="auto"/>
              </w:rPr>
              <w:t>居民一般取用</w:t>
            </w:r>
            <w:r>
              <w:rPr>
                <w:rFonts w:hint="eastAsia" w:cs="Times New Roman"/>
                <w:color w:val="auto"/>
                <w:sz w:val="24"/>
                <w:u w:val="none" w:color="auto"/>
                <w:lang w:eastAsia="zh-CN"/>
              </w:rPr>
              <w:t>自来水</w:t>
            </w:r>
            <w:r>
              <w:rPr>
                <w:rFonts w:hint="default" w:ascii="Times New Roman" w:hAnsi="Times New Roman" w:cs="Times New Roman"/>
                <w:color w:val="auto"/>
                <w:sz w:val="24"/>
                <w:u w:val="none" w:color="auto"/>
              </w:rPr>
              <w:t>作生活饮用水</w:t>
            </w:r>
            <w:r>
              <w:rPr>
                <w:rFonts w:hint="eastAsia" w:cs="Times New Roman"/>
                <w:color w:val="auto"/>
                <w:sz w:val="24"/>
                <w:u w:val="none" w:color="auto"/>
                <w:lang w:val="en-US" w:eastAsia="zh-CN"/>
              </w:rPr>
              <w:t>，</w:t>
            </w:r>
            <w:r>
              <w:rPr>
                <w:rFonts w:ascii="宋体" w:hAnsi="宋体" w:eastAsia="宋体" w:cs="宋体"/>
                <w:color w:val="auto"/>
                <w:sz w:val="24"/>
                <w:szCs w:val="24"/>
                <w:u w:val="none" w:color="auto"/>
              </w:rPr>
              <w:t>将不会对居民饮用水造成影响。</w:t>
            </w:r>
          </w:p>
          <w:p w14:paraId="00596118">
            <w:pPr>
              <w:spacing w:before="62" w:beforeLines="20" w:line="360" w:lineRule="auto"/>
              <w:ind w:firstLine="480" w:firstLineChars="200"/>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lang w:eastAsia="zh-CN"/>
              </w:rPr>
              <w:t>本</w:t>
            </w:r>
            <w:r>
              <w:rPr>
                <w:rFonts w:hint="eastAsia" w:ascii="宋体" w:hAnsi="宋体" w:eastAsia="宋体" w:cs="宋体"/>
                <w:color w:val="auto"/>
                <w:sz w:val="24"/>
                <w:szCs w:val="24"/>
                <w:u w:val="none" w:color="auto"/>
              </w:rPr>
              <w:t>项目作为基层医疗卫生机构的重要组成部分，承担着向农村地区提供基本医疗服务的重要职责。乡镇卫生院在维护农民健康、促进农村经济社会发展中发挥着至关重要的作用和功效。</w:t>
            </w:r>
            <w:r>
              <w:rPr>
                <w:rFonts w:hint="eastAsia" w:ascii="宋体" w:hAnsi="宋体" w:eastAsia="宋体" w:cs="宋体"/>
                <w:color w:val="auto"/>
                <w:sz w:val="24"/>
                <w:szCs w:val="24"/>
                <w:u w:val="none" w:color="auto"/>
                <w:lang w:eastAsia="zh-CN"/>
              </w:rPr>
              <w:t>项目</w:t>
            </w:r>
            <w:r>
              <w:rPr>
                <w:rFonts w:hint="eastAsia" w:ascii="宋体" w:hAnsi="宋体" w:eastAsia="宋体" w:cs="宋体"/>
                <w:color w:val="auto"/>
                <w:sz w:val="24"/>
                <w:szCs w:val="24"/>
                <w:u w:val="none" w:color="auto"/>
              </w:rPr>
              <w:t>落实防治措施，保证污染防治装置稳定运行，污染物都能达标排放，项目的建设是可行的。</w:t>
            </w:r>
          </w:p>
          <w:p w14:paraId="70134C1A">
            <w:pPr>
              <w:spacing w:before="62" w:beforeLines="20" w:line="360" w:lineRule="auto"/>
              <w:ind w:firstLine="482"/>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综上分析，本项目入河排污口的设置对第三者影响较小，但是要采取适当措施，避免</w:t>
            </w:r>
            <w:r>
              <w:rPr>
                <w:rFonts w:hint="default" w:ascii="Times New Roman" w:hAnsi="Times New Roman" w:cs="Times New Roman"/>
                <w:color w:val="auto"/>
                <w:sz w:val="24"/>
                <w:u w:val="none" w:color="auto"/>
                <w:lang w:eastAsia="zh-CN"/>
              </w:rPr>
              <w:t>水环境</w:t>
            </w:r>
            <w:r>
              <w:rPr>
                <w:rFonts w:hint="default" w:ascii="Times New Roman" w:hAnsi="Times New Roman" w:cs="Times New Roman"/>
                <w:color w:val="auto"/>
                <w:sz w:val="24"/>
                <w:u w:val="none" w:color="auto"/>
              </w:rPr>
              <w:t>污染物浓度超标；</w:t>
            </w:r>
            <w:r>
              <w:rPr>
                <w:rFonts w:hint="eastAsia" w:cs="Times New Roman"/>
                <w:color w:val="auto"/>
                <w:sz w:val="24"/>
                <w:u w:val="none" w:color="auto"/>
                <w:lang w:eastAsia="zh-CN"/>
              </w:rPr>
              <w:t>加强管理，避免</w:t>
            </w:r>
            <w:r>
              <w:rPr>
                <w:rFonts w:hint="eastAsia" w:ascii="Times New Roman" w:hAnsi="Times New Roman" w:eastAsia="宋体" w:cs="Times New Roman"/>
                <w:color w:val="000000"/>
                <w:kern w:val="0"/>
                <w:sz w:val="24"/>
                <w:szCs w:val="24"/>
                <w:u w:val="none" w:color="auto"/>
                <w:lang w:val="en-US" w:eastAsia="zh-CN" w:bidi="ar"/>
              </w:rPr>
              <w:t>茶陵县</w:t>
            </w:r>
            <w:r>
              <w:rPr>
                <w:rFonts w:hint="eastAsia" w:cs="Times New Roman"/>
                <w:color w:val="000000"/>
                <w:kern w:val="0"/>
                <w:sz w:val="24"/>
                <w:szCs w:val="24"/>
                <w:u w:val="none" w:color="auto"/>
                <w:lang w:val="en-US" w:eastAsia="zh-CN" w:bidi="ar"/>
              </w:rPr>
              <w:t>浣溪卫生院</w:t>
            </w:r>
            <w:r>
              <w:rPr>
                <w:rFonts w:hint="eastAsia" w:cs="Times New Roman"/>
                <w:color w:val="auto"/>
                <w:sz w:val="24"/>
                <w:u w:val="none" w:color="auto"/>
                <w:lang w:eastAsia="zh-CN"/>
              </w:rPr>
              <w:t>排污口</w:t>
            </w:r>
            <w:r>
              <w:rPr>
                <w:rFonts w:hint="default" w:ascii="Times New Roman" w:hAnsi="Times New Roman" w:cs="Times New Roman"/>
                <w:color w:val="auto"/>
                <w:sz w:val="24"/>
                <w:u w:val="none" w:color="auto"/>
              </w:rPr>
              <w:t>发生非正常排放事故。</w:t>
            </w:r>
          </w:p>
          <w:p w14:paraId="77C8C6AF">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5、</w:t>
            </w:r>
            <w:r>
              <w:rPr>
                <w:rFonts w:hint="default" w:ascii="Times New Roman" w:hAnsi="Times New Roman" w:eastAsia="宋体" w:cs="Times New Roman"/>
                <w:b/>
                <w:bCs/>
                <w:snapToGrid w:val="0"/>
                <w:sz w:val="24"/>
                <w:szCs w:val="24"/>
                <w:u w:val="none" w:color="auto"/>
                <w:vertAlign w:val="baseline"/>
                <w:lang w:val="en-US" w:eastAsia="zh-CN"/>
              </w:rPr>
              <w:t>入河排污口设置合理性分析</w:t>
            </w:r>
          </w:p>
          <w:p w14:paraId="4A06BB5E">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5.1入河排污口位置、排放浓度和总量是否符合有关要求 </w:t>
            </w:r>
          </w:p>
          <w:p w14:paraId="3ADDCF1B">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（1）排污口设置位置的合理性分析 </w:t>
            </w:r>
          </w:p>
          <w:p w14:paraId="3F1F3972">
            <w:pPr>
              <w:pStyle w:val="47"/>
              <w:tabs>
                <w:tab w:val="left" w:pos="1182"/>
              </w:tabs>
              <w:autoSpaceDE w:val="0"/>
              <w:autoSpaceDN w:val="0"/>
              <w:snapToGrid w:val="0"/>
              <w:spacing w:line="360" w:lineRule="auto"/>
              <w:ind w:left="0" w:firstLine="480" w:firstLineChars="200"/>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kern w:val="10"/>
                <w:sz w:val="24"/>
                <w:szCs w:val="24"/>
                <w:u w:val="none" w:color="auto"/>
                <w:lang w:val="en-US" w:eastAsia="zh-CN"/>
              </w:rPr>
              <w:t>项目</w:t>
            </w:r>
            <w:r>
              <w:rPr>
                <w:rFonts w:hint="eastAsia" w:ascii="Times New Roman" w:hAnsi="Times New Roman" w:eastAsia="宋体" w:cs="Times New Roman"/>
                <w:color w:val="auto"/>
                <w:kern w:val="10"/>
                <w:sz w:val="24"/>
                <w:szCs w:val="24"/>
                <w:u w:val="none" w:color="auto"/>
                <w:lang w:val="en-US" w:eastAsia="zh-CN"/>
              </w:rPr>
              <w:t>设置一座污水处理站</w:t>
            </w:r>
            <w:r>
              <w:rPr>
                <w:rFonts w:hint="default" w:ascii="Times New Roman" w:hAnsi="Times New Roman" w:eastAsia="宋体" w:cs="Times New Roman"/>
                <w:color w:val="auto"/>
                <w:kern w:val="10"/>
                <w:sz w:val="24"/>
                <w:szCs w:val="24"/>
                <w:u w:val="none" w:color="auto"/>
                <w:lang w:val="en-US" w:eastAsia="zh-CN"/>
              </w:rPr>
              <w:t>，用于处理</w:t>
            </w:r>
            <w:r>
              <w:rPr>
                <w:rFonts w:hint="eastAsia" w:ascii="Times New Roman" w:hAnsi="Times New Roman" w:eastAsia="宋体" w:cs="Times New Roman"/>
                <w:color w:val="auto"/>
                <w:kern w:val="10"/>
                <w:sz w:val="24"/>
                <w:szCs w:val="24"/>
                <w:u w:val="none" w:color="auto"/>
                <w:lang w:val="en-US" w:eastAsia="zh-CN"/>
              </w:rPr>
              <w:t>院区</w:t>
            </w:r>
            <w:r>
              <w:rPr>
                <w:rFonts w:hint="default" w:ascii="Times New Roman" w:hAnsi="Times New Roman" w:eastAsia="宋体" w:cs="Times New Roman"/>
                <w:color w:val="auto"/>
                <w:kern w:val="10"/>
                <w:sz w:val="24"/>
                <w:szCs w:val="24"/>
                <w:u w:val="none" w:color="auto"/>
                <w:lang w:val="en-US" w:eastAsia="zh-CN"/>
              </w:rPr>
              <w:t>废水，废水处理规模为</w:t>
            </w:r>
            <w:r>
              <w:rPr>
                <w:rFonts w:hint="eastAsia" w:cs="Times New Roman"/>
                <w:color w:val="auto"/>
                <w:kern w:val="10"/>
                <w:sz w:val="24"/>
                <w:szCs w:val="24"/>
                <w:u w:val="none" w:color="auto"/>
                <w:lang w:val="en-US" w:eastAsia="zh-CN"/>
              </w:rPr>
              <w:t>30</w:t>
            </w:r>
            <w:r>
              <w:rPr>
                <w:rFonts w:hint="default" w:cs="Times New Roman"/>
                <w:color w:val="auto"/>
                <w:kern w:val="10"/>
                <w:sz w:val="24"/>
                <w:szCs w:val="24"/>
                <w:u w:val="none" w:color="auto"/>
                <w:lang w:val="en-US" w:eastAsia="zh-CN"/>
              </w:rPr>
              <w:t>t</w:t>
            </w:r>
            <w:r>
              <w:rPr>
                <w:rFonts w:hint="default" w:ascii="Times New Roman" w:hAnsi="Times New Roman" w:eastAsia="宋体" w:cs="Times New Roman"/>
                <w:color w:val="auto"/>
                <w:kern w:val="10"/>
                <w:sz w:val="24"/>
                <w:szCs w:val="24"/>
                <w:u w:val="none" w:color="auto"/>
                <w:lang w:val="en-US" w:eastAsia="zh-CN"/>
              </w:rPr>
              <w:t>/d，项目正常工况下废水产生量为</w:t>
            </w:r>
            <w:r>
              <w:rPr>
                <w:rFonts w:hint="default" w:cs="Times New Roman"/>
                <w:color w:val="auto"/>
                <w:kern w:val="10"/>
                <w:sz w:val="24"/>
                <w:szCs w:val="24"/>
                <w:u w:val="none" w:color="auto"/>
                <w:lang w:val="en-US" w:eastAsia="zh-CN"/>
              </w:rPr>
              <w:t>10.</w:t>
            </w:r>
            <w:r>
              <w:rPr>
                <w:rFonts w:hint="eastAsia" w:cs="Times New Roman"/>
                <w:color w:val="auto"/>
                <w:kern w:val="10"/>
                <w:sz w:val="24"/>
                <w:szCs w:val="24"/>
                <w:u w:val="none" w:color="auto"/>
                <w:lang w:val="en-US" w:eastAsia="zh-CN"/>
              </w:rPr>
              <w:t>20</w:t>
            </w:r>
            <w:r>
              <w:rPr>
                <w:rFonts w:hint="default" w:cs="Times New Roman"/>
                <w:color w:val="auto"/>
                <w:kern w:val="10"/>
                <w:sz w:val="24"/>
                <w:szCs w:val="24"/>
                <w:u w:val="none" w:color="auto"/>
                <w:lang w:val="en-US" w:eastAsia="zh-CN"/>
              </w:rPr>
              <w:t>4t</w:t>
            </w:r>
            <w:r>
              <w:rPr>
                <w:rFonts w:hint="default" w:ascii="Times New Roman" w:hAnsi="Times New Roman" w:eastAsia="宋体" w:cs="Times New Roman"/>
                <w:color w:val="auto"/>
                <w:kern w:val="10"/>
                <w:sz w:val="24"/>
                <w:szCs w:val="24"/>
                <w:u w:val="none" w:color="auto"/>
                <w:lang w:val="en-US" w:eastAsia="zh-CN"/>
              </w:rPr>
              <w:t>/d</w:t>
            </w:r>
            <w:r>
              <w:rPr>
                <w:rFonts w:hint="eastAsia" w:ascii="Times New Roman" w:hAnsi="Times New Roman" w:eastAsia="宋体" w:cs="Times New Roman"/>
                <w:color w:val="auto"/>
                <w:kern w:val="10"/>
                <w:sz w:val="24"/>
                <w:szCs w:val="24"/>
                <w:u w:val="none" w:color="auto"/>
                <w:lang w:val="en-US" w:eastAsia="zh-CN"/>
              </w:rPr>
              <w:t>。</w:t>
            </w:r>
          </w:p>
          <w:p w14:paraId="7D539D34">
            <w:pPr>
              <w:pStyle w:val="47"/>
              <w:tabs>
                <w:tab w:val="left" w:pos="1182"/>
              </w:tabs>
              <w:autoSpaceDN w:val="0"/>
              <w:snapToGrid w:val="0"/>
              <w:spacing w:line="360" w:lineRule="auto"/>
              <w:ind w:firstLine="480" w:firstLineChars="200"/>
              <w:rPr>
                <w:rFonts w:hint="default" w:ascii="Times New Roman" w:hAnsi="Times New Roman" w:eastAsia="宋体" w:cs="Times New Roman"/>
                <w:color w:val="auto"/>
                <w:spacing w:val="0"/>
                <w:sz w:val="24"/>
                <w:highlight w:val="none"/>
                <w:u w:val="none" w:color="auto"/>
              </w:rPr>
            </w:pPr>
            <w:r>
              <w:rPr>
                <w:rFonts w:hint="eastAsia" w:cs="Times New Roman"/>
                <w:color w:val="auto"/>
                <w:sz w:val="24"/>
                <w:szCs w:val="24"/>
                <w:u w:val="none" w:color="auto"/>
                <w:lang w:val="en-US" w:eastAsia="zh-CN"/>
              </w:rPr>
              <w:t>洣水汇入口</w:t>
            </w:r>
            <w:r>
              <w:rPr>
                <w:rFonts w:hint="default" w:ascii="Times New Roman" w:hAnsi="Times New Roman" w:cs="Times New Roman"/>
                <w:color w:val="auto"/>
                <w:sz w:val="24"/>
                <w:szCs w:val="24"/>
                <w:u w:val="none" w:color="auto"/>
              </w:rPr>
              <w:t>执行《地表水环境质量标准》（GB3838-2002）中的</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cs="Times New Roman"/>
                <w:color w:val="auto"/>
                <w:sz w:val="24"/>
                <w:szCs w:val="24"/>
                <w:u w:val="none" w:color="auto"/>
              </w:rPr>
              <w:t>类标准；</w:t>
            </w:r>
            <w:r>
              <w:rPr>
                <w:rFonts w:hint="default" w:ascii="Times New Roman" w:hAnsi="Times New Roman" w:eastAsia="宋体" w:cs="Times New Roman"/>
                <w:color w:val="auto"/>
                <w:sz w:val="24"/>
                <w:highlight w:val="none"/>
                <w:u w:val="none" w:color="auto"/>
              </w:rPr>
              <w:t>根据水域纳污能力核算结果及预测影响分析，项目排污量占区域水环境的容量</w:t>
            </w:r>
            <w:r>
              <w:rPr>
                <w:rFonts w:hint="default" w:ascii="Times New Roman" w:hAnsi="Times New Roman" w:eastAsia="宋体" w:cs="Times New Roman"/>
                <w:color w:val="auto"/>
                <w:sz w:val="24"/>
                <w:highlight w:val="none"/>
                <w:u w:val="none" w:color="auto"/>
                <w:lang w:eastAsia="zh-CN"/>
              </w:rPr>
              <w:t>较小</w:t>
            </w:r>
            <w:r>
              <w:rPr>
                <w:rFonts w:hint="default" w:ascii="Times New Roman" w:hAnsi="Times New Roman" w:eastAsia="宋体" w:cs="Times New Roman"/>
                <w:color w:val="auto"/>
                <w:sz w:val="24"/>
                <w:highlight w:val="none"/>
                <w:u w:val="none" w:color="auto"/>
              </w:rPr>
              <w:t>，项目排放污水不会改变</w:t>
            </w:r>
            <w:r>
              <w:rPr>
                <w:rFonts w:hint="eastAsia" w:ascii="Times New Roman" w:hAnsi="Times New Roman" w:eastAsia="宋体" w:cs="Times New Roman"/>
                <w:color w:val="auto"/>
                <w:sz w:val="24"/>
                <w:highlight w:val="none"/>
                <w:u w:val="none" w:color="auto"/>
                <w:lang w:eastAsia="zh-CN"/>
              </w:rPr>
              <w:t>洣水</w:t>
            </w:r>
            <w:r>
              <w:rPr>
                <w:rFonts w:hint="default" w:ascii="Times New Roman" w:hAnsi="Times New Roman" w:eastAsia="宋体" w:cs="Times New Roman"/>
                <w:color w:val="auto"/>
                <w:sz w:val="24"/>
                <w:highlight w:val="none"/>
                <w:u w:val="none" w:color="auto"/>
              </w:rPr>
              <w:t xml:space="preserve">当前水质，所以项目的排污口排水规模是合理可行的。 </w:t>
            </w:r>
            <w:r>
              <w:rPr>
                <w:rFonts w:hint="default" w:ascii="Times New Roman" w:hAnsi="Times New Roman" w:eastAsia="宋体" w:cs="Times New Roman"/>
                <w:color w:val="auto"/>
                <w:spacing w:val="0"/>
                <w:sz w:val="24"/>
                <w:highlight w:val="none"/>
                <w:u w:val="none" w:color="auto"/>
              </w:rPr>
              <w:t xml:space="preserve"> </w:t>
            </w:r>
          </w:p>
          <w:p w14:paraId="70FF6519">
            <w:pPr>
              <w:pStyle w:val="43"/>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auto"/>
                <w:sz w:val="24"/>
                <w:highlight w:val="none"/>
                <w:u w:val="none" w:color="auto"/>
              </w:rPr>
              <w:t>综上所述，本项目入河排污口是设置可行的</w:t>
            </w:r>
            <w:bookmarkStart w:id="23" w:name="_bookmark137"/>
            <w:bookmarkEnd w:id="23"/>
            <w:bookmarkStart w:id="24" w:name="_bookmark136"/>
            <w:bookmarkEnd w:id="24"/>
            <w:r>
              <w:rPr>
                <w:rFonts w:hint="default" w:ascii="Times New Roman" w:hAnsi="Times New Roman" w:eastAsia="宋体" w:cs="Times New Roman"/>
                <w:color w:val="000000"/>
                <w:kern w:val="0"/>
                <w:sz w:val="24"/>
                <w:szCs w:val="24"/>
                <w:u w:val="none" w:color="auto"/>
                <w:lang w:val="en-US" w:eastAsia="zh-CN" w:bidi="ar"/>
              </w:rPr>
              <w:t xml:space="preserve">。 </w:t>
            </w:r>
          </w:p>
          <w:p w14:paraId="296DF825">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（2）本项目排放浓度和排放总量符合性分析 </w:t>
            </w:r>
          </w:p>
          <w:p w14:paraId="796FCB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本项目废水经污水处理设施处理达到《医疗机构水污染物排放标准》</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GB18466-2005</w:t>
            </w:r>
            <w:r>
              <w:rPr>
                <w:rFonts w:hint="eastAsia" w:ascii="Times New Roman" w:hAnsi="Times New Roman"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排放标准要求后排入</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。根据本次对污染物的相关计算成果，本项目主要污染物排放</w:t>
            </w:r>
            <w:r>
              <w:rPr>
                <w:rFonts w:hint="default" w:ascii="Times New Roman" w:hAnsi="Times New Roman" w:eastAsia="宋体" w:cs="Times New Roman"/>
                <w:color w:val="auto"/>
                <w:kern w:val="0"/>
                <w:sz w:val="24"/>
                <w:szCs w:val="24"/>
                <w:u w:val="none" w:color="auto"/>
                <w:lang w:val="en-US" w:eastAsia="zh-CN" w:bidi="ar"/>
              </w:rPr>
              <w:t>总量为：COD</w:t>
            </w:r>
            <w:r>
              <w:rPr>
                <w:rFonts w:hint="eastAsia" w:cs="Times New Roman"/>
                <w:color w:val="auto"/>
                <w:kern w:val="0"/>
                <w:sz w:val="24"/>
                <w:szCs w:val="24"/>
                <w:u w:val="none" w:color="auto"/>
                <w:lang w:val="en-US" w:eastAsia="zh-CN" w:bidi="ar"/>
              </w:rPr>
              <w:t xml:space="preserve"> </w:t>
            </w:r>
            <w:r>
              <w:rPr>
                <w:rFonts w:hint="default" w:ascii="Times New Roman" w:hAnsi="Times New Roman" w:eastAsia="宋体" w:cs="Times New Roman"/>
                <w:color w:val="auto"/>
                <w:kern w:val="0"/>
                <w:sz w:val="24"/>
                <w:szCs w:val="24"/>
                <w:u w:val="none" w:color="auto"/>
                <w:lang w:val="en-US" w:eastAsia="zh-CN" w:bidi="ar"/>
              </w:rPr>
              <w:t>0.</w:t>
            </w:r>
            <w:r>
              <w:rPr>
                <w:rFonts w:hint="eastAsia" w:cs="Times New Roman"/>
                <w:color w:val="auto"/>
                <w:kern w:val="0"/>
                <w:sz w:val="24"/>
                <w:szCs w:val="24"/>
                <w:u w:val="none" w:color="auto"/>
                <w:lang w:val="en-US" w:eastAsia="zh-CN" w:bidi="ar"/>
              </w:rPr>
              <w:t>2236</w:t>
            </w:r>
            <w:r>
              <w:rPr>
                <w:rFonts w:hint="default" w:ascii="Times New Roman" w:hAnsi="Times New Roman" w:eastAsia="宋体" w:cs="Times New Roman"/>
                <w:color w:val="auto"/>
                <w:kern w:val="0"/>
                <w:sz w:val="24"/>
                <w:szCs w:val="24"/>
                <w:u w:val="none" w:color="auto"/>
                <w:lang w:val="en-US" w:eastAsia="zh-CN" w:bidi="ar"/>
              </w:rPr>
              <w:t>t/a、氨氮</w:t>
            </w:r>
            <w:r>
              <w:rPr>
                <w:rFonts w:hint="eastAsia" w:ascii="Times New Roman" w:hAnsi="Times New Roman" w:eastAsia="宋体" w:cs="Times New Roman"/>
                <w:color w:val="auto"/>
                <w:kern w:val="0"/>
                <w:sz w:val="24"/>
                <w:szCs w:val="24"/>
                <w:u w:val="none" w:color="auto"/>
                <w:lang w:val="en-US" w:eastAsia="zh-CN" w:bidi="ar"/>
              </w:rPr>
              <w:t>0.0</w:t>
            </w:r>
            <w:r>
              <w:rPr>
                <w:rFonts w:hint="eastAsia" w:cs="Times New Roman"/>
                <w:color w:val="auto"/>
                <w:kern w:val="0"/>
                <w:sz w:val="24"/>
                <w:szCs w:val="24"/>
                <w:u w:val="none" w:color="auto"/>
                <w:lang w:val="en-US" w:eastAsia="zh-CN" w:bidi="ar"/>
              </w:rPr>
              <w:t>559</w:t>
            </w:r>
            <w:r>
              <w:rPr>
                <w:rFonts w:hint="default" w:ascii="Times New Roman" w:hAnsi="Times New Roman" w:eastAsia="宋体" w:cs="Times New Roman"/>
                <w:color w:val="auto"/>
                <w:kern w:val="0"/>
                <w:sz w:val="24"/>
                <w:szCs w:val="24"/>
                <w:u w:val="none" w:color="auto"/>
                <w:lang w:val="en-US" w:eastAsia="zh-CN" w:bidi="ar"/>
              </w:rPr>
              <w:t>t/a。且根据纳污能力计算结果，本项目的排污总量小于</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 xml:space="preserve">现状纳污剩余的排污总量。 </w:t>
            </w:r>
          </w:p>
          <w:p w14:paraId="747E76A2">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（3）与水功能区管理要求的一致性分析 </w:t>
            </w:r>
          </w:p>
          <w:p w14:paraId="2B51B9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本项目以排污口所在河段目标水质III类作为管理目标。经论证分析，本项目污水处理工程入河排污口设置后，污水没有改变</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xml:space="preserve">的目标水质，因此，本项目入河排污口设置是符合水功能区管理相关要求的。 </w:t>
            </w:r>
          </w:p>
          <w:p w14:paraId="53A9878E">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（4）与第三者兼容性分析 </w:t>
            </w:r>
          </w:p>
          <w:p w14:paraId="6A8377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经报告分析</w:t>
            </w:r>
            <w:r>
              <w:rPr>
                <w:rFonts w:hint="default" w:ascii="Times New Roman" w:hAnsi="Times New Roman" w:eastAsia="宋体"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洣水执行</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auto"/>
                <w:kern w:val="0"/>
                <w:sz w:val="24"/>
                <w:szCs w:val="24"/>
                <w:u w:val="none" w:color="auto"/>
                <w:lang w:val="en-US" w:eastAsia="zh-CN" w:bidi="ar"/>
              </w:rPr>
              <w:t>类</w:t>
            </w:r>
            <w:r>
              <w:rPr>
                <w:rFonts w:hint="default" w:ascii="Times New Roman" w:hAnsi="Times New Roman" w:eastAsia="宋体" w:cs="Times New Roman"/>
                <w:color w:val="auto"/>
                <w:kern w:val="0"/>
                <w:sz w:val="24"/>
                <w:szCs w:val="24"/>
                <w:u w:val="none" w:color="auto"/>
                <w:lang w:val="en-US" w:eastAsia="zh-CN" w:bidi="ar"/>
              </w:rPr>
              <w:t>，</w:t>
            </w:r>
            <w:r>
              <w:rPr>
                <w:rFonts w:hint="eastAsia" w:ascii="Times New Roman" w:hAnsi="Times New Roman" w:eastAsia="宋体"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有纳污能力，对</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水质影响很小，不会改变</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 xml:space="preserve">水质类别。因此，本项目入河排污口设置对第三者不会产生不利影响，与第三者的需求不发生矛盾。 </w:t>
            </w:r>
          </w:p>
          <w:p w14:paraId="29096126">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5.2、入河排污口设置合理性分析结论 </w:t>
            </w:r>
          </w:p>
          <w:p w14:paraId="48A802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根据上述分析可知，项目入河排污口的设置合理，排放总量小于</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现状纳污剩余的排污总量，不会改变</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xml:space="preserve">的水功能区，对第三者不会产生不利影响。 </w:t>
            </w:r>
          </w:p>
          <w:p w14:paraId="07C7BD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综上分析，本项目入河排污口设置基本合理。</w:t>
            </w:r>
          </w:p>
          <w:p w14:paraId="04368B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6、</w:t>
            </w:r>
            <w:r>
              <w:rPr>
                <w:rFonts w:hint="default" w:ascii="Times New Roman" w:hAnsi="Times New Roman" w:eastAsia="宋体" w:cs="Times New Roman"/>
                <w:b/>
                <w:bCs/>
                <w:snapToGrid w:val="0"/>
                <w:sz w:val="24"/>
                <w:szCs w:val="24"/>
                <w:u w:val="none" w:color="auto"/>
                <w:vertAlign w:val="baseline"/>
                <w:lang w:val="en-US" w:eastAsia="zh-CN"/>
              </w:rPr>
              <w:t>入河排污口设置合理性分析</w:t>
            </w:r>
          </w:p>
          <w:p w14:paraId="7CE187C5">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6.1、入河排污口类型、废污水量 </w:t>
            </w:r>
          </w:p>
          <w:p w14:paraId="1C8288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1</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废水入</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位置：</w:t>
            </w:r>
            <w:r>
              <w:rPr>
                <w:rFonts w:hint="default" w:ascii="Times New Roman" w:hAnsi="Times New Roman" w:eastAsia="宋体"/>
                <w:sz w:val="24"/>
                <w:szCs w:val="24"/>
                <w:u w:val="none" w:color="auto"/>
                <w:lang w:val="en-US" w:eastAsia="zh-CN"/>
              </w:rPr>
              <w:t>E113.</w:t>
            </w:r>
            <w:r>
              <w:rPr>
                <w:rFonts w:hint="eastAsia"/>
                <w:sz w:val="24"/>
                <w:szCs w:val="24"/>
                <w:u w:val="none" w:color="auto"/>
                <w:lang w:val="en-US" w:eastAsia="zh-CN"/>
              </w:rPr>
              <w:t>601731</w:t>
            </w:r>
            <w:r>
              <w:rPr>
                <w:rFonts w:hint="default" w:ascii="Times New Roman" w:hAnsi="Times New Roman" w:eastAsia="宋体"/>
                <w:sz w:val="24"/>
                <w:szCs w:val="24"/>
                <w:u w:val="none" w:color="auto"/>
                <w:lang w:val="en-US" w:eastAsia="zh-CN"/>
              </w:rPr>
              <w:t>，N2</w:t>
            </w:r>
            <w:r>
              <w:rPr>
                <w:rFonts w:hint="eastAsia" w:ascii="Times New Roman" w:hAnsi="Times New Roman" w:eastAsia="宋体"/>
                <w:sz w:val="24"/>
                <w:szCs w:val="24"/>
                <w:u w:val="none" w:color="auto"/>
                <w:lang w:val="en-US" w:eastAsia="zh-CN"/>
              </w:rPr>
              <w:t>6</w:t>
            </w:r>
            <w:r>
              <w:rPr>
                <w:rFonts w:hint="default" w:ascii="Times New Roman" w:hAnsi="Times New Roman" w:eastAsia="宋体"/>
                <w:sz w:val="24"/>
                <w:szCs w:val="24"/>
                <w:u w:val="none" w:color="auto"/>
                <w:lang w:val="en-US" w:eastAsia="zh-CN"/>
              </w:rPr>
              <w:t>.</w:t>
            </w:r>
            <w:r>
              <w:rPr>
                <w:rFonts w:hint="eastAsia"/>
                <w:sz w:val="24"/>
                <w:szCs w:val="24"/>
                <w:u w:val="none" w:color="auto"/>
                <w:lang w:val="en-US" w:eastAsia="zh-CN"/>
              </w:rPr>
              <w:t>564814</w:t>
            </w:r>
          </w:p>
          <w:p w14:paraId="2A6AFF9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2</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入河排污口类型：新建</w:t>
            </w:r>
          </w:p>
          <w:p w14:paraId="06A125D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3</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入河排污口分类：综合废水入河排口</w:t>
            </w:r>
          </w:p>
          <w:p w14:paraId="4D7231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4</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 xml:space="preserve">入河排污口排放方式：间歇排放 </w:t>
            </w:r>
          </w:p>
          <w:p w14:paraId="27A14CF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none" w:color="auto"/>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5</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入河排污口入河方式：通过院外</w:t>
            </w:r>
            <w:r>
              <w:rPr>
                <w:rFonts w:hint="eastAsia" w:ascii="Times New Roman" w:hAnsi="Times New Roman" w:eastAsia="宋体" w:cs="Times New Roman"/>
                <w:color w:val="000000"/>
                <w:kern w:val="0"/>
                <w:sz w:val="24"/>
                <w:szCs w:val="24"/>
                <w:u w:val="none" w:color="auto"/>
                <w:lang w:val="en-US" w:eastAsia="zh-CN" w:bidi="ar"/>
              </w:rPr>
              <w:t>市政管道</w:t>
            </w:r>
            <w:r>
              <w:rPr>
                <w:rFonts w:hint="eastAsia" w:ascii="Times New Roman" w:hAnsi="Times New Roman" w:cs="Times New Roman"/>
                <w:color w:val="000000"/>
                <w:kern w:val="0"/>
                <w:sz w:val="24"/>
                <w:szCs w:val="24"/>
                <w:u w:val="none" w:color="auto"/>
                <w:lang w:val="en-US" w:eastAsia="zh-CN" w:bidi="ar"/>
              </w:rPr>
              <w:t>排入</w:t>
            </w:r>
            <w:r>
              <w:rPr>
                <w:rFonts w:hint="eastAsia" w:ascii="Times New Roman" w:hAnsi="Times New Roman" w:eastAsia="宋体"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w:t>
            </w:r>
          </w:p>
          <w:p w14:paraId="0E964B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6</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kern w:val="0"/>
                <w:sz w:val="24"/>
                <w:szCs w:val="24"/>
                <w:u w:val="none" w:color="auto"/>
                <w:lang w:val="en-US" w:eastAsia="zh-CN" w:bidi="ar"/>
              </w:rPr>
              <w:t>影响范围：入河排污口上游500m、下游</w:t>
            </w:r>
            <w:r>
              <w:rPr>
                <w:rFonts w:hint="eastAsia" w:ascii="Times New Roman" w:hAnsi="Times New Roman" w:cs="Times New Roman"/>
                <w:color w:val="auto"/>
                <w:kern w:val="0"/>
                <w:sz w:val="24"/>
                <w:szCs w:val="24"/>
                <w:u w:val="none" w:color="auto"/>
                <w:lang w:val="en-US" w:eastAsia="zh-CN" w:bidi="ar"/>
              </w:rPr>
              <w:t>15</w:t>
            </w:r>
            <w:r>
              <w:rPr>
                <w:rFonts w:hint="default" w:ascii="Times New Roman" w:hAnsi="Times New Roman" w:eastAsia="宋体" w:cs="Times New Roman"/>
                <w:color w:val="auto"/>
                <w:kern w:val="0"/>
                <w:sz w:val="24"/>
                <w:szCs w:val="24"/>
                <w:u w:val="none" w:color="auto"/>
                <w:lang w:val="en-US" w:eastAsia="zh-CN" w:bidi="ar"/>
              </w:rPr>
              <w:t>00m</w:t>
            </w:r>
            <w:r>
              <w:rPr>
                <w:rFonts w:hint="eastAsia" w:ascii="Times New Roman" w:hAnsi="Times New Roman" w:eastAsia="宋体" w:cs="Times New Roman"/>
                <w:color w:val="auto"/>
                <w:kern w:val="0"/>
                <w:sz w:val="24"/>
                <w:szCs w:val="24"/>
                <w:u w:val="none" w:color="auto"/>
                <w:lang w:val="en-US" w:eastAsia="zh-CN" w:bidi="ar"/>
              </w:rPr>
              <w:t>。</w:t>
            </w:r>
          </w:p>
          <w:p w14:paraId="388969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color w:val="000000"/>
                <w:kern w:val="0"/>
                <w:sz w:val="24"/>
                <w:szCs w:val="24"/>
                <w:u w:val="none" w:color="auto"/>
                <w:lang w:val="en-US" w:eastAsia="zh-CN" w:bidi="ar"/>
              </w:rPr>
            </w:pPr>
            <w:r>
              <w:rPr>
                <w:rFonts w:hint="eastAsia" w:ascii="Times New Roman" w:hAnsi="Times New Roman" w:eastAsia="宋体" w:cs="Times New Roman"/>
                <w:sz w:val="24"/>
                <w:szCs w:val="24"/>
                <w:u w:val="none" w:color="auto"/>
                <w:lang w:val="en-US" w:eastAsia="zh-CN"/>
              </w:rPr>
              <w:t>（</w:t>
            </w:r>
            <w:r>
              <w:rPr>
                <w:rFonts w:hint="eastAsia" w:ascii="Times New Roman" w:hAnsi="Times New Roman" w:cs="Times New Roman"/>
                <w:sz w:val="24"/>
                <w:szCs w:val="24"/>
                <w:u w:val="none" w:color="auto"/>
                <w:lang w:val="en-US" w:eastAsia="zh-CN"/>
              </w:rPr>
              <w:t>7</w:t>
            </w:r>
            <w:r>
              <w:rPr>
                <w:rFonts w:hint="eastAsia" w:ascii="Times New Roman" w:hAnsi="Times New Roman" w:eastAsia="宋体" w:cs="Times New Roman"/>
                <w:sz w:val="24"/>
                <w:szCs w:val="24"/>
                <w:u w:val="none" w:color="auto"/>
                <w:lang w:val="en-US" w:eastAsia="zh-CN"/>
              </w:rPr>
              <w:t>）</w:t>
            </w:r>
            <w:r>
              <w:rPr>
                <w:rFonts w:hint="default" w:ascii="Times New Roman" w:hAnsi="Times New Roman" w:eastAsia="宋体" w:cs="Times New Roman"/>
                <w:color w:val="000000"/>
                <w:kern w:val="0"/>
                <w:sz w:val="24"/>
                <w:szCs w:val="24"/>
                <w:u w:val="none" w:color="auto"/>
                <w:lang w:val="en-US" w:eastAsia="zh-CN" w:bidi="ar"/>
              </w:rPr>
              <w:t>排放的污水量：</w:t>
            </w:r>
            <w:r>
              <w:rPr>
                <w:rFonts w:hint="eastAsia" w:cs="Times New Roman"/>
                <w:color w:val="000000"/>
                <w:kern w:val="0"/>
                <w:sz w:val="24"/>
                <w:szCs w:val="24"/>
                <w:u w:val="none" w:color="auto"/>
                <w:lang w:val="en-US" w:eastAsia="zh-CN" w:bidi="ar"/>
              </w:rPr>
              <w:t>3724.45t</w:t>
            </w:r>
            <w:r>
              <w:rPr>
                <w:rFonts w:hint="default" w:ascii="Times New Roman" w:hAnsi="Times New Roman" w:eastAsia="宋体" w:cs="Times New Roman"/>
                <w:color w:val="000000"/>
                <w:kern w:val="0"/>
                <w:sz w:val="24"/>
                <w:szCs w:val="24"/>
                <w:u w:val="none" w:color="auto"/>
                <w:lang w:val="en-US" w:eastAsia="zh-CN" w:bidi="ar"/>
              </w:rPr>
              <w:t>/a</w:t>
            </w:r>
            <w:r>
              <w:rPr>
                <w:rFonts w:hint="eastAsia" w:ascii="Times New Roman" w:hAnsi="Times New Roman" w:eastAsia="宋体" w:cs="Times New Roman"/>
                <w:color w:val="000000"/>
                <w:kern w:val="0"/>
                <w:sz w:val="24"/>
                <w:szCs w:val="24"/>
                <w:u w:val="none" w:color="auto"/>
                <w:lang w:val="en-US" w:eastAsia="zh-CN" w:bidi="ar"/>
              </w:rPr>
              <w:t>。</w:t>
            </w:r>
          </w:p>
          <w:p w14:paraId="7AF92397">
            <w:pPr>
              <w:pStyle w:val="6"/>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u w:val="none" w:color="auto"/>
                <w:lang w:val="en-US" w:eastAsia="zh-CN"/>
              </w:rPr>
            </w:pPr>
            <w:r>
              <w:rPr>
                <w:rFonts w:hint="eastAsia" w:ascii="Times New Roman" w:hAnsi="Times New Roman" w:eastAsia="宋体" w:cs="Times New Roman"/>
                <w:kern w:val="2"/>
                <w:sz w:val="24"/>
                <w:szCs w:val="24"/>
                <w:u w:val="none" w:color="auto"/>
                <w:lang w:val="en-US" w:eastAsia="zh-CN" w:bidi="ar-SA"/>
              </w:rPr>
              <w:t>（8）污水处理设计规模：</w:t>
            </w:r>
            <w:r>
              <w:rPr>
                <w:rFonts w:hint="eastAsia" w:cs="Times New Roman"/>
                <w:kern w:val="2"/>
                <w:sz w:val="24"/>
                <w:szCs w:val="24"/>
                <w:u w:val="none" w:color="auto"/>
                <w:lang w:val="en-US" w:eastAsia="zh-CN" w:bidi="ar-SA"/>
              </w:rPr>
              <w:t>30</w:t>
            </w:r>
            <w:r>
              <w:rPr>
                <w:rFonts w:hint="default" w:cs="Times New Roman"/>
                <w:color w:val="000000"/>
                <w:kern w:val="0"/>
                <w:sz w:val="24"/>
                <w:szCs w:val="24"/>
                <w:u w:val="none" w:color="auto"/>
                <w:lang w:val="en-US" w:eastAsia="zh-CN" w:bidi="ar"/>
              </w:rPr>
              <w:t>t/</w:t>
            </w:r>
            <w:r>
              <w:rPr>
                <w:rFonts w:hint="eastAsia" w:ascii="Times New Roman" w:hAnsi="Times New Roman" w:eastAsia="宋体" w:cs="Times New Roman"/>
                <w:color w:val="000000"/>
                <w:kern w:val="0"/>
                <w:sz w:val="24"/>
                <w:szCs w:val="24"/>
                <w:u w:val="none" w:color="auto"/>
                <w:lang w:val="en-US" w:eastAsia="zh-CN" w:bidi="ar"/>
              </w:rPr>
              <w:t>d。</w:t>
            </w:r>
          </w:p>
          <w:p w14:paraId="6CCB2CC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6.2、对水功能区（水域）水质和生态的影响 </w:t>
            </w:r>
          </w:p>
          <w:p w14:paraId="68B3EE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（1）对水功能区（水域）水质的影响分析 </w:t>
            </w:r>
          </w:p>
          <w:p w14:paraId="65824E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本项目入河排污口</w:t>
            </w:r>
            <w:r>
              <w:rPr>
                <w:rFonts w:hint="eastAsia" w:ascii="Times New Roman" w:hAnsi="Times New Roman" w:cs="Times New Roman"/>
                <w:color w:val="auto"/>
                <w:kern w:val="0"/>
                <w:sz w:val="24"/>
                <w:szCs w:val="24"/>
                <w:u w:val="none" w:color="auto"/>
                <w:lang w:val="en-US" w:eastAsia="zh-CN" w:bidi="ar"/>
              </w:rPr>
              <w:t>北侧</w:t>
            </w:r>
            <w:r>
              <w:rPr>
                <w:rFonts w:hint="eastAsia" w:ascii="Times New Roman" w:hAnsi="Times New Roman" w:eastAsia="宋体" w:cs="Times New Roman"/>
                <w:color w:val="auto"/>
                <w:kern w:val="0"/>
                <w:sz w:val="24"/>
                <w:szCs w:val="24"/>
                <w:u w:val="none" w:color="auto"/>
                <w:lang w:val="en-US" w:eastAsia="zh-CN" w:bidi="ar"/>
              </w:rPr>
              <w:t>洣水达到地表水</w:t>
            </w:r>
            <w:r>
              <w:rPr>
                <w:rFonts w:hint="default" w:ascii="Times New Roman" w:hAnsi="Times New Roman" w:eastAsia="宋体" w:cs="Times New Roman"/>
                <w:color w:val="000000"/>
                <w:kern w:val="0"/>
                <w:sz w:val="24"/>
                <w:szCs w:val="24"/>
                <w:u w:val="none" w:color="auto"/>
                <w:lang w:val="en-US" w:eastAsia="zh-CN" w:bidi="ar"/>
              </w:rPr>
              <w:t>III</w:t>
            </w:r>
            <w:r>
              <w:rPr>
                <w:rFonts w:hint="eastAsia" w:ascii="Times New Roman" w:hAnsi="Times New Roman" w:eastAsia="宋体" w:cs="Times New Roman"/>
                <w:color w:val="auto"/>
                <w:kern w:val="0"/>
                <w:sz w:val="24"/>
                <w:szCs w:val="24"/>
                <w:u w:val="none" w:color="auto"/>
                <w:lang w:val="en-US" w:eastAsia="zh-CN" w:bidi="ar"/>
              </w:rPr>
              <w:t>水质标准。</w:t>
            </w:r>
            <w:r>
              <w:rPr>
                <w:rFonts w:hint="default" w:ascii="Times New Roman" w:hAnsi="Times New Roman" w:eastAsia="宋体" w:cs="Times New Roman"/>
                <w:color w:val="000000"/>
                <w:kern w:val="0"/>
                <w:sz w:val="24"/>
                <w:szCs w:val="24"/>
                <w:u w:val="none" w:color="auto"/>
                <w:lang w:val="en-US" w:eastAsia="zh-CN" w:bidi="ar"/>
              </w:rPr>
              <w:t>对</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xml:space="preserve">的影响较小。因此，本项目入河排污口设置不会对水功能区产生不利影响。 </w:t>
            </w:r>
          </w:p>
          <w:p w14:paraId="5584DA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 xml:space="preserve">（2）对水生态的影响分析 </w:t>
            </w:r>
          </w:p>
          <w:p w14:paraId="28164C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经过论证分析计算可知，正常的排污状况情况下</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xml:space="preserve">水质类别不会发生改变，不会对该河段部分生物群落结构和生物量产生明显影响；在非正常排放情况下，影响范围相对正常排放有所增大，但仍未超标，不会对该河段水生生物群落产生明显不利影响；排污口附近水生生物种群结构会发生一定变化，如清水种减少，耐污种增加。因此，该排污口设置不会对水生生物群落和水生态环境产生明显的不利影响。 </w:t>
            </w:r>
          </w:p>
          <w:p w14:paraId="6D30AA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该河段不属于鱼类产卵场，考虑到排污影响范围有限，不会对鱼类产卵和肥育产生明显不利影响</w:t>
            </w:r>
            <w:r>
              <w:rPr>
                <w:rFonts w:hint="eastAsia" w:ascii="Times New Roman" w:hAnsi="Times New Roman" w:cs="Times New Roman"/>
                <w:color w:val="000000"/>
                <w:kern w:val="0"/>
                <w:sz w:val="24"/>
                <w:szCs w:val="24"/>
                <w:u w:val="none" w:color="auto"/>
                <w:lang w:val="en-US" w:eastAsia="zh-CN" w:bidi="ar"/>
              </w:rPr>
              <w:t>。</w:t>
            </w:r>
          </w:p>
          <w:p w14:paraId="276415F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6.3、对第三者权益的影响 </w:t>
            </w:r>
          </w:p>
          <w:p w14:paraId="5E3810D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left"/>
              <w:textAlignment w:val="auto"/>
              <w:outlineLvl w:val="9"/>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auto"/>
                <w:kern w:val="0"/>
                <w:sz w:val="24"/>
                <w:szCs w:val="24"/>
                <w:u w:val="none" w:color="auto"/>
                <w:lang w:val="en-US" w:eastAsia="zh-CN" w:bidi="ar"/>
              </w:rPr>
              <w:t>经报告分析，</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现状水质</w:t>
            </w:r>
            <w:r>
              <w:rPr>
                <w:rFonts w:hint="eastAsia" w:ascii="Times New Roman" w:hAnsi="Times New Roman" w:eastAsia="宋体" w:cs="Times New Roman"/>
                <w:color w:val="auto"/>
                <w:kern w:val="0"/>
                <w:sz w:val="24"/>
                <w:szCs w:val="24"/>
                <w:u w:val="none" w:color="auto"/>
                <w:lang w:val="en-US" w:eastAsia="zh-CN" w:bidi="ar"/>
              </w:rPr>
              <w:t>分别</w:t>
            </w:r>
            <w:r>
              <w:rPr>
                <w:rFonts w:hint="default" w:ascii="Times New Roman" w:hAnsi="Times New Roman" w:eastAsia="宋体" w:cs="Times New Roman"/>
                <w:color w:val="auto"/>
                <w:kern w:val="0"/>
                <w:sz w:val="24"/>
                <w:szCs w:val="24"/>
                <w:u w:val="none" w:color="auto"/>
                <w:lang w:val="en-US" w:eastAsia="zh-CN" w:bidi="ar"/>
              </w:rPr>
              <w:t>满足</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类，本项目入河排污口设置对</w:t>
            </w:r>
            <w:r>
              <w:rPr>
                <w:rFonts w:hint="eastAsia" w:ascii="Times New Roman" w:hAnsi="Times New Roman" w:eastAsia="宋体" w:cs="Times New Roman"/>
                <w:color w:val="auto"/>
                <w:kern w:val="0"/>
                <w:sz w:val="24"/>
                <w:szCs w:val="24"/>
                <w:u w:val="none" w:color="auto"/>
                <w:lang w:val="en-US" w:eastAsia="zh-CN" w:bidi="ar"/>
              </w:rPr>
              <w:t>洣水影响范围内水质达到了</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w:t>
            </w: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不会对</w:t>
            </w:r>
            <w:r>
              <w:rPr>
                <w:rFonts w:hint="eastAsia" w:ascii="Times New Roman" w:hAnsi="Times New Roman" w:cs="Times New Roman"/>
                <w:color w:val="auto"/>
                <w:kern w:val="0"/>
                <w:sz w:val="24"/>
                <w:szCs w:val="24"/>
                <w:u w:val="none" w:color="auto"/>
                <w:lang w:val="en-US" w:eastAsia="zh-CN" w:bidi="ar"/>
              </w:rPr>
              <w:t>洣水</w:t>
            </w:r>
            <w:r>
              <w:rPr>
                <w:rFonts w:hint="default" w:ascii="Times New Roman" w:hAnsi="Times New Roman" w:eastAsia="宋体" w:cs="Times New Roman"/>
                <w:color w:val="auto"/>
                <w:kern w:val="0"/>
                <w:sz w:val="24"/>
                <w:szCs w:val="24"/>
                <w:u w:val="none" w:color="auto"/>
                <w:lang w:val="en-US" w:eastAsia="zh-CN" w:bidi="ar"/>
              </w:rPr>
              <w:t>水质产生明显影响。因此，本项目污水处理工程入河排污口设置对第三者不会产生较大的不利影响，与第三者的需求不发生矛盾。</w:t>
            </w:r>
          </w:p>
          <w:p w14:paraId="3FB8D83F">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6.4、入河排污口排污前污水处理措施及其效果 </w:t>
            </w:r>
          </w:p>
          <w:p w14:paraId="48ABC4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本项目</w:t>
            </w:r>
            <w:r>
              <w:rPr>
                <w:rFonts w:hint="eastAsia" w:ascii="Times New Roman" w:hAnsi="Times New Roman" w:eastAsia="宋体" w:cs="Times New Roman"/>
                <w:color w:val="000000"/>
                <w:kern w:val="0"/>
                <w:sz w:val="24"/>
                <w:szCs w:val="24"/>
                <w:u w:val="none" w:color="auto"/>
                <w:lang w:val="en-US" w:eastAsia="zh-CN" w:bidi="ar"/>
              </w:rPr>
              <w:t>采用(隔栅池+调节池+AO生物接触氧化池+二沉池+活性氧消毒)，（二氧化氯消毒装置备用）。</w:t>
            </w:r>
            <w:r>
              <w:rPr>
                <w:rFonts w:hint="default" w:ascii="Times New Roman" w:hAnsi="Times New Roman" w:eastAsia="宋体" w:cs="Times New Roman"/>
                <w:color w:val="000000"/>
                <w:kern w:val="0"/>
                <w:sz w:val="24"/>
                <w:szCs w:val="24"/>
                <w:u w:val="none" w:color="auto"/>
                <w:lang w:val="en-US" w:eastAsia="zh-CN" w:bidi="ar"/>
              </w:rPr>
              <w:t xml:space="preserve">处理工艺属于《排污许可证申请与核发技术规范医疗机构》（HJ1105-2020）可行技术，且对出水水质保证度可靠，抗水量水质冲击能力强，处理流程较简单，维护管理简单，占地面积小，运行能耗低，因此该污水处理工艺可行。 </w:t>
            </w:r>
          </w:p>
          <w:p w14:paraId="11A5613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default" w:ascii="Times New Roman" w:hAnsi="Times New Roman" w:eastAsia="宋体" w:cs="Times New Roman"/>
                <w:b/>
                <w:bCs/>
                <w:snapToGrid w:val="0"/>
                <w:sz w:val="24"/>
                <w:szCs w:val="24"/>
                <w:u w:val="none" w:color="auto"/>
                <w:vertAlign w:val="baseline"/>
                <w:lang w:val="en-US" w:eastAsia="zh-CN"/>
              </w:rPr>
              <w:t xml:space="preserve">6.5、入河排污口设置论证综合结论 </w:t>
            </w:r>
          </w:p>
          <w:p w14:paraId="45A7BAAD">
            <w:pPr>
              <w:pStyle w:val="48"/>
              <w:numPr>
                <w:ilvl w:val="0"/>
                <w:numId w:val="0"/>
              </w:numPr>
              <w:spacing w:beforeLines="0"/>
              <w:ind w:firstLine="480" w:firstLineChars="200"/>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highlight w:val="none"/>
                <w:u w:val="none" w:color="auto"/>
                <w:lang w:eastAsia="zh-CN"/>
              </w:rPr>
              <w:t>根据国家发展和改革委员会颁布的《产业结构调整指导目录（</w:t>
            </w:r>
            <w:r>
              <w:rPr>
                <w:rFonts w:hint="eastAsia" w:cs="Times New Roman"/>
                <w:highlight w:val="none"/>
                <w:u w:val="none" w:color="auto"/>
                <w:lang w:val="en-US" w:eastAsia="zh-CN"/>
              </w:rPr>
              <w:t>2024</w:t>
            </w:r>
            <w:r>
              <w:rPr>
                <w:rFonts w:hint="default" w:ascii="Times New Roman" w:hAnsi="Times New Roman" w:eastAsia="宋体" w:cs="Times New Roman"/>
                <w:highlight w:val="none"/>
                <w:u w:val="none" w:color="auto"/>
                <w:lang w:eastAsia="zh-CN"/>
              </w:rPr>
              <w:t>年本）》，</w:t>
            </w:r>
            <w:r>
              <w:rPr>
                <w:rFonts w:hint="eastAsia" w:ascii="Times New Roman" w:hAnsi="Times New Roman" w:eastAsia="宋体" w:cs="Times New Roman"/>
                <w:highlight w:val="none"/>
                <w:u w:val="none" w:color="auto"/>
                <w:lang w:eastAsia="zh-CN"/>
              </w:rPr>
              <w:t>本</w:t>
            </w:r>
            <w:r>
              <w:rPr>
                <w:rFonts w:hint="eastAsia" w:ascii="Times New Roman" w:hAnsi="Times New Roman" w:eastAsia="宋体" w:cs="Times New Roman"/>
                <w:highlight w:val="none"/>
                <w:u w:val="none" w:color="auto"/>
                <w:lang w:val="en-US" w:eastAsia="zh-CN"/>
              </w:rPr>
              <w:t>项目属于</w:t>
            </w:r>
            <w:r>
              <w:rPr>
                <w:rFonts w:hint="default" w:ascii="Times New Roman" w:hAnsi="Times New Roman" w:eastAsia="宋体" w:cs="Times New Roman"/>
                <w:highlight w:val="none"/>
                <w:u w:val="none" w:color="auto"/>
                <w:lang w:val="en-US" w:eastAsia="zh-CN"/>
              </w:rPr>
              <w:t>第一类鼓励类</w:t>
            </w:r>
            <w:r>
              <w:rPr>
                <w:rFonts w:hint="eastAsia" w:ascii="Times New Roman" w:hAnsi="Times New Roman" w:eastAsia="宋体" w:cs="Times New Roman"/>
                <w:highlight w:val="none"/>
                <w:u w:val="none" w:color="auto"/>
                <w:lang w:val="en-US" w:eastAsia="zh-CN"/>
              </w:rPr>
              <w:t>“</w:t>
            </w:r>
            <w:r>
              <w:rPr>
                <w:rFonts w:hint="default" w:ascii="Times New Roman" w:hAnsi="Times New Roman" w:eastAsia="宋体" w:cs="Times New Roman"/>
                <w:highlight w:val="none"/>
                <w:u w:val="none" w:color="auto"/>
                <w:lang w:val="en-US" w:eastAsia="zh-CN"/>
              </w:rPr>
              <w:t>三十七</w:t>
            </w:r>
            <w:r>
              <w:rPr>
                <w:rFonts w:hint="eastAsia" w:ascii="Times New Roman" w:hAnsi="Times New Roman" w:eastAsia="宋体" w:cs="Times New Roman"/>
                <w:highlight w:val="none"/>
                <w:u w:val="none" w:color="auto"/>
                <w:lang w:val="en-US" w:eastAsia="zh-CN"/>
              </w:rPr>
              <w:t>、</w:t>
            </w:r>
            <w:r>
              <w:rPr>
                <w:rFonts w:hint="default" w:ascii="Times New Roman" w:hAnsi="Times New Roman" w:eastAsia="宋体" w:cs="Times New Roman"/>
                <w:highlight w:val="none"/>
                <w:u w:val="none" w:color="auto"/>
                <w:lang w:val="en-US" w:eastAsia="zh-CN"/>
              </w:rPr>
              <w:t>卫生健康</w:t>
            </w:r>
            <w:r>
              <w:rPr>
                <w:rFonts w:hint="eastAsia" w:ascii="Times New Roman" w:hAnsi="Times New Roman" w:eastAsia="宋体" w:cs="Times New Roman"/>
                <w:highlight w:val="none"/>
                <w:u w:val="none" w:color="auto"/>
                <w:lang w:val="en-US" w:eastAsia="zh-CN"/>
              </w:rPr>
              <w:t>-5、</w:t>
            </w:r>
            <w:r>
              <w:rPr>
                <w:rFonts w:hint="default" w:ascii="Times New Roman" w:hAnsi="Times New Roman" w:eastAsia="宋体" w:cs="Times New Roman"/>
                <w:highlight w:val="none"/>
                <w:u w:val="none" w:color="auto"/>
                <w:lang w:val="en-US" w:eastAsia="zh-CN"/>
              </w:rPr>
              <w:t>医疗卫生服务设施建设</w:t>
            </w:r>
            <w:r>
              <w:rPr>
                <w:rFonts w:hint="eastAsia" w:ascii="Times New Roman" w:hAnsi="Times New Roman" w:eastAsia="宋体" w:cs="Times New Roman"/>
                <w:highlight w:val="none"/>
                <w:u w:val="none" w:color="auto"/>
                <w:lang w:val="en-US" w:eastAsia="zh-CN"/>
              </w:rPr>
              <w:t>”，且生产工艺、设备等均不属于其中的限制类和淘汰类。因此，本项目</w:t>
            </w:r>
            <w:r>
              <w:rPr>
                <w:rFonts w:hint="default" w:ascii="Times New Roman" w:hAnsi="Times New Roman" w:eastAsia="宋体" w:cs="Times New Roman"/>
                <w:color w:val="000000"/>
                <w:kern w:val="0"/>
                <w:sz w:val="24"/>
                <w:szCs w:val="24"/>
                <w:u w:val="none" w:color="auto"/>
                <w:lang w:val="en-US" w:eastAsia="zh-CN" w:bidi="ar"/>
              </w:rPr>
              <w:t xml:space="preserve">符合国家法律法规和相关政策、符合国家和行业有关技术标准，符合水功能区管理要求、符合流域或区域的综合规划。 </w:t>
            </w:r>
          </w:p>
          <w:p w14:paraId="39BF4E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项</w:t>
            </w:r>
            <w:r>
              <w:rPr>
                <w:rFonts w:hint="default" w:ascii="Times New Roman" w:hAnsi="Times New Roman" w:eastAsia="宋体" w:cs="Times New Roman"/>
                <w:color w:val="auto"/>
                <w:kern w:val="0"/>
                <w:sz w:val="24"/>
                <w:szCs w:val="24"/>
                <w:u w:val="none" w:color="auto"/>
                <w:lang w:val="en-US" w:eastAsia="zh-CN" w:bidi="ar"/>
              </w:rPr>
              <w:t>目受纳水体</w:t>
            </w:r>
            <w:r>
              <w:rPr>
                <w:rFonts w:hint="eastAsia" w:ascii="Times New Roman" w:hAnsi="Times New Roman" w:cs="Times New Roman"/>
                <w:color w:val="auto"/>
                <w:kern w:val="0"/>
                <w:sz w:val="24"/>
                <w:szCs w:val="24"/>
                <w:u w:val="none" w:color="auto"/>
                <w:lang w:val="en-US" w:eastAsia="zh-CN" w:bidi="ar"/>
              </w:rPr>
              <w:t>北侧洣水</w:t>
            </w:r>
            <w:r>
              <w:rPr>
                <w:rFonts w:hint="default" w:ascii="Times New Roman" w:hAnsi="Times New Roman" w:eastAsia="宋体" w:cs="Times New Roman"/>
                <w:color w:val="auto"/>
                <w:kern w:val="0"/>
                <w:sz w:val="24"/>
                <w:szCs w:val="24"/>
                <w:u w:val="none" w:color="auto"/>
                <w:lang w:val="en-US" w:eastAsia="zh-CN" w:bidi="ar"/>
              </w:rPr>
              <w:t>水质管理目标为</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类，现状水质为</w:t>
            </w:r>
            <w:r>
              <w:rPr>
                <w:rFonts w:hint="default" w:ascii="Times New Roman" w:hAnsi="Times New Roman" w:eastAsia="宋体" w:cs="Times New Roman"/>
                <w:color w:val="000000"/>
                <w:kern w:val="0"/>
                <w:sz w:val="24"/>
                <w:szCs w:val="24"/>
                <w:u w:val="none" w:color="auto"/>
                <w:lang w:val="en-US" w:eastAsia="zh-CN" w:bidi="ar"/>
              </w:rPr>
              <w:t>III</w:t>
            </w:r>
            <w:r>
              <w:rPr>
                <w:rFonts w:hint="default" w:ascii="Times New Roman" w:hAnsi="Times New Roman" w:eastAsia="宋体" w:cs="Times New Roman"/>
                <w:color w:val="auto"/>
                <w:kern w:val="0"/>
                <w:sz w:val="24"/>
                <w:szCs w:val="24"/>
                <w:u w:val="none" w:color="auto"/>
                <w:lang w:val="en-US" w:eastAsia="zh-CN" w:bidi="ar"/>
              </w:rPr>
              <w:t>类。出水水质满足《医疗机构水污染物排放标准》</w:t>
            </w:r>
            <w:r>
              <w:rPr>
                <w:rFonts w:hint="eastAsia"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GB18466-2005</w:t>
            </w:r>
            <w:r>
              <w:rPr>
                <w:rFonts w:hint="eastAsia" w:ascii="Times New Roman" w:hAnsi="Times New Roman"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 xml:space="preserve">排放标准限值。 </w:t>
            </w:r>
          </w:p>
          <w:p w14:paraId="50493A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根据《湖南省人民政府办公厅关于印发</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湖南省入河排污口监督管理办法</w:t>
            </w:r>
            <w:r>
              <w:rPr>
                <w:rFonts w:hint="eastAsia" w:cs="Times New Roman"/>
                <w:color w:val="000000"/>
                <w:kern w:val="0"/>
                <w:sz w:val="24"/>
                <w:szCs w:val="24"/>
                <w:u w:val="none" w:color="auto"/>
                <w:lang w:val="en-US" w:eastAsia="zh-CN" w:bidi="ar"/>
              </w:rPr>
              <w:t>〉</w:t>
            </w:r>
            <w:r>
              <w:rPr>
                <w:rFonts w:hint="default" w:ascii="Times New Roman" w:hAnsi="Times New Roman" w:eastAsia="宋体" w:cs="Times New Roman"/>
                <w:color w:val="000000"/>
                <w:kern w:val="0"/>
                <w:sz w:val="24"/>
                <w:szCs w:val="24"/>
                <w:u w:val="none" w:color="auto"/>
                <w:lang w:val="en-US" w:eastAsia="zh-CN" w:bidi="ar"/>
              </w:rPr>
              <w:t xml:space="preserve">的通知》（湘政办发【2018】44 号）第十五条中不予同意设置入河排污口的情形，本项 </w:t>
            </w:r>
          </w:p>
          <w:p w14:paraId="567925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目拟建入河排污口与其对比情况见下表：</w:t>
            </w:r>
          </w:p>
          <w:p w14:paraId="59F92DDF">
            <w:pPr>
              <w:adjustRightInd w:val="0"/>
              <w:snapToGrid w:val="0"/>
              <w:spacing w:line="240" w:lineRule="auto"/>
              <w:jc w:val="center"/>
              <w:rPr>
                <w:rFonts w:hint="default" w:ascii="Times New Roman" w:hAnsi="Times New Roman" w:cs="Times New Roman"/>
                <w:b/>
                <w:bCs/>
                <w:sz w:val="21"/>
                <w:szCs w:val="21"/>
                <w:u w:val="none" w:color="auto"/>
              </w:rPr>
            </w:pPr>
          </w:p>
          <w:p w14:paraId="0E6CAC80">
            <w:pPr>
              <w:adjustRightInd w:val="0"/>
              <w:snapToGrid w:val="0"/>
              <w:spacing w:line="240" w:lineRule="auto"/>
              <w:jc w:val="center"/>
              <w:rPr>
                <w:rFonts w:hint="default" w:ascii="Times New Roman" w:hAnsi="Times New Roman" w:eastAsia="宋体" w:cs="Times New Roman"/>
                <w:u w:val="none" w:color="auto"/>
                <w:lang w:val="en-US" w:eastAsia="zh-CN"/>
              </w:rPr>
            </w:pPr>
            <w:r>
              <w:rPr>
                <w:rFonts w:hint="default" w:ascii="Times New Roman" w:hAnsi="Times New Roman" w:cs="Times New Roman"/>
                <w:b/>
                <w:bCs/>
                <w:sz w:val="21"/>
                <w:szCs w:val="21"/>
                <w:u w:val="none" w:color="auto"/>
              </w:rPr>
              <w:t>表</w:t>
            </w:r>
            <w:r>
              <w:rPr>
                <w:rFonts w:hint="default" w:ascii="Times New Roman" w:hAnsi="Times New Roman" w:cs="Times New Roman"/>
                <w:b/>
                <w:bCs/>
                <w:sz w:val="21"/>
                <w:szCs w:val="21"/>
                <w:u w:val="none" w:color="auto"/>
                <w:lang w:val="en-US" w:eastAsia="zh-CN"/>
              </w:rPr>
              <w:t>5-9</w:t>
            </w:r>
            <w:r>
              <w:rPr>
                <w:rFonts w:hint="default" w:ascii="Times New Roman" w:hAnsi="Times New Roman" w:cs="Times New Roman"/>
                <w:b/>
                <w:bCs/>
                <w:sz w:val="21"/>
                <w:szCs w:val="21"/>
                <w:u w:val="none" w:color="auto"/>
              </w:rPr>
              <w:t xml:space="preserve"> </w:t>
            </w:r>
            <w:r>
              <w:rPr>
                <w:rFonts w:hint="default" w:ascii="Times New Roman" w:hAnsi="Times New Roman" w:cs="Times New Roman"/>
                <w:b/>
                <w:bCs/>
                <w:sz w:val="21"/>
                <w:szCs w:val="21"/>
                <w:u w:val="none" w:color="auto"/>
                <w:lang w:val="en-US" w:eastAsia="zh-CN"/>
              </w:rPr>
              <w:t>本项目与湘政办发</w:t>
            </w:r>
            <w:r>
              <w:rPr>
                <w:rFonts w:hint="eastAsia" w:ascii="Times New Roman" w:hAnsi="Times New Roman" w:cs="Times New Roman"/>
                <w:b/>
                <w:bCs/>
                <w:sz w:val="21"/>
                <w:szCs w:val="21"/>
                <w:u w:val="none" w:color="auto"/>
                <w:lang w:val="en-US" w:eastAsia="zh-CN"/>
              </w:rPr>
              <w:t>〔</w:t>
            </w:r>
            <w:r>
              <w:rPr>
                <w:rFonts w:hint="default" w:ascii="Times New Roman" w:hAnsi="Times New Roman" w:cs="Times New Roman"/>
                <w:b/>
                <w:bCs/>
                <w:sz w:val="21"/>
                <w:szCs w:val="21"/>
                <w:u w:val="none" w:color="auto"/>
                <w:lang w:val="en-US" w:eastAsia="zh-CN"/>
              </w:rPr>
              <w:t>2018</w:t>
            </w:r>
            <w:r>
              <w:rPr>
                <w:rFonts w:hint="eastAsia" w:ascii="Times New Roman" w:hAnsi="Times New Roman" w:cs="Times New Roman"/>
                <w:b/>
                <w:bCs/>
                <w:sz w:val="21"/>
                <w:szCs w:val="21"/>
                <w:u w:val="none" w:color="auto"/>
                <w:lang w:val="en-US" w:eastAsia="zh-CN"/>
              </w:rPr>
              <w:t>〕</w:t>
            </w:r>
            <w:r>
              <w:rPr>
                <w:rFonts w:hint="default" w:ascii="Times New Roman" w:hAnsi="Times New Roman" w:cs="Times New Roman"/>
                <w:b/>
                <w:bCs/>
                <w:sz w:val="21"/>
                <w:szCs w:val="21"/>
                <w:u w:val="none" w:color="auto"/>
                <w:lang w:val="en-US" w:eastAsia="zh-CN"/>
              </w:rPr>
              <w:t>44号中不予同意情形对比分析</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57" w:type="dxa"/>
                <w:bottom w:w="28" w:type="dxa"/>
                <w:right w:w="57" w:type="dxa"/>
              </w:tblCellMar>
            </w:tblPr>
            <w:tblGrid>
              <w:gridCol w:w="605"/>
              <w:gridCol w:w="2364"/>
              <w:gridCol w:w="4316"/>
              <w:gridCol w:w="991"/>
            </w:tblGrid>
            <w:tr w14:paraId="27865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28DCCAC1">
                  <w:pPr>
                    <w:pStyle w:val="24"/>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序号</w:t>
                  </w:r>
                </w:p>
              </w:tc>
              <w:tc>
                <w:tcPr>
                  <w:tcW w:w="2514" w:type="dxa"/>
                  <w:tcBorders>
                    <w:tl2br w:val="nil"/>
                    <w:tr2bl w:val="nil"/>
                  </w:tcBorders>
                  <w:noWrap w:val="0"/>
                  <w:vAlign w:val="center"/>
                </w:tcPr>
                <w:p w14:paraId="41B6B4D4">
                  <w:pPr>
                    <w:pStyle w:val="24"/>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不予同意入河排污口设置申请有情形</w:t>
                  </w:r>
                </w:p>
              </w:tc>
              <w:tc>
                <w:tcPr>
                  <w:tcW w:w="4626" w:type="dxa"/>
                  <w:tcBorders>
                    <w:tl2br w:val="nil"/>
                    <w:tr2bl w:val="nil"/>
                  </w:tcBorders>
                  <w:noWrap w:val="0"/>
                  <w:vAlign w:val="center"/>
                </w:tcPr>
                <w:p w14:paraId="3F94489B">
                  <w:pPr>
                    <w:pStyle w:val="24"/>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本项目建设情况</w:t>
                  </w:r>
                </w:p>
              </w:tc>
              <w:tc>
                <w:tcPr>
                  <w:tcW w:w="1046" w:type="dxa"/>
                  <w:tcBorders>
                    <w:tl2br w:val="nil"/>
                    <w:tr2bl w:val="nil"/>
                  </w:tcBorders>
                  <w:noWrap w:val="0"/>
                  <w:vAlign w:val="center"/>
                </w:tcPr>
                <w:p w14:paraId="64E5B679">
                  <w:pPr>
                    <w:pStyle w:val="24"/>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none" w:color="auto"/>
                      <w:lang w:val="en-US" w:eastAsia="zh-CN"/>
                    </w:rPr>
                  </w:pPr>
                  <w:r>
                    <w:rPr>
                      <w:rFonts w:hint="default" w:ascii="Times New Roman" w:hAnsi="Times New Roman" w:cs="Times New Roman"/>
                      <w:b/>
                      <w:bCs/>
                      <w:color w:val="000000"/>
                      <w:u w:val="none" w:color="auto"/>
                      <w:lang w:val="en-US" w:eastAsia="zh-CN"/>
                    </w:rPr>
                    <w:t>对比结果</w:t>
                  </w:r>
                </w:p>
              </w:tc>
            </w:tr>
            <w:tr w14:paraId="007E2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537EF5E4">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1</w:t>
                  </w:r>
                </w:p>
              </w:tc>
              <w:tc>
                <w:tcPr>
                  <w:tcW w:w="2514" w:type="dxa"/>
                  <w:tcBorders>
                    <w:tl2br w:val="nil"/>
                    <w:tr2bl w:val="nil"/>
                  </w:tcBorders>
                  <w:noWrap w:val="0"/>
                  <w:vAlign w:val="center"/>
                </w:tcPr>
                <w:p w14:paraId="61DD2B68">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饮用水水源一级、二级保护区内</w:t>
                  </w:r>
                </w:p>
              </w:tc>
              <w:tc>
                <w:tcPr>
                  <w:tcW w:w="4626" w:type="dxa"/>
                  <w:tcBorders>
                    <w:tl2br w:val="nil"/>
                    <w:tr2bl w:val="nil"/>
                  </w:tcBorders>
                  <w:noWrap w:val="0"/>
                  <w:vAlign w:val="center"/>
                </w:tcPr>
                <w:p w14:paraId="4F04B591">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论证范围不涉及饮用水水源保护区</w:t>
                  </w:r>
                </w:p>
              </w:tc>
              <w:tc>
                <w:tcPr>
                  <w:tcW w:w="1046" w:type="dxa"/>
                  <w:tcBorders>
                    <w:tl2br w:val="nil"/>
                    <w:tr2bl w:val="nil"/>
                  </w:tcBorders>
                  <w:noWrap w:val="0"/>
                  <w:vAlign w:val="center"/>
                </w:tcPr>
                <w:p w14:paraId="35224E2C">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2207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5E527B02">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2</w:t>
                  </w:r>
                </w:p>
              </w:tc>
              <w:tc>
                <w:tcPr>
                  <w:tcW w:w="2514" w:type="dxa"/>
                  <w:tcBorders>
                    <w:tl2br w:val="nil"/>
                    <w:tr2bl w:val="nil"/>
                  </w:tcBorders>
                  <w:noWrap w:val="0"/>
                  <w:vAlign w:val="center"/>
                </w:tcPr>
                <w:p w14:paraId="74733B05">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自然保护区核心区、缓冲区内</w:t>
                  </w:r>
                </w:p>
              </w:tc>
              <w:tc>
                <w:tcPr>
                  <w:tcW w:w="4626" w:type="dxa"/>
                  <w:tcBorders>
                    <w:tl2br w:val="nil"/>
                    <w:tr2bl w:val="nil"/>
                  </w:tcBorders>
                  <w:noWrap w:val="0"/>
                  <w:vAlign w:val="center"/>
                </w:tcPr>
                <w:p w14:paraId="37A3AE15">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论证范围不涉及自然保护区</w:t>
                  </w:r>
                </w:p>
              </w:tc>
              <w:tc>
                <w:tcPr>
                  <w:tcW w:w="1046" w:type="dxa"/>
                  <w:tcBorders>
                    <w:tl2br w:val="nil"/>
                    <w:tr2bl w:val="nil"/>
                  </w:tcBorders>
                  <w:noWrap w:val="0"/>
                  <w:vAlign w:val="center"/>
                </w:tcPr>
                <w:p w14:paraId="3B087991">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3B1CA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4F3021AE">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3</w:t>
                  </w:r>
                </w:p>
              </w:tc>
              <w:tc>
                <w:tcPr>
                  <w:tcW w:w="2514" w:type="dxa"/>
                  <w:tcBorders>
                    <w:tl2br w:val="nil"/>
                    <w:tr2bl w:val="nil"/>
                  </w:tcBorders>
                  <w:noWrap w:val="0"/>
                  <w:vAlign w:val="center"/>
                </w:tcPr>
                <w:p w14:paraId="7C57A11F">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水产种质资源保护区内</w:t>
                  </w:r>
                </w:p>
              </w:tc>
              <w:tc>
                <w:tcPr>
                  <w:tcW w:w="4626" w:type="dxa"/>
                  <w:tcBorders>
                    <w:tl2br w:val="nil"/>
                    <w:tr2bl w:val="nil"/>
                  </w:tcBorders>
                  <w:noWrap w:val="0"/>
                  <w:vAlign w:val="center"/>
                </w:tcPr>
                <w:p w14:paraId="4733A8A9">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论证范围内无水产种质资源保护区</w:t>
                  </w:r>
                </w:p>
              </w:tc>
              <w:tc>
                <w:tcPr>
                  <w:tcW w:w="1046" w:type="dxa"/>
                  <w:tcBorders>
                    <w:tl2br w:val="nil"/>
                    <w:tr2bl w:val="nil"/>
                  </w:tcBorders>
                  <w:noWrap w:val="0"/>
                  <w:vAlign w:val="center"/>
                </w:tcPr>
                <w:p w14:paraId="47346E5E">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1DB0D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7C5D1F97">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4</w:t>
                  </w:r>
                </w:p>
              </w:tc>
              <w:tc>
                <w:tcPr>
                  <w:tcW w:w="2514" w:type="dxa"/>
                  <w:tcBorders>
                    <w:tl2br w:val="nil"/>
                    <w:tr2bl w:val="nil"/>
                  </w:tcBorders>
                  <w:noWrap w:val="0"/>
                  <w:vAlign w:val="center"/>
                </w:tcPr>
                <w:p w14:paraId="1886B0EE">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省级以上湿地公园保育区、恢复重建区内</w:t>
                  </w:r>
                </w:p>
              </w:tc>
              <w:tc>
                <w:tcPr>
                  <w:tcW w:w="4626" w:type="dxa"/>
                  <w:tcBorders>
                    <w:tl2br w:val="nil"/>
                    <w:tr2bl w:val="nil"/>
                  </w:tcBorders>
                  <w:noWrap w:val="0"/>
                  <w:vAlign w:val="center"/>
                </w:tcPr>
                <w:p w14:paraId="116D8CC5">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论证范围内不涉及省级以上湿地公园</w:t>
                  </w:r>
                </w:p>
              </w:tc>
              <w:tc>
                <w:tcPr>
                  <w:tcW w:w="1046" w:type="dxa"/>
                  <w:tcBorders>
                    <w:tl2br w:val="nil"/>
                    <w:tr2bl w:val="nil"/>
                  </w:tcBorders>
                  <w:noWrap w:val="0"/>
                  <w:vAlign w:val="center"/>
                </w:tcPr>
                <w:p w14:paraId="5C11B78E">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2EA8F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57986D22">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5</w:t>
                  </w:r>
                </w:p>
              </w:tc>
              <w:tc>
                <w:tcPr>
                  <w:tcW w:w="2514" w:type="dxa"/>
                  <w:tcBorders>
                    <w:tl2br w:val="nil"/>
                    <w:tr2bl w:val="nil"/>
                  </w:tcBorders>
                  <w:noWrap w:val="0"/>
                  <w:vAlign w:val="center"/>
                </w:tcPr>
                <w:p w14:paraId="669B18DC">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能够由污水系统接纳但拒不接入的</w:t>
                  </w:r>
                </w:p>
              </w:tc>
              <w:tc>
                <w:tcPr>
                  <w:tcW w:w="4626" w:type="dxa"/>
                  <w:tcBorders>
                    <w:tl2br w:val="nil"/>
                    <w:tr2bl w:val="nil"/>
                  </w:tcBorders>
                  <w:noWrap w:val="0"/>
                  <w:vAlign w:val="center"/>
                </w:tcPr>
                <w:p w14:paraId="290139E2">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本项目不在污水处理站纳污范围内</w:t>
                  </w:r>
                </w:p>
              </w:tc>
              <w:tc>
                <w:tcPr>
                  <w:tcW w:w="1046" w:type="dxa"/>
                  <w:tcBorders>
                    <w:tl2br w:val="nil"/>
                    <w:tr2bl w:val="nil"/>
                  </w:tcBorders>
                  <w:noWrap w:val="0"/>
                  <w:vAlign w:val="center"/>
                </w:tcPr>
                <w:p w14:paraId="4DB7B03B">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不涉及</w:t>
                  </w:r>
                </w:p>
              </w:tc>
            </w:tr>
            <w:tr w14:paraId="18FB6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07096CB1">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rPr>
                  </w:pPr>
                </w:p>
                <w:p w14:paraId="37604249">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6</w:t>
                  </w:r>
                </w:p>
              </w:tc>
              <w:tc>
                <w:tcPr>
                  <w:tcW w:w="2514" w:type="dxa"/>
                  <w:tcBorders>
                    <w:tl2br w:val="nil"/>
                    <w:tr2bl w:val="nil"/>
                  </w:tcBorders>
                  <w:noWrap w:val="0"/>
                  <w:vAlign w:val="center"/>
                </w:tcPr>
                <w:p w14:paraId="7D5EC07D">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经论证不符合设置要求的</w:t>
                  </w:r>
                </w:p>
              </w:tc>
              <w:tc>
                <w:tcPr>
                  <w:tcW w:w="4626" w:type="dxa"/>
                  <w:tcBorders>
                    <w:tl2br w:val="nil"/>
                    <w:tr2bl w:val="nil"/>
                  </w:tcBorders>
                  <w:noWrap w:val="0"/>
                  <w:vAlign w:val="center"/>
                </w:tcPr>
                <w:p w14:paraId="11B261D9">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从对水功能区水质和生态影响、对第三者权益影响等因素，论证本项目拟建入河排污口符合设置要求</w:t>
                  </w:r>
                </w:p>
              </w:tc>
              <w:tc>
                <w:tcPr>
                  <w:tcW w:w="1046" w:type="dxa"/>
                  <w:tcBorders>
                    <w:tl2br w:val="nil"/>
                    <w:tr2bl w:val="nil"/>
                  </w:tcBorders>
                  <w:noWrap w:val="0"/>
                  <w:vAlign w:val="center"/>
                </w:tcPr>
                <w:p w14:paraId="13EA410B">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rPr>
                  </w:pPr>
                </w:p>
                <w:p w14:paraId="7DC1CCBD">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不涉及</w:t>
                  </w:r>
                </w:p>
              </w:tc>
            </w:tr>
            <w:tr w14:paraId="612C4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17B53194">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7</w:t>
                  </w:r>
                </w:p>
              </w:tc>
              <w:tc>
                <w:tcPr>
                  <w:tcW w:w="2514" w:type="dxa"/>
                  <w:tcBorders>
                    <w:tl2br w:val="nil"/>
                    <w:tr2bl w:val="nil"/>
                  </w:tcBorders>
                  <w:noWrap w:val="0"/>
                  <w:vAlign w:val="center"/>
                </w:tcPr>
                <w:p w14:paraId="7BBBFB51">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设置可能使水域水质达不到水功能区要求的</w:t>
                  </w:r>
                </w:p>
              </w:tc>
              <w:tc>
                <w:tcPr>
                  <w:tcW w:w="4626" w:type="dxa"/>
                  <w:tcBorders>
                    <w:tl2br w:val="nil"/>
                    <w:tr2bl w:val="nil"/>
                  </w:tcBorders>
                  <w:noWrap w:val="0"/>
                  <w:vAlign w:val="center"/>
                </w:tcPr>
                <w:p w14:paraId="31854924">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拟建入河排污口设置后，水质仍满足水功能要求</w:t>
                  </w:r>
                </w:p>
              </w:tc>
              <w:tc>
                <w:tcPr>
                  <w:tcW w:w="1046" w:type="dxa"/>
                  <w:tcBorders>
                    <w:tl2br w:val="nil"/>
                    <w:tr2bl w:val="nil"/>
                  </w:tcBorders>
                  <w:noWrap w:val="0"/>
                  <w:vAlign w:val="center"/>
                </w:tcPr>
                <w:p w14:paraId="32E05092">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不涉及</w:t>
                  </w:r>
                </w:p>
              </w:tc>
            </w:tr>
            <w:tr w14:paraId="4450C8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14:paraId="0646F2A5">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8</w:t>
                  </w:r>
                </w:p>
              </w:tc>
              <w:tc>
                <w:tcPr>
                  <w:tcW w:w="2514" w:type="dxa"/>
                  <w:tcBorders>
                    <w:tl2br w:val="nil"/>
                    <w:tr2bl w:val="nil"/>
                  </w:tcBorders>
                  <w:noWrap w:val="0"/>
                  <w:vAlign w:val="center"/>
                </w:tcPr>
                <w:p w14:paraId="3194D5AB">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其他不符合</w:t>
                  </w:r>
                  <w:r>
                    <w:rPr>
                      <w:rFonts w:hint="eastAsia" w:cs="Times New Roman"/>
                      <w:u w:val="none" w:color="auto"/>
                      <w:lang w:eastAsia="zh-CN"/>
                    </w:rPr>
                    <w:t>法律法规</w:t>
                  </w:r>
                  <w:r>
                    <w:rPr>
                      <w:rFonts w:hint="default" w:ascii="Times New Roman" w:hAnsi="Times New Roman" w:cs="Times New Roman"/>
                      <w:u w:val="none" w:color="auto"/>
                    </w:rPr>
                    <w:t>以及国家和地方有关规定的</w:t>
                  </w:r>
                </w:p>
              </w:tc>
              <w:tc>
                <w:tcPr>
                  <w:tcW w:w="4626" w:type="dxa"/>
                  <w:tcBorders>
                    <w:tl2br w:val="nil"/>
                    <w:tr2bl w:val="nil"/>
                  </w:tcBorders>
                  <w:noWrap w:val="0"/>
                  <w:vAlign w:val="center"/>
                </w:tcPr>
                <w:p w14:paraId="6945D6C3">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本项目符合相关法律法规规定</w:t>
                  </w:r>
                </w:p>
              </w:tc>
              <w:tc>
                <w:tcPr>
                  <w:tcW w:w="1046" w:type="dxa"/>
                  <w:tcBorders>
                    <w:tl2br w:val="nil"/>
                    <w:tr2bl w:val="nil"/>
                  </w:tcBorders>
                  <w:noWrap w:val="0"/>
                  <w:vAlign w:val="center"/>
                </w:tcPr>
                <w:p w14:paraId="53D7B370">
                  <w:pPr>
                    <w:pStyle w:val="24"/>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none" w:color="auto"/>
                      <w:lang w:val="en-US" w:eastAsia="zh-CN"/>
                    </w:rPr>
                  </w:pPr>
                  <w:r>
                    <w:rPr>
                      <w:rFonts w:hint="default" w:ascii="Times New Roman" w:hAnsi="Times New Roman" w:cs="Times New Roman"/>
                      <w:u w:val="none" w:color="auto"/>
                    </w:rPr>
                    <w:t>不涉及</w:t>
                  </w:r>
                </w:p>
              </w:tc>
            </w:tr>
          </w:tbl>
          <w:p w14:paraId="5366CB6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7、</w:t>
            </w:r>
            <w:r>
              <w:rPr>
                <w:rFonts w:hint="default" w:ascii="Times New Roman" w:hAnsi="Times New Roman" w:eastAsia="宋体" w:cs="Times New Roman"/>
                <w:b/>
                <w:bCs/>
                <w:snapToGrid w:val="0"/>
                <w:sz w:val="24"/>
                <w:szCs w:val="24"/>
                <w:u w:val="none" w:color="auto"/>
                <w:vertAlign w:val="baseline"/>
                <w:lang w:val="en-US" w:eastAsia="zh-CN"/>
              </w:rPr>
              <w:t>入河排污口监测</w:t>
            </w:r>
          </w:p>
          <w:p w14:paraId="3F1D1A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为确保本项目出水水质安全稳定地达到相关标准限值，防止突发水污染事故， 必须对污水处理设施的进出水水质进行跟踪监测，制定并实施污水排放监测计划。 企业应将日常环境监测工作委托有监测资质的检测单位承担，并协助监测单位取样。本项目入河排污口入河方式为排放至</w:t>
            </w:r>
            <w:r>
              <w:rPr>
                <w:rFonts w:hint="eastAsia" w:ascii="Times New Roman" w:hAnsi="Times New Roman" w:cs="Times New Roman"/>
                <w:color w:val="000000"/>
                <w:kern w:val="0"/>
                <w:sz w:val="24"/>
                <w:szCs w:val="24"/>
                <w:u w:val="none" w:color="auto"/>
                <w:lang w:val="en-US" w:eastAsia="zh-CN" w:bidi="ar"/>
              </w:rPr>
              <w:t>洣水</w:t>
            </w:r>
            <w:r>
              <w:rPr>
                <w:rFonts w:hint="default" w:ascii="Times New Roman" w:hAnsi="Times New Roman" w:eastAsia="宋体" w:cs="Times New Roman"/>
                <w:color w:val="000000"/>
                <w:kern w:val="0"/>
                <w:sz w:val="24"/>
                <w:szCs w:val="24"/>
                <w:u w:val="none" w:color="auto"/>
                <w:lang w:val="en-US" w:eastAsia="zh-CN" w:bidi="ar"/>
              </w:rPr>
              <w:t>， 因此入河排污口监测计划和企业污染源监测计划保持一致，可采用污染源监测结果作为入河排污口监测结果，具体监测计划见下表。</w:t>
            </w:r>
          </w:p>
          <w:p w14:paraId="64932E82">
            <w:pPr>
              <w:keepNext w:val="0"/>
              <w:keepLines w:val="0"/>
              <w:pageBreakBefore w:val="0"/>
              <w:widowControl w:val="0"/>
              <w:tabs>
                <w:tab w:val="left" w:pos="473"/>
              </w:tabs>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cs="Times New Roman"/>
                <w:color w:val="000000"/>
                <w:kern w:val="0"/>
                <w:sz w:val="24"/>
                <w:szCs w:val="24"/>
                <w:u w:val="none" w:color="auto"/>
                <w:lang w:val="en-US" w:eastAsia="zh-CN" w:bidi="ar"/>
              </w:rPr>
            </w:pPr>
            <w:r>
              <w:rPr>
                <w:rFonts w:hint="default" w:ascii="Times New Roman" w:hAnsi="Times New Roman" w:cs="Times New Roman"/>
                <w:b/>
                <w:bCs/>
                <w:color w:val="000000"/>
                <w:sz w:val="21"/>
                <w:szCs w:val="21"/>
                <w:u w:val="none" w:color="auto"/>
              </w:rPr>
              <w:t>表</w:t>
            </w:r>
            <w:r>
              <w:rPr>
                <w:rFonts w:hint="default" w:ascii="Times New Roman" w:hAnsi="Times New Roman" w:cs="Times New Roman"/>
                <w:b/>
                <w:bCs/>
                <w:color w:val="000000"/>
                <w:sz w:val="21"/>
                <w:szCs w:val="21"/>
                <w:u w:val="none" w:color="auto"/>
                <w:lang w:val="en-US" w:eastAsia="zh-CN"/>
              </w:rPr>
              <w:t>5-10  入河排污口监测计划</w:t>
            </w:r>
          </w:p>
          <w:tbl>
            <w:tblPr>
              <w:tblStyle w:val="17"/>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57" w:type="dxa"/>
                <w:bottom w:w="28" w:type="dxa"/>
                <w:right w:w="57" w:type="dxa"/>
              </w:tblCellMar>
            </w:tblPr>
            <w:tblGrid>
              <w:gridCol w:w="1374"/>
              <w:gridCol w:w="3718"/>
              <w:gridCol w:w="1355"/>
              <w:gridCol w:w="1829"/>
            </w:tblGrid>
            <w:tr w14:paraId="54794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tcBorders>
                    <w:tl2br w:val="nil"/>
                    <w:tr2bl w:val="nil"/>
                  </w:tcBorders>
                  <w:noWrap w:val="0"/>
                  <w:vAlign w:val="center"/>
                </w:tcPr>
                <w:p w14:paraId="532D7752">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监测点位</w:t>
                  </w:r>
                </w:p>
              </w:tc>
              <w:tc>
                <w:tcPr>
                  <w:tcW w:w="3570" w:type="dxa"/>
                  <w:tcBorders>
                    <w:tl2br w:val="nil"/>
                    <w:tr2bl w:val="nil"/>
                  </w:tcBorders>
                  <w:noWrap w:val="0"/>
                  <w:vAlign w:val="center"/>
                </w:tcPr>
                <w:p w14:paraId="718D68BD">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监测因子</w:t>
                  </w:r>
                </w:p>
              </w:tc>
              <w:tc>
                <w:tcPr>
                  <w:tcW w:w="1301" w:type="dxa"/>
                  <w:tcBorders>
                    <w:tl2br w:val="nil"/>
                    <w:tr2bl w:val="nil"/>
                  </w:tcBorders>
                  <w:noWrap w:val="0"/>
                  <w:vAlign w:val="center"/>
                </w:tcPr>
                <w:p w14:paraId="3F1E23A2">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监测频次</w:t>
                  </w:r>
                </w:p>
              </w:tc>
              <w:tc>
                <w:tcPr>
                  <w:tcW w:w="1756" w:type="dxa"/>
                  <w:tcBorders>
                    <w:tl2br w:val="nil"/>
                    <w:tr2bl w:val="nil"/>
                  </w:tcBorders>
                  <w:noWrap w:val="0"/>
                  <w:vAlign w:val="center"/>
                </w:tcPr>
                <w:p w14:paraId="5500DF7C">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执行标准</w:t>
                  </w:r>
                </w:p>
              </w:tc>
            </w:tr>
            <w:tr w14:paraId="72C01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restart"/>
                  <w:tcBorders>
                    <w:tl2br w:val="nil"/>
                    <w:tr2bl w:val="nil"/>
                  </w:tcBorders>
                  <w:noWrap w:val="0"/>
                  <w:vAlign w:val="center"/>
                </w:tcPr>
                <w:p w14:paraId="14DD0C46">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废水总排口</w:t>
                  </w:r>
                </w:p>
              </w:tc>
              <w:tc>
                <w:tcPr>
                  <w:tcW w:w="3570" w:type="dxa"/>
                  <w:tcBorders>
                    <w:tl2br w:val="nil"/>
                    <w:tr2bl w:val="nil"/>
                  </w:tcBorders>
                  <w:noWrap w:val="0"/>
                  <w:vAlign w:val="center"/>
                </w:tcPr>
                <w:p w14:paraId="1AD7CAF4">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pH、</w:t>
                  </w:r>
                  <w:r>
                    <w:rPr>
                      <w:rFonts w:hint="default" w:ascii="Times New Roman" w:hAnsi="Times New Roman" w:eastAsia="宋体" w:cs="Times New Roman"/>
                      <w:sz w:val="21"/>
                      <w:szCs w:val="21"/>
                      <w:highlight w:val="none"/>
                      <w:u w:val="none" w:color="auto"/>
                      <w:lang w:val="en-US" w:eastAsia="zh-CN"/>
                    </w:rPr>
                    <w:t>总余</w:t>
                  </w:r>
                  <w:r>
                    <w:rPr>
                      <w:rFonts w:hint="eastAsia" w:cs="Times New Roman"/>
                      <w:sz w:val="21"/>
                      <w:szCs w:val="21"/>
                      <w:highlight w:val="none"/>
                      <w:u w:val="none" w:color="auto"/>
                      <w:lang w:val="en-US" w:eastAsia="zh-CN"/>
                    </w:rPr>
                    <w:t>氧</w:t>
                  </w:r>
                </w:p>
              </w:tc>
              <w:tc>
                <w:tcPr>
                  <w:tcW w:w="1301" w:type="dxa"/>
                  <w:tcBorders>
                    <w:tl2br w:val="nil"/>
                    <w:tr2bl w:val="nil"/>
                  </w:tcBorders>
                  <w:noWrap w:val="0"/>
                  <w:vAlign w:val="center"/>
                </w:tcPr>
                <w:p w14:paraId="4A46359E">
                  <w:pPr>
                    <w:pStyle w:val="24"/>
                    <w:bidi w:val="0"/>
                    <w:jc w:val="center"/>
                    <w:rPr>
                      <w:rFonts w:hint="default" w:ascii="Times New Roman" w:hAnsi="Times New Roman" w:cs="Times New Roman"/>
                      <w:u w:val="none" w:color="auto"/>
                      <w:lang w:val="en-US" w:eastAsia="zh-CN"/>
                    </w:rPr>
                  </w:pPr>
                  <w:r>
                    <w:rPr>
                      <w:rFonts w:hint="eastAsia" w:cs="Times New Roman"/>
                      <w:u w:val="none" w:color="auto"/>
                      <w:lang w:val="en-US" w:eastAsia="zh-CN"/>
                    </w:rPr>
                    <w:t>1</w:t>
                  </w:r>
                  <w:r>
                    <w:rPr>
                      <w:rFonts w:hint="default" w:ascii="Times New Roman" w:hAnsi="Times New Roman" w:cs="Times New Roman"/>
                      <w:u w:val="none" w:color="auto"/>
                      <w:lang w:val="en-US" w:eastAsia="zh-CN"/>
                    </w:rPr>
                    <w:t>次/</w:t>
                  </w:r>
                  <w:r>
                    <w:rPr>
                      <w:rFonts w:hint="eastAsia" w:cs="Times New Roman"/>
                      <w:u w:val="none" w:color="auto"/>
                      <w:lang w:val="en-US" w:eastAsia="zh-CN"/>
                    </w:rPr>
                    <w:t>年</w:t>
                  </w:r>
                </w:p>
              </w:tc>
              <w:tc>
                <w:tcPr>
                  <w:tcW w:w="1756" w:type="dxa"/>
                  <w:vMerge w:val="restart"/>
                  <w:tcBorders>
                    <w:tl2br w:val="nil"/>
                    <w:tr2bl w:val="nil"/>
                  </w:tcBorders>
                  <w:noWrap w:val="0"/>
                  <w:vAlign w:val="center"/>
                </w:tcPr>
                <w:p w14:paraId="0B8FAC02">
                  <w:pPr>
                    <w:pStyle w:val="24"/>
                    <w:bidi w:val="0"/>
                    <w:jc w:val="center"/>
                    <w:rPr>
                      <w:rFonts w:hint="default" w:ascii="Times New Roman" w:hAnsi="Times New Roman" w:cs="Times New Roman"/>
                      <w:u w:val="none" w:color="auto"/>
                      <w:lang w:val="en-US" w:eastAsia="zh-CN"/>
                    </w:rPr>
                  </w:pPr>
                  <w:r>
                    <w:rPr>
                      <w:rFonts w:hint="default" w:ascii="Times New Roman" w:hAnsi="Times New Roman" w:eastAsia="宋体" w:cs="Times New Roman"/>
                      <w:color w:val="000000"/>
                      <w:kern w:val="0"/>
                      <w:sz w:val="21"/>
                      <w:szCs w:val="21"/>
                      <w:u w:val="none" w:color="auto"/>
                      <w:lang w:val="en-US" w:eastAsia="zh-CN" w:bidi="ar"/>
                    </w:rPr>
                    <w:t>《医疗机构水污染物排放标准》GB18466-2005）表 2 中排放标准</w:t>
                  </w:r>
                </w:p>
              </w:tc>
            </w:tr>
            <w:tr w14:paraId="726C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continue"/>
                  <w:tcBorders>
                    <w:tl2br w:val="nil"/>
                    <w:tr2bl w:val="nil"/>
                  </w:tcBorders>
                  <w:noWrap w:val="0"/>
                  <w:vAlign w:val="center"/>
                </w:tcPr>
                <w:p w14:paraId="3D8ACF40">
                  <w:pPr>
                    <w:pStyle w:val="24"/>
                    <w:bidi w:val="0"/>
                    <w:jc w:val="center"/>
                    <w:rPr>
                      <w:rFonts w:hint="default" w:ascii="Times New Roman" w:hAnsi="Times New Roman" w:cs="Times New Roman"/>
                      <w:u w:val="none" w:color="auto"/>
                      <w:lang w:val="en-US" w:eastAsia="zh-CN"/>
                    </w:rPr>
                  </w:pPr>
                </w:p>
              </w:tc>
              <w:tc>
                <w:tcPr>
                  <w:tcW w:w="3570" w:type="dxa"/>
                  <w:tcBorders>
                    <w:tl2br w:val="nil"/>
                    <w:tr2bl w:val="nil"/>
                  </w:tcBorders>
                  <w:noWrap w:val="0"/>
                  <w:vAlign w:val="center"/>
                </w:tcPr>
                <w:p w14:paraId="3E94FE59">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COD、SS</w:t>
                  </w:r>
                </w:p>
              </w:tc>
              <w:tc>
                <w:tcPr>
                  <w:tcW w:w="1301" w:type="dxa"/>
                  <w:tcBorders>
                    <w:tl2br w:val="nil"/>
                    <w:tr2bl w:val="nil"/>
                  </w:tcBorders>
                  <w:noWrap w:val="0"/>
                  <w:vAlign w:val="center"/>
                </w:tcPr>
                <w:p w14:paraId="76EC6C78">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1次/</w:t>
                  </w:r>
                  <w:r>
                    <w:rPr>
                      <w:rFonts w:hint="eastAsia" w:cs="Times New Roman"/>
                      <w:u w:val="none" w:color="auto"/>
                      <w:lang w:val="en-US" w:eastAsia="zh-CN"/>
                    </w:rPr>
                    <w:t>年</w:t>
                  </w:r>
                </w:p>
              </w:tc>
              <w:tc>
                <w:tcPr>
                  <w:tcW w:w="1756" w:type="dxa"/>
                  <w:vMerge w:val="continue"/>
                  <w:tcBorders>
                    <w:tl2br w:val="nil"/>
                    <w:tr2bl w:val="nil"/>
                  </w:tcBorders>
                  <w:noWrap w:val="0"/>
                  <w:vAlign w:val="center"/>
                </w:tcPr>
                <w:p w14:paraId="1FAB8EE5">
                  <w:pPr>
                    <w:pStyle w:val="24"/>
                    <w:bidi w:val="0"/>
                    <w:jc w:val="center"/>
                    <w:rPr>
                      <w:rFonts w:hint="default" w:ascii="Times New Roman" w:hAnsi="Times New Roman" w:cs="Times New Roman"/>
                      <w:u w:val="none" w:color="auto"/>
                      <w:lang w:val="en-US" w:eastAsia="zh-CN"/>
                    </w:rPr>
                  </w:pPr>
                </w:p>
              </w:tc>
            </w:tr>
            <w:tr w14:paraId="1B63F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continue"/>
                  <w:tcBorders>
                    <w:tl2br w:val="nil"/>
                    <w:tr2bl w:val="nil"/>
                  </w:tcBorders>
                  <w:noWrap w:val="0"/>
                  <w:vAlign w:val="center"/>
                </w:tcPr>
                <w:p w14:paraId="1E0765B5">
                  <w:pPr>
                    <w:pStyle w:val="24"/>
                    <w:bidi w:val="0"/>
                    <w:jc w:val="center"/>
                    <w:rPr>
                      <w:rFonts w:hint="default" w:ascii="Times New Roman" w:hAnsi="Times New Roman" w:cs="Times New Roman"/>
                      <w:u w:val="none" w:color="auto"/>
                      <w:lang w:val="en-US" w:eastAsia="zh-CN"/>
                    </w:rPr>
                  </w:pPr>
                </w:p>
              </w:tc>
              <w:tc>
                <w:tcPr>
                  <w:tcW w:w="3570" w:type="dxa"/>
                  <w:tcBorders>
                    <w:tl2br w:val="nil"/>
                    <w:tr2bl w:val="nil"/>
                  </w:tcBorders>
                  <w:noWrap w:val="0"/>
                  <w:vAlign w:val="center"/>
                </w:tcPr>
                <w:p w14:paraId="5F582255">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粪大肠菌群数</w:t>
                  </w:r>
                </w:p>
              </w:tc>
              <w:tc>
                <w:tcPr>
                  <w:tcW w:w="1301" w:type="dxa"/>
                  <w:tcBorders>
                    <w:tl2br w:val="nil"/>
                    <w:tr2bl w:val="nil"/>
                  </w:tcBorders>
                  <w:noWrap w:val="0"/>
                  <w:vAlign w:val="center"/>
                </w:tcPr>
                <w:p w14:paraId="12B4B2B4">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1次/</w:t>
                  </w:r>
                  <w:r>
                    <w:rPr>
                      <w:rFonts w:hint="eastAsia" w:cs="Times New Roman"/>
                      <w:u w:val="none" w:color="auto"/>
                      <w:lang w:val="en-US" w:eastAsia="zh-CN"/>
                    </w:rPr>
                    <w:t>年</w:t>
                  </w:r>
                </w:p>
              </w:tc>
              <w:tc>
                <w:tcPr>
                  <w:tcW w:w="1756" w:type="dxa"/>
                  <w:vMerge w:val="continue"/>
                  <w:tcBorders>
                    <w:tl2br w:val="nil"/>
                    <w:tr2bl w:val="nil"/>
                  </w:tcBorders>
                  <w:noWrap w:val="0"/>
                  <w:vAlign w:val="center"/>
                </w:tcPr>
                <w:p w14:paraId="7CE68092">
                  <w:pPr>
                    <w:pStyle w:val="24"/>
                    <w:bidi w:val="0"/>
                    <w:jc w:val="center"/>
                    <w:rPr>
                      <w:rFonts w:hint="default" w:ascii="Times New Roman" w:hAnsi="Times New Roman" w:cs="Times New Roman"/>
                      <w:u w:val="none" w:color="auto"/>
                      <w:lang w:val="en-US" w:eastAsia="zh-CN"/>
                    </w:rPr>
                  </w:pPr>
                </w:p>
              </w:tc>
            </w:tr>
            <w:tr w14:paraId="4BD87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continue"/>
                  <w:tcBorders>
                    <w:tl2br w:val="nil"/>
                    <w:tr2bl w:val="nil"/>
                  </w:tcBorders>
                  <w:noWrap w:val="0"/>
                  <w:vAlign w:val="center"/>
                </w:tcPr>
                <w:p w14:paraId="32508AE5">
                  <w:pPr>
                    <w:pStyle w:val="24"/>
                    <w:bidi w:val="0"/>
                    <w:jc w:val="center"/>
                    <w:rPr>
                      <w:rFonts w:hint="default" w:ascii="Times New Roman" w:hAnsi="Times New Roman" w:cs="Times New Roman"/>
                      <w:u w:val="none" w:color="auto"/>
                      <w:lang w:val="en-US" w:eastAsia="zh-CN"/>
                    </w:rPr>
                  </w:pPr>
                </w:p>
              </w:tc>
              <w:tc>
                <w:tcPr>
                  <w:tcW w:w="3570" w:type="dxa"/>
                  <w:tcBorders>
                    <w:tl2br w:val="nil"/>
                    <w:tr2bl w:val="nil"/>
                  </w:tcBorders>
                  <w:noWrap w:val="0"/>
                  <w:vAlign w:val="center"/>
                </w:tcPr>
                <w:p w14:paraId="64A17F78">
                  <w:pPr>
                    <w:pStyle w:val="24"/>
                    <w:bidi w:val="0"/>
                    <w:jc w:val="center"/>
                    <w:rPr>
                      <w:rFonts w:hint="default" w:ascii="Times New Roman" w:hAnsi="Times New Roman" w:cs="Times New Roman"/>
                      <w:u w:val="none" w:color="auto"/>
                      <w:lang w:val="en-US" w:eastAsia="zh-CN"/>
                    </w:rPr>
                  </w:pPr>
                  <w:r>
                    <w:rPr>
                      <w:rFonts w:hint="default" w:ascii="Times New Roman" w:hAnsi="Times New Roman" w:eastAsia="宋体" w:cs="Times New Roman"/>
                      <w:sz w:val="21"/>
                      <w:szCs w:val="21"/>
                      <w:highlight w:val="none"/>
                      <w:u w:val="none" w:color="auto"/>
                      <w:lang w:val="en-US" w:eastAsia="zh-CN"/>
                    </w:rPr>
                    <w:t>NH</w:t>
                  </w:r>
                  <w:r>
                    <w:rPr>
                      <w:rFonts w:hint="default" w:ascii="Times New Roman" w:hAnsi="Times New Roman" w:eastAsia="宋体" w:cs="Times New Roman"/>
                      <w:sz w:val="21"/>
                      <w:szCs w:val="21"/>
                      <w:highlight w:val="none"/>
                      <w:u w:val="none" w:color="auto"/>
                      <w:vertAlign w:val="subscript"/>
                      <w:lang w:val="en-US" w:eastAsia="zh-CN"/>
                    </w:rPr>
                    <w:t>3</w:t>
                  </w:r>
                  <w:r>
                    <w:rPr>
                      <w:rFonts w:hint="default" w:ascii="Times New Roman" w:hAnsi="Times New Roman" w:eastAsia="宋体" w:cs="Times New Roman"/>
                      <w:sz w:val="21"/>
                      <w:szCs w:val="21"/>
                      <w:highlight w:val="none"/>
                      <w:u w:val="none" w:color="auto"/>
                      <w:lang w:val="en-US" w:eastAsia="zh-CN"/>
                    </w:rPr>
                    <w:t>-N、BOD</w:t>
                  </w:r>
                  <w:r>
                    <w:rPr>
                      <w:rFonts w:hint="default" w:ascii="Times New Roman" w:hAnsi="Times New Roman" w:eastAsia="宋体" w:cs="Times New Roman"/>
                      <w:sz w:val="21"/>
                      <w:szCs w:val="21"/>
                      <w:highlight w:val="none"/>
                      <w:u w:val="none" w:color="auto"/>
                      <w:vertAlign w:val="subscript"/>
                      <w:lang w:val="en-US" w:eastAsia="zh-CN"/>
                    </w:rPr>
                    <w:t>5</w:t>
                  </w:r>
                  <w:r>
                    <w:rPr>
                      <w:rFonts w:hint="default" w:ascii="Times New Roman" w:hAnsi="Times New Roman" w:eastAsia="宋体" w:cs="Times New Roman"/>
                      <w:sz w:val="21"/>
                      <w:szCs w:val="21"/>
                      <w:highlight w:val="none"/>
                      <w:u w:val="none" w:color="auto"/>
                      <w:lang w:val="en-US" w:eastAsia="zh-CN"/>
                    </w:rPr>
                    <w:t>、动植物油、石油类、阴离子表面活性剂、挥发酚、色度</w:t>
                  </w:r>
                </w:p>
              </w:tc>
              <w:tc>
                <w:tcPr>
                  <w:tcW w:w="1301" w:type="dxa"/>
                  <w:tcBorders>
                    <w:tl2br w:val="nil"/>
                    <w:tr2bl w:val="nil"/>
                  </w:tcBorders>
                  <w:noWrap w:val="0"/>
                  <w:vAlign w:val="center"/>
                </w:tcPr>
                <w:p w14:paraId="42034151">
                  <w:pPr>
                    <w:pStyle w:val="24"/>
                    <w:bidi w:val="0"/>
                    <w:jc w:val="center"/>
                    <w:rPr>
                      <w:rFonts w:hint="default" w:ascii="Times New Roman" w:hAnsi="Times New Roman" w:cs="Times New Roman"/>
                      <w:u w:val="none" w:color="auto"/>
                      <w:lang w:val="en-US" w:eastAsia="zh-CN"/>
                    </w:rPr>
                  </w:pPr>
                  <w:r>
                    <w:rPr>
                      <w:rFonts w:hint="default" w:ascii="Times New Roman" w:hAnsi="Times New Roman" w:cs="Times New Roman"/>
                      <w:u w:val="none" w:color="auto"/>
                      <w:lang w:val="en-US" w:eastAsia="zh-CN"/>
                    </w:rPr>
                    <w:t>1次/</w:t>
                  </w:r>
                  <w:r>
                    <w:rPr>
                      <w:rFonts w:hint="eastAsia" w:cs="Times New Roman"/>
                      <w:u w:val="none" w:color="auto"/>
                      <w:lang w:val="en-US" w:eastAsia="zh-CN"/>
                    </w:rPr>
                    <w:t>年</w:t>
                  </w:r>
                </w:p>
              </w:tc>
              <w:tc>
                <w:tcPr>
                  <w:tcW w:w="1756" w:type="dxa"/>
                  <w:vMerge w:val="continue"/>
                  <w:tcBorders>
                    <w:tl2br w:val="nil"/>
                    <w:tr2bl w:val="nil"/>
                  </w:tcBorders>
                  <w:noWrap w:val="0"/>
                  <w:vAlign w:val="center"/>
                </w:tcPr>
                <w:p w14:paraId="106BB895">
                  <w:pPr>
                    <w:pStyle w:val="24"/>
                    <w:bidi w:val="0"/>
                    <w:jc w:val="center"/>
                    <w:rPr>
                      <w:rFonts w:hint="default" w:ascii="Times New Roman" w:hAnsi="Times New Roman" w:cs="Times New Roman"/>
                      <w:u w:val="none" w:color="auto"/>
                      <w:lang w:val="en-US" w:eastAsia="zh-CN"/>
                    </w:rPr>
                  </w:pPr>
                </w:p>
              </w:tc>
            </w:tr>
          </w:tbl>
          <w:p w14:paraId="22657C70">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none" w:color="auto"/>
                <w:vertAlign w:val="baseline"/>
                <w:lang w:val="en-US" w:eastAsia="zh-CN"/>
              </w:rPr>
            </w:pPr>
            <w:r>
              <w:rPr>
                <w:rFonts w:hint="eastAsia" w:ascii="Times New Roman" w:hAnsi="Times New Roman" w:eastAsia="宋体" w:cs="Times New Roman"/>
                <w:b/>
                <w:bCs/>
                <w:snapToGrid w:val="0"/>
                <w:sz w:val="24"/>
                <w:szCs w:val="24"/>
                <w:u w:val="none" w:color="auto"/>
                <w:vertAlign w:val="baseline"/>
                <w:lang w:val="en-US" w:eastAsia="zh-CN"/>
              </w:rPr>
              <w:t>8、</w:t>
            </w:r>
            <w:r>
              <w:rPr>
                <w:rFonts w:hint="default" w:ascii="Times New Roman" w:hAnsi="Times New Roman" w:eastAsia="宋体" w:cs="Times New Roman"/>
                <w:b/>
                <w:bCs/>
                <w:snapToGrid w:val="0"/>
                <w:sz w:val="24"/>
                <w:szCs w:val="24"/>
                <w:u w:val="none" w:color="auto"/>
                <w:vertAlign w:val="baseline"/>
                <w:lang w:val="en-US" w:eastAsia="zh-CN"/>
              </w:rPr>
              <w:t>建议</w:t>
            </w:r>
          </w:p>
          <w:bookmarkEnd w:id="22"/>
          <w:p w14:paraId="27FF01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none" w:color="auto"/>
              </w:rPr>
            </w:pPr>
            <w:r>
              <w:rPr>
                <w:rFonts w:hint="eastAsia" w:ascii="Times New Roman" w:hAnsi="Times New Roman" w:eastAsia="宋体" w:cs="Times New Roman"/>
                <w:color w:val="000000"/>
                <w:kern w:val="0"/>
                <w:sz w:val="24"/>
                <w:szCs w:val="24"/>
                <w:u w:val="none" w:color="auto"/>
                <w:lang w:val="en-US" w:eastAsia="zh-CN" w:bidi="ar"/>
              </w:rPr>
              <w:t>（1）</w:t>
            </w:r>
            <w:r>
              <w:rPr>
                <w:rFonts w:hint="default" w:ascii="Times New Roman" w:hAnsi="Times New Roman" w:eastAsia="宋体" w:cs="Times New Roman"/>
                <w:color w:val="000000"/>
                <w:kern w:val="0"/>
                <w:sz w:val="24"/>
                <w:szCs w:val="24"/>
                <w:u w:val="none" w:color="auto"/>
                <w:lang w:val="en-US" w:eastAsia="zh-CN" w:bidi="ar"/>
              </w:rPr>
              <w:t xml:space="preserve">项目建设必须严格执行“三同时”制度，项目运营期，应确保达标和限制排污总量排放。 </w:t>
            </w:r>
          </w:p>
          <w:p w14:paraId="04226E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000000"/>
                <w:kern w:val="0"/>
                <w:sz w:val="24"/>
                <w:szCs w:val="24"/>
                <w:u w:val="none" w:color="auto"/>
                <w:lang w:val="en-US" w:eastAsia="zh-CN" w:bidi="ar"/>
              </w:rPr>
              <w:t>（2</w:t>
            </w:r>
            <w:r>
              <w:rPr>
                <w:rFonts w:hint="eastAsia"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制定应急预案，定期检查污水处理站各环节设备的运行情况，及时检修。若发现出水水质异常，应及时采取应急措施，杜绝入河排污口事故排放。</w:t>
            </w:r>
          </w:p>
          <w:p w14:paraId="0C9C16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kern w:val="0"/>
                <w:sz w:val="24"/>
                <w:szCs w:val="24"/>
                <w:u w:val="none" w:color="auto"/>
                <w:lang w:val="en-US" w:eastAsia="zh-CN" w:bidi="ar"/>
              </w:rPr>
              <w:t>（3）</w:t>
            </w:r>
            <w:r>
              <w:rPr>
                <w:rFonts w:hint="default" w:ascii="Times New Roman" w:hAnsi="Times New Roman" w:eastAsia="宋体" w:cs="Times New Roman"/>
                <w:color w:val="auto"/>
                <w:kern w:val="0"/>
                <w:sz w:val="24"/>
                <w:szCs w:val="24"/>
                <w:u w:val="none" w:color="auto"/>
                <w:lang w:val="en-US" w:eastAsia="zh-CN" w:bidi="ar"/>
              </w:rPr>
              <w:t>加强入河排污口规范化建设，入河排污口口门设置应符合国家规定的防洪标准和工程安全标准要求、竖立明显的建筑物标示</w:t>
            </w:r>
            <w:r>
              <w:rPr>
                <w:rFonts w:hint="default" w:ascii="Times New Roman" w:hAnsi="Times New Roman" w:eastAsia="宋体" w:cs="Times New Roman"/>
                <w:color w:val="auto"/>
                <w:sz w:val="24"/>
                <w:szCs w:val="24"/>
                <w:u w:val="none" w:color="auto"/>
                <w:lang w:val="en-US" w:eastAsia="zh-CN"/>
              </w:rPr>
              <w:t>牌</w:t>
            </w:r>
            <w:r>
              <w:rPr>
                <w:rFonts w:hint="default" w:ascii="Times New Roman" w:hAnsi="Times New Roman" w:eastAsia="宋体" w:cs="Times New Roman"/>
                <w:color w:val="auto"/>
                <w:kern w:val="0"/>
                <w:sz w:val="24"/>
                <w:szCs w:val="24"/>
                <w:u w:val="none" w:color="auto"/>
                <w:lang w:val="en-US" w:eastAsia="zh-CN" w:bidi="ar"/>
              </w:rPr>
              <w:t xml:space="preserve">、实行排污口的立标管理、标明水污染物限制排放总量及浓度情况、明确责任主体及监督单位等内容。 </w:t>
            </w:r>
          </w:p>
          <w:p w14:paraId="27C3A6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kern w:val="0"/>
                <w:sz w:val="24"/>
                <w:szCs w:val="24"/>
                <w:u w:val="none" w:color="auto"/>
                <w:lang w:val="en-US" w:eastAsia="zh-CN" w:bidi="ar"/>
              </w:rPr>
              <w:t>（4）</w:t>
            </w:r>
            <w:r>
              <w:rPr>
                <w:rFonts w:hint="default" w:ascii="Times New Roman" w:hAnsi="Times New Roman" w:eastAsia="宋体" w:cs="Times New Roman"/>
                <w:color w:val="auto"/>
                <w:kern w:val="0"/>
                <w:sz w:val="24"/>
                <w:szCs w:val="24"/>
                <w:u w:val="none" w:color="auto"/>
                <w:lang w:val="en-US" w:eastAsia="zh-CN" w:bidi="ar"/>
              </w:rPr>
              <w:t xml:space="preserve">加强水功能区监督管理，制定排污口监测计划：入河排污口管理单位需制定入河排污口监测计划，定期对入河排污口废污水排放量和主要污染物质的排放浓度实施同步监测；在入河排污口进行样品测量、采样及运输时，应采取有效防护措施，防止有毒有害物质、放射性物质和热污染危及人身安全。 </w:t>
            </w:r>
          </w:p>
          <w:p w14:paraId="7F16A6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kern w:val="0"/>
                <w:sz w:val="24"/>
                <w:szCs w:val="24"/>
                <w:u w:val="none" w:color="auto"/>
                <w:lang w:val="en-US" w:eastAsia="zh-CN" w:bidi="ar"/>
              </w:rPr>
              <w:t>（5）</w:t>
            </w:r>
            <w:r>
              <w:rPr>
                <w:rFonts w:hint="default" w:ascii="Times New Roman" w:hAnsi="Times New Roman" w:eastAsia="宋体" w:cs="Times New Roman"/>
                <w:color w:val="auto"/>
                <w:kern w:val="0"/>
                <w:sz w:val="24"/>
                <w:szCs w:val="24"/>
                <w:u w:val="none" w:color="auto"/>
                <w:lang w:val="en-US" w:eastAsia="zh-CN" w:bidi="ar"/>
              </w:rPr>
              <w:t>落实入河排污口设置验收管理，进行排污口设置验收：应在入河排污口试运行3个月后，正式投入使用前向入河排污口管理单位提出入河排污口设置验收申请，验收合格后方可投入使用。</w:t>
            </w:r>
          </w:p>
          <w:p w14:paraId="2CF97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textAlignment w:val="auto"/>
              <w:rPr>
                <w:rFonts w:hint="default" w:ascii="Times New Roman" w:hAnsi="Times New Roman" w:eastAsia="宋体"/>
                <w:sz w:val="24"/>
                <w:szCs w:val="24"/>
                <w:u w:val="none" w:color="auto"/>
                <w:lang w:val="en-US" w:eastAsia="zh-CN"/>
              </w:rPr>
            </w:pPr>
          </w:p>
        </w:tc>
      </w:tr>
    </w:tbl>
    <w:p w14:paraId="41E0193E">
      <w:pPr>
        <w:pStyle w:val="14"/>
        <w:jc w:val="center"/>
        <w:outlineLvl w:val="0"/>
        <w:rPr>
          <w:rFonts w:hint="eastAsia" w:ascii="Times New Roman" w:hAnsi="Times New Roman" w:eastAsia="黑体" w:cs="Times New Roman"/>
          <w:snapToGrid w:val="0"/>
          <w:color w:val="000000" w:themeColor="text1"/>
          <w:sz w:val="30"/>
          <w:szCs w:val="30"/>
          <w14:textFill>
            <w14:solidFill>
              <w14:schemeClr w14:val="tx1"/>
            </w14:solidFill>
          </w14:textFill>
        </w:rPr>
      </w:pPr>
      <w:r>
        <w:br w:type="page"/>
      </w:r>
      <w:bookmarkStart w:id="25" w:name="_Toc28534"/>
      <w:bookmarkStart w:id="26" w:name="_Toc14772"/>
      <w:bookmarkStart w:id="27" w:name="_Toc27462"/>
      <w:r>
        <w:rPr>
          <w:rFonts w:hint="eastAsia" w:ascii="Times New Roman" w:hAnsi="Times New Roman" w:eastAsia="黑体" w:cs="Times New Roman"/>
          <w:snapToGrid w:val="0"/>
          <w:color w:val="000000" w:themeColor="text1"/>
          <w:sz w:val="30"/>
          <w:szCs w:val="30"/>
          <w:lang w:eastAsia="zh-CN"/>
          <w14:textFill>
            <w14:solidFill>
              <w14:schemeClr w14:val="tx1"/>
            </w14:solidFill>
          </w14:textFill>
        </w:rPr>
        <w:t>六</w:t>
      </w:r>
      <w:r>
        <w:rPr>
          <w:rFonts w:hint="eastAsia" w:ascii="Times New Roman" w:hAnsi="Times New Roman" w:eastAsia="黑体" w:cs="Times New Roman"/>
          <w:snapToGrid w:val="0"/>
          <w:color w:val="000000" w:themeColor="text1"/>
          <w:sz w:val="30"/>
          <w:szCs w:val="30"/>
          <w14:textFill>
            <w14:solidFill>
              <w14:schemeClr w14:val="tx1"/>
            </w14:solidFill>
          </w14:textFill>
        </w:rPr>
        <w:t>、</w:t>
      </w:r>
      <w:bookmarkStart w:id="28" w:name="_Hlk54167917"/>
      <w:r>
        <w:rPr>
          <w:rFonts w:hint="eastAsia" w:ascii="Times New Roman" w:hAnsi="Times New Roman" w:eastAsia="黑体" w:cs="Times New Roman"/>
          <w:snapToGrid w:val="0"/>
          <w:color w:val="000000" w:themeColor="text1"/>
          <w:sz w:val="30"/>
          <w:szCs w:val="30"/>
          <w14:textFill>
            <w14:solidFill>
              <w14:schemeClr w14:val="tx1"/>
            </w14:solidFill>
          </w14:textFill>
        </w:rPr>
        <w:t>环境保护措施监督检查清单</w:t>
      </w:r>
      <w:bookmarkEnd w:id="25"/>
      <w:bookmarkEnd w:id="26"/>
      <w:bookmarkEnd w:id="27"/>
      <w:bookmarkEnd w:id="28"/>
    </w:p>
    <w:tbl>
      <w:tblPr>
        <w:tblStyle w:val="16"/>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460"/>
        <w:gridCol w:w="1102"/>
        <w:gridCol w:w="2277"/>
        <w:gridCol w:w="2741"/>
      </w:tblGrid>
      <w:tr w14:paraId="515D2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8" w:space="0"/>
              <w:left w:val="single" w:color="auto" w:sz="8" w:space="0"/>
              <w:bottom w:val="single" w:color="auto" w:sz="4" w:space="0"/>
              <w:right w:val="single" w:color="auto" w:sz="4" w:space="0"/>
              <w:tl2br w:val="single" w:color="auto" w:sz="4" w:space="0"/>
            </w:tcBorders>
            <w:noWrap w:val="0"/>
            <w:vAlign w:val="top"/>
          </w:tcPr>
          <w:p w14:paraId="5A43BCD6">
            <w:pPr>
              <w:adjustRightInd w:val="0"/>
              <w:snapToGrid w:val="0"/>
              <w:jc w:val="right"/>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内容</w:t>
            </w:r>
          </w:p>
          <w:p w14:paraId="5CF593DF">
            <w:pPr>
              <w:adjustRightInd w:val="0"/>
              <w:snapToGrid w:val="0"/>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要素</w:t>
            </w:r>
          </w:p>
        </w:tc>
        <w:tc>
          <w:tcPr>
            <w:tcW w:w="1460" w:type="dxa"/>
            <w:tcBorders>
              <w:top w:val="single" w:color="auto" w:sz="8" w:space="0"/>
              <w:left w:val="single" w:color="auto" w:sz="4" w:space="0"/>
              <w:bottom w:val="single" w:color="auto" w:sz="4" w:space="0"/>
              <w:right w:val="single" w:color="auto" w:sz="4" w:space="0"/>
            </w:tcBorders>
            <w:noWrap w:val="0"/>
            <w:vAlign w:val="center"/>
          </w:tcPr>
          <w:p w14:paraId="6CF8E56E">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排放口</w:t>
            </w:r>
            <w:r>
              <w:rPr>
                <w:rFonts w:hint="eastAsia" w:ascii="Times New Roman" w:hAnsi="Times New Roman" w:cs="Times New Roman"/>
                <w:szCs w:val="21"/>
                <w:highlight w:val="none"/>
                <w:u w:val="none" w:color="auto"/>
                <w:lang w:eastAsia="zh-CN"/>
              </w:rPr>
              <w:t>（</w:t>
            </w:r>
            <w:r>
              <w:rPr>
                <w:rFonts w:ascii="Times New Roman" w:hAnsi="Times New Roman" w:cs="Times New Roman"/>
                <w:szCs w:val="21"/>
                <w:highlight w:val="none"/>
                <w:u w:val="none" w:color="auto"/>
              </w:rPr>
              <w:t>编号、名称</w:t>
            </w:r>
            <w:r>
              <w:rPr>
                <w:rFonts w:hint="eastAsia" w:ascii="Times New Roman" w:hAnsi="Times New Roman" w:cs="Times New Roman"/>
                <w:szCs w:val="21"/>
                <w:highlight w:val="none"/>
                <w:u w:val="none" w:color="auto"/>
                <w:lang w:eastAsia="zh-CN"/>
              </w:rPr>
              <w:t>）</w:t>
            </w:r>
            <w:r>
              <w:rPr>
                <w:rFonts w:ascii="Times New Roman" w:hAnsi="Times New Roman" w:cs="Times New Roman"/>
                <w:szCs w:val="21"/>
                <w:highlight w:val="none"/>
                <w:u w:val="none" w:color="auto"/>
              </w:rPr>
              <w:t>/污染源</w:t>
            </w:r>
          </w:p>
        </w:tc>
        <w:tc>
          <w:tcPr>
            <w:tcW w:w="1102" w:type="dxa"/>
            <w:tcBorders>
              <w:top w:val="single" w:color="auto" w:sz="8" w:space="0"/>
              <w:left w:val="single" w:color="auto" w:sz="4" w:space="0"/>
              <w:bottom w:val="single" w:color="auto" w:sz="4" w:space="0"/>
              <w:right w:val="single" w:color="auto" w:sz="4" w:space="0"/>
            </w:tcBorders>
            <w:noWrap w:val="0"/>
            <w:vAlign w:val="center"/>
          </w:tcPr>
          <w:p w14:paraId="04131DF0">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污染物项目</w:t>
            </w:r>
          </w:p>
        </w:tc>
        <w:tc>
          <w:tcPr>
            <w:tcW w:w="2277" w:type="dxa"/>
            <w:tcBorders>
              <w:top w:val="single" w:color="auto" w:sz="8" w:space="0"/>
              <w:left w:val="single" w:color="auto" w:sz="4" w:space="0"/>
              <w:bottom w:val="single" w:color="auto" w:sz="4" w:space="0"/>
              <w:right w:val="single" w:color="auto" w:sz="4" w:space="0"/>
            </w:tcBorders>
            <w:noWrap w:val="0"/>
            <w:vAlign w:val="center"/>
          </w:tcPr>
          <w:p w14:paraId="7B5B4CB3">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环境保护措施</w:t>
            </w:r>
          </w:p>
        </w:tc>
        <w:tc>
          <w:tcPr>
            <w:tcW w:w="2741" w:type="dxa"/>
            <w:tcBorders>
              <w:top w:val="single" w:color="auto" w:sz="8" w:space="0"/>
              <w:left w:val="single" w:color="auto" w:sz="4" w:space="0"/>
              <w:bottom w:val="single" w:color="auto" w:sz="4" w:space="0"/>
              <w:right w:val="single" w:color="auto" w:sz="8" w:space="0"/>
            </w:tcBorders>
            <w:noWrap w:val="0"/>
            <w:vAlign w:val="center"/>
          </w:tcPr>
          <w:p w14:paraId="69D3FD00">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执行标准</w:t>
            </w:r>
          </w:p>
        </w:tc>
      </w:tr>
      <w:tr w14:paraId="520BB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14:paraId="155315BA">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大气环境</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7E927C62">
            <w:pPr>
              <w:spacing w:line="260" w:lineRule="exact"/>
              <w:jc w:val="center"/>
              <w:rPr>
                <w:rFonts w:hint="eastAsia" w:ascii="Times New Roman" w:hAnsi="Times New Roman" w:eastAsia="宋体" w:cs="Times New Roman"/>
                <w:highlight w:val="none"/>
                <w:u w:val="none" w:color="auto"/>
                <w:lang w:eastAsia="zh-CN"/>
              </w:rPr>
            </w:pPr>
            <w:r>
              <w:rPr>
                <w:rFonts w:hint="eastAsia" w:ascii="Times New Roman" w:hAnsi="Times New Roman"/>
                <w:szCs w:val="21"/>
                <w:highlight w:val="none"/>
                <w:u w:val="none" w:color="auto"/>
                <w:lang w:eastAsia="zh-CN"/>
              </w:rPr>
              <w:t>污水处理站废气</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8D96E63">
            <w:pPr>
              <w:spacing w:line="260" w:lineRule="exact"/>
              <w:jc w:val="center"/>
              <w:rPr>
                <w:rFonts w:hint="eastAsia" w:ascii="Times New Roman" w:hAnsi="Times New Roman" w:eastAsia="宋体" w:cs="Times New Roman"/>
                <w:szCs w:val="21"/>
                <w:highlight w:val="none"/>
                <w:u w:val="none" w:color="auto"/>
                <w:lang w:eastAsia="zh-CN"/>
              </w:rPr>
            </w:pPr>
            <w:r>
              <w:rPr>
                <w:rFonts w:hint="eastAsia" w:ascii="Times New Roman" w:hAnsi="Times New Roman" w:eastAsia="宋体" w:cs="Times New Roman"/>
                <w:szCs w:val="21"/>
                <w:highlight w:val="none"/>
                <w:u w:val="none" w:color="auto"/>
                <w:lang w:eastAsia="zh-CN"/>
              </w:rPr>
              <w:t>氨、硫化氢、臭气浓度</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5DC4859F">
            <w:pPr>
              <w:spacing w:line="260" w:lineRule="exact"/>
              <w:jc w:val="both"/>
              <w:rPr>
                <w:rFonts w:hint="default" w:ascii="Times New Roman" w:hAnsi="Times New Roman" w:eastAsia="宋体" w:cs="Times New Roman"/>
                <w:szCs w:val="21"/>
                <w:highlight w:val="none"/>
                <w:u w:val="none" w:color="auto"/>
                <w:lang w:val="en-US" w:eastAsia="zh-CN"/>
              </w:rPr>
            </w:pPr>
            <w:r>
              <w:rPr>
                <w:sz w:val="21"/>
                <w:highlight w:val="none"/>
                <w:u w:val="none" w:color="auto"/>
              </w:rPr>
              <w:t>污水处理设施采用</w:t>
            </w:r>
            <w:r>
              <w:rPr>
                <w:rFonts w:hint="eastAsia"/>
                <w:sz w:val="21"/>
                <w:highlight w:val="none"/>
                <w:u w:val="none" w:color="auto"/>
                <w:lang w:eastAsia="zh-CN"/>
              </w:rPr>
              <w:t>地埋式</w:t>
            </w:r>
            <w:r>
              <w:rPr>
                <w:sz w:val="21"/>
                <w:highlight w:val="none"/>
                <w:u w:val="none" w:color="auto"/>
              </w:rPr>
              <w:t>封闭设置</w:t>
            </w:r>
          </w:p>
        </w:tc>
        <w:tc>
          <w:tcPr>
            <w:tcW w:w="2741" w:type="dxa"/>
            <w:tcBorders>
              <w:top w:val="single" w:color="auto" w:sz="4" w:space="0"/>
              <w:left w:val="single" w:color="auto" w:sz="4" w:space="0"/>
              <w:right w:val="single" w:color="auto" w:sz="8" w:space="0"/>
            </w:tcBorders>
            <w:noWrap w:val="0"/>
            <w:vAlign w:val="center"/>
          </w:tcPr>
          <w:p w14:paraId="2CA913D7">
            <w:pPr>
              <w:tabs>
                <w:tab w:val="left" w:pos="1021"/>
              </w:tabs>
              <w:adjustRightInd w:val="0"/>
              <w:snapToGrid w:val="0"/>
              <w:spacing w:line="260" w:lineRule="exact"/>
              <w:jc w:val="center"/>
              <w:rPr>
                <w:rFonts w:ascii="Times New Roman" w:hAnsi="Times New Roman" w:eastAsia="宋体" w:cs="Times New Roman"/>
                <w:szCs w:val="21"/>
                <w:highlight w:val="none"/>
                <w:u w:val="none" w:color="auto"/>
              </w:rPr>
            </w:pPr>
            <w:r>
              <w:rPr>
                <w:rFonts w:hint="eastAsia" w:ascii="Times New Roman" w:hAnsi="Times New Roman" w:eastAsia="宋体" w:cs="Times New Roman"/>
                <w:szCs w:val="21"/>
                <w:highlight w:val="none"/>
                <w:u w:val="none" w:color="auto"/>
                <w:lang w:val="en-US" w:eastAsia="zh-CN"/>
              </w:rPr>
              <w:t>《医疗机构水污染物排放标准》（</w:t>
            </w:r>
            <w:r>
              <w:rPr>
                <w:rFonts w:hint="default" w:ascii="Times New Roman" w:hAnsi="Times New Roman" w:eastAsia="宋体" w:cs="Times New Roman"/>
                <w:szCs w:val="21"/>
                <w:highlight w:val="none"/>
                <w:u w:val="none" w:color="auto"/>
                <w:lang w:val="en-US" w:eastAsia="zh-CN"/>
              </w:rPr>
              <w:t>GB18466-2005</w:t>
            </w:r>
            <w:r>
              <w:rPr>
                <w:rFonts w:hint="eastAsia" w:ascii="Times New Roman" w:hAnsi="Times New Roman" w:eastAsia="宋体" w:cs="Times New Roman"/>
                <w:szCs w:val="21"/>
                <w:highlight w:val="none"/>
                <w:u w:val="none" w:color="auto"/>
                <w:lang w:val="en-US" w:eastAsia="zh-CN"/>
              </w:rPr>
              <w:t>）表3中污水处理站周边大气污染物最高允许浓度限值要求</w:t>
            </w:r>
          </w:p>
        </w:tc>
      </w:tr>
      <w:tr w14:paraId="4EF8F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3D45DF9B">
            <w:pPr>
              <w:adjustRightInd w:val="0"/>
              <w:snapToGrid w:val="0"/>
              <w:jc w:val="center"/>
              <w:rPr>
                <w:rFonts w:ascii="Times New Roman" w:hAnsi="Times New Roman" w:cs="Times New Roman"/>
                <w:szCs w:val="21"/>
                <w:highlight w:val="none"/>
                <w:u w:val="none" w:color="auto"/>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25BDE055">
            <w:pPr>
              <w:spacing w:line="260" w:lineRule="exact"/>
              <w:jc w:val="center"/>
              <w:rPr>
                <w:rFonts w:hint="eastAsia" w:ascii="Times New Roman" w:hAnsi="Times New Roman" w:eastAsia="宋体" w:cs="Times New Roman"/>
                <w:kern w:val="2"/>
                <w:sz w:val="21"/>
                <w:szCs w:val="22"/>
                <w:highlight w:val="none"/>
                <w:u w:val="none" w:color="auto"/>
                <w:lang w:val="en-US" w:eastAsia="zh-CN" w:bidi="ar-SA"/>
              </w:rPr>
            </w:pPr>
            <w:r>
              <w:rPr>
                <w:rFonts w:hint="eastAsia" w:ascii="Times New Roman" w:hAnsi="Times New Roman" w:cs="Times New Roman"/>
                <w:highlight w:val="none"/>
                <w:u w:val="none" w:color="auto"/>
              </w:rPr>
              <w:t>食堂油烟废气</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5D7C04E">
            <w:pPr>
              <w:spacing w:line="260" w:lineRule="exact"/>
              <w:jc w:val="center"/>
              <w:rPr>
                <w:rFonts w:hint="eastAsia" w:ascii="Times New Roman" w:hAnsi="Times New Roman" w:eastAsia="宋体" w:cs="Times New Roman"/>
                <w:kern w:val="2"/>
                <w:sz w:val="21"/>
                <w:szCs w:val="22"/>
                <w:highlight w:val="none"/>
                <w:u w:val="none" w:color="auto"/>
                <w:lang w:val="en-US" w:eastAsia="zh-CN" w:bidi="ar-SA"/>
              </w:rPr>
            </w:pPr>
            <w:r>
              <w:rPr>
                <w:rStyle w:val="41"/>
                <w:rFonts w:hint="eastAsia" w:eastAsia="宋体"/>
                <w:b w:val="0"/>
                <w:bCs/>
                <w:sz w:val="21"/>
                <w:szCs w:val="21"/>
                <w:highlight w:val="none"/>
                <w:u w:val="none" w:color="auto"/>
              </w:rPr>
              <w:t>油烟</w:t>
            </w:r>
            <w:r>
              <w:rPr>
                <w:rStyle w:val="41"/>
                <w:rFonts w:eastAsia="宋体"/>
                <w:b w:val="0"/>
                <w:bCs/>
                <w:sz w:val="21"/>
                <w:szCs w:val="21"/>
                <w:highlight w:val="none"/>
                <w:u w:val="none" w:color="auto"/>
              </w:rPr>
              <w:t>废气</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78D0231A">
            <w:pPr>
              <w:spacing w:line="260" w:lineRule="exact"/>
              <w:jc w:val="center"/>
              <w:rPr>
                <w:rFonts w:hint="eastAsia" w:eastAsia="宋体" w:cs="Times New Roman"/>
                <w:sz w:val="21"/>
                <w:highlight w:val="none"/>
                <w:u w:val="none" w:color="auto"/>
                <w:lang w:val="en-US" w:eastAsia="zh-CN"/>
              </w:rPr>
            </w:pPr>
            <w:r>
              <w:rPr>
                <w:rFonts w:hint="eastAsia" w:eastAsia="宋体" w:cs="Times New Roman"/>
                <w:sz w:val="21"/>
                <w:highlight w:val="none"/>
                <w:u w:val="none" w:color="auto"/>
              </w:rPr>
              <w:t>油烟净化装置</w:t>
            </w:r>
          </w:p>
        </w:tc>
        <w:tc>
          <w:tcPr>
            <w:tcW w:w="2741" w:type="dxa"/>
            <w:tcBorders>
              <w:top w:val="single" w:color="auto" w:sz="4" w:space="0"/>
              <w:left w:val="single" w:color="auto" w:sz="4" w:space="0"/>
              <w:right w:val="single" w:color="auto" w:sz="8" w:space="0"/>
            </w:tcBorders>
            <w:noWrap w:val="0"/>
            <w:vAlign w:val="center"/>
          </w:tcPr>
          <w:p w14:paraId="743A82A4">
            <w:pPr>
              <w:tabs>
                <w:tab w:val="left" w:pos="1021"/>
              </w:tabs>
              <w:adjustRightInd w:val="0"/>
              <w:snapToGrid w:val="0"/>
              <w:spacing w:line="260" w:lineRule="exact"/>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《饮食业油烟排放标准（试行）》（GB 18483-2001）中的小型规模标准</w:t>
            </w:r>
          </w:p>
        </w:tc>
      </w:tr>
      <w:tr w14:paraId="192AE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77095376">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地表水</w:t>
            </w:r>
          </w:p>
          <w:p w14:paraId="4CA7F8D4">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环境</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0E3E787D">
            <w:pPr>
              <w:adjustRightInd w:val="0"/>
              <w:snapToGrid w:val="0"/>
              <w:jc w:val="center"/>
              <w:rPr>
                <w:rFonts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rPr>
              <w:t>综合废水</w:t>
            </w:r>
          </w:p>
        </w:tc>
        <w:tc>
          <w:tcPr>
            <w:tcW w:w="1102" w:type="dxa"/>
            <w:tcBorders>
              <w:top w:val="single" w:color="auto" w:sz="4" w:space="0"/>
              <w:left w:val="single" w:color="auto" w:sz="4" w:space="0"/>
              <w:bottom w:val="single" w:color="auto" w:sz="4" w:space="0"/>
              <w:right w:val="single" w:color="auto" w:sz="4" w:space="0"/>
            </w:tcBorders>
            <w:noWrap w:val="0"/>
            <w:vAlign w:val="top"/>
          </w:tcPr>
          <w:p w14:paraId="5977BA46">
            <w:pPr>
              <w:pStyle w:val="37"/>
              <w:rPr>
                <w:sz w:val="20"/>
                <w:highlight w:val="none"/>
                <w:u w:val="none" w:color="auto"/>
              </w:rPr>
            </w:pPr>
          </w:p>
          <w:p w14:paraId="7D1866EE">
            <w:pPr>
              <w:pStyle w:val="37"/>
              <w:spacing w:before="151"/>
              <w:ind w:left="115" w:leftChars="0" w:right="-15" w:rightChars="0"/>
              <w:jc w:val="center"/>
              <w:rPr>
                <w:rFonts w:hint="default" w:ascii="Times New Roman" w:hAnsi="Times New Roman" w:eastAsia="宋体" w:cs="Times New Roman"/>
                <w:kern w:val="2"/>
                <w:sz w:val="21"/>
                <w:szCs w:val="22"/>
                <w:highlight w:val="none"/>
                <w:u w:val="none" w:color="auto"/>
                <w:lang w:val="en-US" w:eastAsia="zh-CN" w:bidi="ar-SA"/>
              </w:rPr>
            </w:pPr>
            <w:r>
              <w:rPr>
                <w:rFonts w:hint="default" w:ascii="Times New Roman" w:hAnsi="Times New Roman" w:eastAsia="Times New Roman" w:cs="Times New Roman"/>
                <w:position w:val="2"/>
                <w:sz w:val="21"/>
                <w:highlight w:val="none"/>
                <w:u w:val="none" w:color="auto"/>
              </w:rPr>
              <w:t>pH</w:t>
            </w:r>
            <w:r>
              <w:rPr>
                <w:rFonts w:hint="default" w:ascii="Times New Roman" w:hAnsi="Times New Roman" w:cs="Times New Roman"/>
                <w:spacing w:val="-70"/>
                <w:position w:val="2"/>
                <w:sz w:val="21"/>
                <w:highlight w:val="none"/>
                <w:u w:val="none" w:color="auto"/>
              </w:rPr>
              <w:t>、</w:t>
            </w:r>
            <w:r>
              <w:rPr>
                <w:rFonts w:hint="default" w:ascii="Times New Roman" w:hAnsi="Times New Roman" w:eastAsia="Times New Roman" w:cs="Times New Roman"/>
                <w:position w:val="2"/>
                <w:sz w:val="21"/>
                <w:highlight w:val="none"/>
                <w:u w:val="none" w:color="auto"/>
              </w:rPr>
              <w:t>COD</w:t>
            </w:r>
            <w:r>
              <w:rPr>
                <w:rFonts w:hint="default" w:ascii="Times New Roman" w:hAnsi="Times New Roman" w:cs="Times New Roman"/>
                <w:spacing w:val="-73"/>
                <w:position w:val="2"/>
                <w:sz w:val="21"/>
                <w:highlight w:val="none"/>
                <w:u w:val="none" w:color="auto"/>
              </w:rPr>
              <w:t>、</w:t>
            </w:r>
            <w:r>
              <w:rPr>
                <w:rFonts w:hint="default" w:ascii="Times New Roman" w:hAnsi="Times New Roman" w:eastAsia="Times New Roman" w:cs="Times New Roman"/>
                <w:position w:val="2"/>
                <w:sz w:val="21"/>
                <w:highlight w:val="none"/>
                <w:u w:val="none" w:color="auto"/>
              </w:rPr>
              <w:t>BOD</w:t>
            </w:r>
            <w:r>
              <w:rPr>
                <w:rFonts w:hint="default" w:ascii="Times New Roman" w:hAnsi="Times New Roman" w:cs="Times New Roman"/>
                <w:spacing w:val="-16"/>
                <w:position w:val="2"/>
                <w:sz w:val="21"/>
                <w:highlight w:val="none"/>
                <w:u w:val="none" w:color="auto"/>
                <w:vertAlign w:val="baseline"/>
              </w:rPr>
              <w:t>、</w:t>
            </w:r>
            <w:r>
              <w:rPr>
                <w:rFonts w:hint="default" w:ascii="Times New Roman" w:hAnsi="Times New Roman" w:eastAsia="Times New Roman" w:cs="Times New Roman"/>
                <w:sz w:val="21"/>
                <w:highlight w:val="none"/>
                <w:u w:val="none" w:color="auto"/>
                <w:vertAlign w:val="baseline"/>
              </w:rPr>
              <w:t>SS</w:t>
            </w:r>
            <w:r>
              <w:rPr>
                <w:rFonts w:hint="default" w:ascii="Times New Roman" w:hAnsi="Times New Roman" w:cs="Times New Roman"/>
                <w:sz w:val="21"/>
                <w:highlight w:val="none"/>
                <w:u w:val="none" w:color="auto"/>
                <w:vertAlign w:val="baseline"/>
              </w:rPr>
              <w:t>、氨氮、粪大肠菌群</w:t>
            </w:r>
            <w:r>
              <w:rPr>
                <w:rFonts w:hint="default" w:ascii="Times New Roman" w:hAnsi="Times New Roman" w:cs="Times New Roman"/>
                <w:sz w:val="21"/>
                <w:highlight w:val="none"/>
                <w:u w:val="none" w:color="auto"/>
                <w:vertAlign w:val="baseline"/>
                <w:lang w:eastAsia="zh-CN"/>
              </w:rPr>
              <w:t>、</w:t>
            </w:r>
            <w:r>
              <w:rPr>
                <w:rFonts w:hint="eastAsia" w:cs="Times New Roman"/>
                <w:sz w:val="21"/>
                <w:highlight w:val="none"/>
                <w:u w:val="none" w:color="auto"/>
                <w:vertAlign w:val="baseline"/>
                <w:lang w:val="en-US" w:eastAsia="zh-CN"/>
              </w:rPr>
              <w:t>动植物油</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419B23D0">
            <w:pPr>
              <w:tabs>
                <w:tab w:val="left" w:pos="1021"/>
              </w:tabs>
              <w:adjustRightInd w:val="0"/>
              <w:snapToGrid w:val="0"/>
              <w:spacing w:line="260" w:lineRule="exact"/>
              <w:jc w:val="center"/>
              <w:rPr>
                <w:rFonts w:hint="eastAsia" w:ascii="Times New Roman" w:hAnsi="Times New Roman" w:eastAsia="宋体" w:cs="Times New Roman"/>
                <w:kern w:val="2"/>
                <w:sz w:val="21"/>
                <w:szCs w:val="22"/>
                <w:highlight w:val="none"/>
                <w:u w:val="none" w:color="auto"/>
                <w:lang w:val="en-US" w:eastAsia="zh-CN" w:bidi="ar-SA"/>
              </w:rPr>
            </w:pPr>
            <w:r>
              <w:rPr>
                <w:rFonts w:hint="eastAsia" w:ascii="Times New Roman" w:hAnsi="Times New Roman" w:cs="Times New Roman"/>
                <w:highlight w:val="none"/>
                <w:u w:val="none" w:color="auto"/>
                <w:lang w:eastAsia="zh-CN"/>
              </w:rPr>
              <w:t>食堂废水经隔油池预处理后生活污水和医疗废水经化粪池处理后</w:t>
            </w:r>
            <w:r>
              <w:rPr>
                <w:rFonts w:hint="eastAsia" w:ascii="Times New Roman" w:hAnsi="Times New Roman" w:cs="Times New Roman"/>
                <w:highlight w:val="none"/>
                <w:u w:val="none" w:color="auto"/>
              </w:rPr>
              <w:t>一起进入院区污</w:t>
            </w:r>
            <w:r>
              <w:rPr>
                <w:rFonts w:hint="eastAsia" w:ascii="Times New Roman" w:hAnsi="Times New Roman" w:eastAsia="宋体" w:cs="Times New Roman"/>
                <w:highlight w:val="none"/>
                <w:u w:val="none" w:color="auto"/>
              </w:rPr>
              <w:t>水处理站</w:t>
            </w:r>
            <w:r>
              <w:rPr>
                <w:rFonts w:hint="eastAsia" w:cs="Times New Roman"/>
                <w:highlight w:val="none"/>
                <w:u w:val="none" w:color="auto"/>
                <w:lang w:eastAsia="zh-CN"/>
              </w:rPr>
              <w:t>，</w:t>
            </w:r>
            <w:r>
              <w:rPr>
                <w:sz w:val="21"/>
                <w:highlight w:val="none"/>
                <w:u w:val="none" w:color="auto"/>
              </w:rPr>
              <w:t>采用</w:t>
            </w:r>
            <w:r>
              <w:rPr>
                <w:rFonts w:hint="eastAsia" w:ascii="Times New Roman" w:hAnsi="Times New Roman" w:eastAsia="宋体" w:cs="Times New Roman"/>
                <w:color w:val="auto"/>
                <w:sz w:val="21"/>
                <w:szCs w:val="21"/>
                <w:u w:val="none"/>
                <w:lang w:val="en-US" w:eastAsia="zh-CN"/>
              </w:rPr>
              <w:t>(隔栅池+调节池+AO生物接触氧化池+二沉池+活性氧消毒)。（二氧化氯消毒装置备用）</w:t>
            </w:r>
          </w:p>
        </w:tc>
        <w:tc>
          <w:tcPr>
            <w:tcW w:w="2741" w:type="dxa"/>
            <w:tcBorders>
              <w:top w:val="single" w:color="auto" w:sz="4" w:space="0"/>
              <w:left w:val="single" w:color="auto" w:sz="4" w:space="0"/>
              <w:right w:val="single" w:color="auto" w:sz="8" w:space="0"/>
            </w:tcBorders>
            <w:noWrap w:val="0"/>
            <w:vAlign w:val="center"/>
          </w:tcPr>
          <w:p w14:paraId="452474A2">
            <w:pPr>
              <w:tabs>
                <w:tab w:val="left" w:pos="1021"/>
              </w:tabs>
              <w:adjustRightInd w:val="0"/>
              <w:snapToGrid w:val="0"/>
              <w:spacing w:line="260" w:lineRule="exact"/>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《医疗机构水污染物排放标准》（GB 18466-2005）表2综合医疗机构和其他医疗机构水污染物排放限值（日均值）中排放标准</w:t>
            </w:r>
            <w:r>
              <w:rPr>
                <w:rFonts w:hint="default" w:ascii="Times New Roman" w:hAnsi="Times New Roman" w:eastAsia="宋体" w:cs="Times New Roman"/>
                <w:sz w:val="21"/>
                <w:highlight w:val="none"/>
                <w:u w:val="none" w:color="auto"/>
                <w:lang w:val="en-US" w:eastAsia="zh-CN"/>
              </w:rPr>
              <w:t>；余氧参照株洲市卫生健康委员会、株洲市生态环境局《关于做好一级医疗机构污水处理问题排查整治工作的通知》株卫函〔2023〕33号中相关标准限值要求。</w:t>
            </w:r>
          </w:p>
        </w:tc>
      </w:tr>
      <w:tr w14:paraId="25CF5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43C20EA5">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声环境</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7953C7FB">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设备</w:t>
            </w:r>
          </w:p>
          <w:p w14:paraId="66C5FB6B">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噪声</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BB257FB">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等效连续A声级</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2F47C5E6">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基础减振、墙体隔声</w:t>
            </w:r>
          </w:p>
        </w:tc>
        <w:tc>
          <w:tcPr>
            <w:tcW w:w="2741" w:type="dxa"/>
            <w:tcBorders>
              <w:top w:val="single" w:color="auto" w:sz="4" w:space="0"/>
              <w:left w:val="single" w:color="auto" w:sz="4" w:space="0"/>
              <w:bottom w:val="single" w:color="auto" w:sz="4" w:space="0"/>
              <w:right w:val="single" w:color="auto" w:sz="8" w:space="0"/>
            </w:tcBorders>
            <w:noWrap w:val="0"/>
            <w:vAlign w:val="center"/>
          </w:tcPr>
          <w:p w14:paraId="45D2D42F">
            <w:pPr>
              <w:tabs>
                <w:tab w:val="left" w:pos="1021"/>
              </w:tabs>
              <w:adjustRightInd w:val="0"/>
              <w:snapToGrid w:val="0"/>
              <w:spacing w:line="260" w:lineRule="exact"/>
              <w:jc w:val="center"/>
              <w:rPr>
                <w:rFonts w:ascii="Times New Roman" w:hAnsi="Times New Roman" w:cs="Times New Roman"/>
                <w:highlight w:val="none"/>
                <w:u w:val="none" w:color="auto"/>
              </w:rPr>
            </w:pPr>
            <w:r>
              <w:rPr>
                <w:rFonts w:ascii="Times New Roman" w:hAnsi="Times New Roman" w:cs="Times New Roman"/>
                <w:highlight w:val="none"/>
                <w:u w:val="none" w:color="auto"/>
              </w:rPr>
              <w:t>《工业企业厂界环境噪声排放标准》（GB12348-2008）</w:t>
            </w:r>
            <w:r>
              <w:rPr>
                <w:rFonts w:hint="eastAsia" w:ascii="Times New Roman" w:hAnsi="Times New Roman" w:cs="Times New Roman"/>
                <w:highlight w:val="none"/>
                <w:u w:val="none" w:color="auto"/>
                <w:lang w:val="en-US" w:eastAsia="zh-CN"/>
              </w:rPr>
              <w:t>2</w:t>
            </w:r>
            <w:r>
              <w:rPr>
                <w:rFonts w:ascii="Times New Roman" w:hAnsi="Times New Roman" w:cs="Times New Roman"/>
                <w:highlight w:val="none"/>
                <w:u w:val="none" w:color="auto"/>
              </w:rPr>
              <w:t>类标准</w:t>
            </w:r>
          </w:p>
        </w:tc>
      </w:tr>
      <w:tr w14:paraId="5C4E6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14:paraId="23302976">
            <w:pPr>
              <w:adjustRightInd w:val="0"/>
              <w:snapToGrid w:val="0"/>
              <w:jc w:val="center"/>
              <w:rPr>
                <w:rFonts w:ascii="Times New Roman" w:hAnsi="Times New Roman" w:cs="Times New Roman"/>
                <w:szCs w:val="21"/>
                <w:highlight w:val="none"/>
                <w:u w:val="none" w:color="auto"/>
              </w:rPr>
            </w:pPr>
            <w:r>
              <w:rPr>
                <w:rFonts w:ascii="Times New Roman" w:hAnsi="Times New Roman" w:cs="Times New Roman"/>
                <w:szCs w:val="21"/>
                <w:highlight w:val="none"/>
                <w:u w:val="none" w:color="auto"/>
              </w:rPr>
              <w:t>固体废物</w:t>
            </w:r>
          </w:p>
        </w:tc>
        <w:tc>
          <w:tcPr>
            <w:tcW w:w="1460" w:type="dxa"/>
            <w:vMerge w:val="restart"/>
            <w:tcBorders>
              <w:top w:val="single" w:color="auto" w:sz="4" w:space="0"/>
              <w:left w:val="single" w:color="auto" w:sz="4" w:space="0"/>
              <w:right w:val="single" w:color="auto" w:sz="4" w:space="0"/>
            </w:tcBorders>
            <w:noWrap w:val="0"/>
            <w:vAlign w:val="center"/>
          </w:tcPr>
          <w:p w14:paraId="353E62B8">
            <w:pPr>
              <w:adjustRightInd w:val="0"/>
              <w:snapToGrid w:val="0"/>
              <w:jc w:val="center"/>
              <w:rPr>
                <w:rFonts w:ascii="Times New Roman" w:hAnsi="Times New Roman" w:eastAsia="宋体" w:cs="Times New Roman"/>
                <w:szCs w:val="21"/>
                <w:highlight w:val="none"/>
                <w:u w:val="none" w:color="auto"/>
                <w:lang w:eastAsia="zh-CN"/>
              </w:rPr>
            </w:pPr>
            <w:r>
              <w:rPr>
                <w:rFonts w:ascii="Times New Roman" w:hAnsi="Times New Roman" w:eastAsia="宋体" w:cs="Times New Roman"/>
                <w:szCs w:val="21"/>
                <w:highlight w:val="none"/>
                <w:u w:val="none" w:color="auto"/>
              </w:rPr>
              <w:t>一般工业</w:t>
            </w:r>
          </w:p>
          <w:p w14:paraId="3FA48C92">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固体废物</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058077E">
            <w:pPr>
              <w:adjustRightInd w:val="0"/>
              <w:snapToGrid w:val="0"/>
              <w:jc w:val="center"/>
              <w:rPr>
                <w:rFonts w:ascii="Times New Roman" w:hAnsi="Times New Roman" w:eastAsia="宋体" w:cs="Times New Roman"/>
                <w:szCs w:val="21"/>
                <w:highlight w:val="none"/>
                <w:u w:val="none" w:color="auto"/>
              </w:rPr>
            </w:pPr>
            <w:r>
              <w:rPr>
                <w:rFonts w:hint="default" w:ascii="Times New Roman" w:hAnsi="Times New Roman" w:eastAsia="宋体" w:cs="Times New Roman"/>
                <w:szCs w:val="21"/>
                <w:highlight w:val="none"/>
                <w:u w:val="none" w:color="auto"/>
                <w:lang w:val="en-US" w:eastAsia="zh-CN"/>
              </w:rPr>
              <w:t>中西药包装及拆包过程产生的废弃包装物</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73C3A743">
            <w:pPr>
              <w:adjustRightInd w:val="0"/>
              <w:snapToGrid w:val="0"/>
              <w:jc w:val="center"/>
              <w:rPr>
                <w:rFonts w:ascii="Times New Roman" w:hAnsi="Times New Roman" w:eastAsia="宋体" w:cs="Times New Roman"/>
                <w:szCs w:val="21"/>
                <w:highlight w:val="none"/>
                <w:u w:val="none" w:color="auto"/>
                <w:lang w:eastAsia="zh-CN"/>
              </w:rPr>
            </w:pPr>
            <w:r>
              <w:rPr>
                <w:rFonts w:hint="eastAsia" w:ascii="Times New Roman" w:hAnsi="Times New Roman" w:eastAsia="宋体" w:cs="Times New Roman"/>
                <w:szCs w:val="21"/>
                <w:highlight w:val="none"/>
                <w:u w:val="none" w:color="auto"/>
                <w:lang w:eastAsia="zh-CN"/>
              </w:rPr>
              <w:t>一般废物暂存间（</w:t>
            </w:r>
            <w:r>
              <w:rPr>
                <w:rFonts w:hint="eastAsia" w:cs="Times New Roman"/>
                <w:szCs w:val="21"/>
                <w:highlight w:val="none"/>
                <w:u w:val="none" w:color="auto"/>
                <w:lang w:val="en-US" w:eastAsia="zh-CN"/>
              </w:rPr>
              <w:t>10</w:t>
            </w:r>
            <w:r>
              <w:rPr>
                <w:rFonts w:hint="default" w:ascii="Times New Roman" w:hAnsi="Times New Roman" w:eastAsia="宋体" w:cs="Times New Roman"/>
                <w:highlight w:val="none"/>
                <w:u w:val="none" w:color="auto"/>
                <w:lang w:eastAsia="zh-CN"/>
              </w:rPr>
              <w:t>m</w:t>
            </w:r>
            <w:r>
              <w:rPr>
                <w:rFonts w:hint="eastAsia" w:ascii="Times New Roman" w:hAnsi="Times New Roman" w:eastAsia="宋体" w:cs="Times New Roman"/>
                <w:highlight w:val="none"/>
                <w:u w:val="none" w:color="auto"/>
                <w:vertAlign w:val="superscript"/>
                <w:lang w:val="en-US" w:eastAsia="zh-CN"/>
              </w:rPr>
              <w:t>2</w:t>
            </w:r>
            <w:r>
              <w:rPr>
                <w:rFonts w:hint="eastAsia" w:ascii="Times New Roman" w:hAnsi="Times New Roman" w:eastAsia="宋体" w:cs="Times New Roman"/>
                <w:szCs w:val="21"/>
                <w:highlight w:val="none"/>
                <w:u w:val="none" w:color="auto"/>
                <w:lang w:eastAsia="zh-CN"/>
              </w:rPr>
              <w:t>），包装收集箱</w:t>
            </w:r>
          </w:p>
        </w:tc>
        <w:tc>
          <w:tcPr>
            <w:tcW w:w="2741" w:type="dxa"/>
            <w:vMerge w:val="restart"/>
            <w:tcBorders>
              <w:top w:val="single" w:color="auto" w:sz="4" w:space="0"/>
              <w:left w:val="single" w:color="auto" w:sz="4" w:space="0"/>
              <w:right w:val="single" w:color="auto" w:sz="8" w:space="0"/>
            </w:tcBorders>
            <w:noWrap w:val="0"/>
            <w:vAlign w:val="center"/>
          </w:tcPr>
          <w:p w14:paraId="0954E22A">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资源化、无害化，建设、贮存是否满足</w:t>
            </w:r>
            <w:r>
              <w:rPr>
                <w:rFonts w:hint="eastAsia" w:ascii="Times New Roman" w:hAnsi="Times New Roman" w:eastAsia="宋体" w:cs="Times New Roman"/>
                <w:szCs w:val="21"/>
                <w:highlight w:val="none"/>
                <w:u w:val="none" w:color="auto"/>
              </w:rPr>
              <w:t>《一般工业固体废物贮存和填埋污染控制标准》 （GB18599-2020）相关要求</w:t>
            </w:r>
          </w:p>
        </w:tc>
      </w:tr>
      <w:tr w14:paraId="1E9B1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278C5C4E">
            <w:pPr>
              <w:adjustRightInd w:val="0"/>
              <w:snapToGrid w:val="0"/>
              <w:jc w:val="center"/>
              <w:rPr>
                <w:rFonts w:ascii="Times New Roman" w:hAnsi="Times New Roman" w:cs="Times New Roman"/>
                <w:szCs w:val="21"/>
                <w:highlight w:val="none"/>
                <w:u w:val="none" w:color="auto"/>
              </w:rPr>
            </w:pPr>
          </w:p>
        </w:tc>
        <w:tc>
          <w:tcPr>
            <w:tcW w:w="1460" w:type="dxa"/>
            <w:vMerge w:val="continue"/>
            <w:tcBorders>
              <w:left w:val="single" w:color="auto" w:sz="4" w:space="0"/>
              <w:right w:val="single" w:color="auto" w:sz="4" w:space="0"/>
            </w:tcBorders>
            <w:noWrap w:val="0"/>
            <w:vAlign w:val="center"/>
          </w:tcPr>
          <w:p w14:paraId="2FA06D12">
            <w:pPr>
              <w:adjustRightInd w:val="0"/>
              <w:snapToGrid w:val="0"/>
              <w:jc w:val="center"/>
              <w:rPr>
                <w:rFonts w:ascii="Times New Roman" w:hAnsi="Times New Roman" w:eastAsia="宋体" w:cs="Times New Roman"/>
                <w:szCs w:val="21"/>
                <w:highlight w:val="none"/>
                <w:u w:val="none" w:color="auto"/>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2EC867">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废一次性输液瓶（袋）</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79F77727">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eastAsia="zh-CN"/>
              </w:rPr>
              <w:t>定期交由株洲市医疗废物集中处置有限公司处置。</w:t>
            </w:r>
          </w:p>
        </w:tc>
        <w:tc>
          <w:tcPr>
            <w:tcW w:w="2741" w:type="dxa"/>
            <w:vMerge w:val="continue"/>
            <w:tcBorders>
              <w:left w:val="single" w:color="auto" w:sz="4" w:space="0"/>
              <w:right w:val="single" w:color="auto" w:sz="8" w:space="0"/>
            </w:tcBorders>
            <w:noWrap w:val="0"/>
            <w:vAlign w:val="center"/>
          </w:tcPr>
          <w:p w14:paraId="3C799668">
            <w:pPr>
              <w:adjustRightInd w:val="0"/>
              <w:snapToGrid w:val="0"/>
              <w:jc w:val="center"/>
              <w:rPr>
                <w:rFonts w:ascii="Times New Roman" w:hAnsi="Times New Roman" w:eastAsia="宋体" w:cs="Times New Roman"/>
                <w:szCs w:val="21"/>
                <w:highlight w:val="none"/>
                <w:u w:val="none" w:color="auto"/>
              </w:rPr>
            </w:pPr>
          </w:p>
        </w:tc>
      </w:tr>
      <w:tr w14:paraId="22B80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14:paraId="19B1247D">
            <w:pPr>
              <w:widowControl/>
              <w:jc w:val="left"/>
              <w:rPr>
                <w:rFonts w:ascii="Times New Roman" w:hAnsi="Times New Roman" w:cs="Times New Roman"/>
                <w:szCs w:val="21"/>
                <w:highlight w:val="none"/>
                <w:u w:val="none" w:color="auto"/>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5F547DD">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生活垃圾</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68CE21A">
            <w:pPr>
              <w:adjustRightInd w:val="0"/>
              <w:snapToGrid w:val="0"/>
              <w:jc w:val="center"/>
              <w:rPr>
                <w:rFonts w:hint="eastAsia" w:ascii="Times New Roman" w:hAnsi="Times New Roman" w:eastAsia="宋体" w:cs="Times New Roman"/>
                <w:szCs w:val="21"/>
                <w:highlight w:val="none"/>
                <w:u w:val="none" w:color="auto"/>
                <w:lang w:eastAsia="zh-CN"/>
              </w:rPr>
            </w:pPr>
            <w:r>
              <w:rPr>
                <w:rFonts w:hint="eastAsia" w:ascii="Times New Roman" w:hAnsi="Times New Roman" w:eastAsia="宋体" w:cs="Times New Roman"/>
                <w:szCs w:val="21"/>
                <w:highlight w:val="none"/>
                <w:u w:val="none" w:color="auto"/>
                <w:lang w:eastAsia="zh-CN"/>
              </w:rPr>
              <w:t>生活垃圾</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24ACF499">
            <w:pPr>
              <w:adjustRightInd w:val="0"/>
              <w:snapToGrid w:val="0"/>
              <w:jc w:val="center"/>
              <w:rPr>
                <w:rFonts w:hint="eastAsia" w:ascii="Times New Roman" w:hAnsi="Times New Roman" w:eastAsia="宋体" w:cs="Times New Roman"/>
                <w:szCs w:val="21"/>
                <w:highlight w:val="none"/>
                <w:u w:val="none" w:color="auto"/>
                <w:lang w:eastAsia="zh-CN"/>
              </w:rPr>
            </w:pPr>
            <w:r>
              <w:rPr>
                <w:rFonts w:hint="eastAsia" w:ascii="Times New Roman" w:hAnsi="Times New Roman" w:eastAsia="宋体" w:cs="Times New Roman"/>
                <w:szCs w:val="21"/>
                <w:highlight w:val="none"/>
                <w:u w:val="none" w:color="auto"/>
                <w:lang w:eastAsia="zh-CN"/>
              </w:rPr>
              <w:t>垃圾收集箱，</w:t>
            </w:r>
            <w:r>
              <w:rPr>
                <w:rFonts w:hint="eastAsia" w:ascii="Times New Roman" w:hAnsi="Times New Roman" w:eastAsia="宋体" w:cs="Times New Roman"/>
                <w:szCs w:val="21"/>
                <w:highlight w:val="none"/>
                <w:u w:val="none" w:color="auto"/>
                <w:lang w:val="en-US" w:eastAsia="zh-CN"/>
              </w:rPr>
              <w:t>交由环卫部门统一清运</w:t>
            </w:r>
          </w:p>
        </w:tc>
        <w:tc>
          <w:tcPr>
            <w:tcW w:w="2741" w:type="dxa"/>
            <w:tcBorders>
              <w:top w:val="single" w:color="auto" w:sz="4" w:space="0"/>
              <w:left w:val="single" w:color="auto" w:sz="4" w:space="0"/>
              <w:bottom w:val="single" w:color="auto" w:sz="4" w:space="0"/>
              <w:right w:val="single" w:color="auto" w:sz="8" w:space="0"/>
            </w:tcBorders>
            <w:noWrap w:val="0"/>
            <w:vAlign w:val="center"/>
          </w:tcPr>
          <w:p w14:paraId="5D70C70E">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cs="Times New Roman"/>
                <w:szCs w:val="21"/>
                <w:highlight w:val="none"/>
                <w:u w:val="none" w:color="auto"/>
                <w:lang w:val="en-US" w:eastAsia="zh-CN"/>
              </w:rPr>
              <w:t>/</w:t>
            </w:r>
          </w:p>
        </w:tc>
      </w:tr>
      <w:tr w14:paraId="53DFD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20" w:type="dxa"/>
            <w:vMerge w:val="continue"/>
            <w:tcBorders>
              <w:left w:val="single" w:color="auto" w:sz="8" w:space="0"/>
              <w:right w:val="single" w:color="auto" w:sz="4" w:space="0"/>
            </w:tcBorders>
            <w:noWrap w:val="0"/>
            <w:vAlign w:val="center"/>
          </w:tcPr>
          <w:p w14:paraId="53F42711">
            <w:pPr>
              <w:widowControl/>
              <w:jc w:val="left"/>
              <w:rPr>
                <w:rFonts w:ascii="Times New Roman" w:hAnsi="Times New Roman" w:cs="Times New Roman"/>
                <w:szCs w:val="21"/>
                <w:highlight w:val="none"/>
                <w:u w:val="none" w:color="auto"/>
              </w:rPr>
            </w:pPr>
          </w:p>
        </w:tc>
        <w:tc>
          <w:tcPr>
            <w:tcW w:w="1460" w:type="dxa"/>
            <w:tcBorders>
              <w:top w:val="single" w:color="auto" w:sz="4" w:space="0"/>
              <w:left w:val="single" w:color="auto" w:sz="4" w:space="0"/>
              <w:right w:val="single" w:color="auto" w:sz="4" w:space="0"/>
            </w:tcBorders>
            <w:noWrap w:val="0"/>
            <w:vAlign w:val="center"/>
          </w:tcPr>
          <w:p w14:paraId="7D551F2F">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cs="Times New Roman"/>
                <w:szCs w:val="21"/>
                <w:highlight w:val="none"/>
                <w:u w:val="none" w:color="auto"/>
                <w:lang w:val="en-US" w:eastAsia="zh-CN"/>
              </w:rPr>
              <w:t>感染性</w:t>
            </w:r>
            <w:r>
              <w:rPr>
                <w:rFonts w:hint="eastAsia" w:ascii="Times New Roman" w:hAnsi="Times New Roman" w:eastAsia="宋体" w:cs="Times New Roman"/>
                <w:szCs w:val="21"/>
                <w:highlight w:val="none"/>
                <w:u w:val="none" w:color="auto"/>
                <w:lang w:val="en-US" w:eastAsia="zh-CN"/>
              </w:rPr>
              <w:t>废物</w:t>
            </w:r>
          </w:p>
        </w:tc>
        <w:tc>
          <w:tcPr>
            <w:tcW w:w="1102" w:type="dxa"/>
            <w:vMerge w:val="restart"/>
            <w:tcBorders>
              <w:top w:val="single" w:color="auto" w:sz="4" w:space="0"/>
              <w:left w:val="single" w:color="auto" w:sz="4" w:space="0"/>
              <w:right w:val="single" w:color="auto" w:sz="4" w:space="0"/>
            </w:tcBorders>
            <w:noWrap w:val="0"/>
            <w:vAlign w:val="center"/>
          </w:tcPr>
          <w:p w14:paraId="07A2E917">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eastAsia="zh-CN"/>
              </w:rPr>
              <w:t>各类医疗废物、检验废液</w:t>
            </w:r>
          </w:p>
        </w:tc>
        <w:tc>
          <w:tcPr>
            <w:tcW w:w="2277" w:type="dxa"/>
            <w:vMerge w:val="restart"/>
            <w:tcBorders>
              <w:top w:val="single" w:color="auto" w:sz="4" w:space="0"/>
              <w:left w:val="single" w:color="auto" w:sz="4" w:space="0"/>
              <w:right w:val="single" w:color="auto" w:sz="4" w:space="0"/>
            </w:tcBorders>
            <w:noWrap w:val="0"/>
            <w:vAlign w:val="center"/>
          </w:tcPr>
          <w:p w14:paraId="5C3D0201">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Cs w:val="21"/>
                <w:highlight w:val="none"/>
                <w:u w:val="none" w:color="auto"/>
                <w:lang w:eastAsia="zh-CN"/>
              </w:rPr>
              <w:t>医疗废物暂存间（</w:t>
            </w:r>
            <w:r>
              <w:rPr>
                <w:rFonts w:hint="eastAsia" w:ascii="Times New Roman" w:hAnsi="Times New Roman" w:eastAsia="宋体" w:cs="Times New Roman"/>
                <w:szCs w:val="21"/>
                <w:highlight w:val="none"/>
                <w:u w:val="none" w:color="auto"/>
                <w:lang w:val="en-US" w:eastAsia="zh-CN"/>
              </w:rPr>
              <w:t>10</w:t>
            </w:r>
            <w:r>
              <w:rPr>
                <w:rFonts w:hint="default" w:ascii="Times New Roman" w:hAnsi="Times New Roman" w:eastAsia="宋体" w:cs="Times New Roman"/>
                <w:highlight w:val="none"/>
                <w:u w:val="none" w:color="auto"/>
                <w:lang w:eastAsia="zh-CN"/>
              </w:rPr>
              <w:t>m</w:t>
            </w:r>
            <w:r>
              <w:rPr>
                <w:rFonts w:hint="eastAsia" w:ascii="Times New Roman" w:hAnsi="Times New Roman" w:eastAsia="宋体" w:cs="Times New Roman"/>
                <w:highlight w:val="none"/>
                <w:u w:val="none" w:color="auto"/>
                <w:vertAlign w:val="superscript"/>
                <w:lang w:val="en-US" w:eastAsia="zh-CN"/>
              </w:rPr>
              <w:t>2</w:t>
            </w:r>
            <w:r>
              <w:rPr>
                <w:rFonts w:hint="eastAsia" w:ascii="Times New Roman" w:hAnsi="Times New Roman" w:eastAsia="宋体" w:cs="Times New Roman"/>
                <w:szCs w:val="21"/>
                <w:highlight w:val="none"/>
                <w:u w:val="none" w:color="auto"/>
                <w:lang w:eastAsia="zh-CN"/>
              </w:rPr>
              <w:t>），定期交由株洲市医疗废物集中处置有限公司处置</w:t>
            </w:r>
          </w:p>
        </w:tc>
        <w:tc>
          <w:tcPr>
            <w:tcW w:w="2741" w:type="dxa"/>
            <w:vMerge w:val="restart"/>
            <w:tcBorders>
              <w:top w:val="single" w:color="auto" w:sz="4" w:space="0"/>
              <w:left w:val="single" w:color="auto" w:sz="4" w:space="0"/>
              <w:right w:val="single" w:color="auto" w:sz="8" w:space="0"/>
            </w:tcBorders>
            <w:noWrap w:val="0"/>
            <w:vAlign w:val="center"/>
          </w:tcPr>
          <w:p w14:paraId="254C65A6">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eastAsia="zh-CN"/>
              </w:rPr>
              <w:t>危险废物执行</w:t>
            </w:r>
            <w:r>
              <w:rPr>
                <w:rFonts w:hint="default" w:ascii="Times New Roman" w:hAnsi="Times New Roman" w:eastAsia="宋体" w:cs="Times New Roman"/>
                <w:szCs w:val="21"/>
                <w:highlight w:val="none"/>
                <w:u w:val="none" w:color="auto"/>
                <w:lang w:val="en-US" w:eastAsia="zh-CN"/>
              </w:rPr>
              <w:t>《危险废物贮存污染控制标准》（GB18597-2023）</w:t>
            </w:r>
            <w:r>
              <w:rPr>
                <w:rFonts w:hint="eastAsia" w:ascii="Times New Roman" w:hAnsi="Times New Roman" w:eastAsia="宋体" w:cs="Times New Roman"/>
                <w:szCs w:val="21"/>
                <w:highlight w:val="none"/>
                <w:u w:val="none" w:color="auto"/>
                <w:lang w:eastAsia="zh-CN"/>
              </w:rPr>
              <w:t>；医疗废物收集、贮存、转运和处置执</w:t>
            </w:r>
            <w:r>
              <w:rPr>
                <w:rFonts w:hint="eastAsia" w:ascii="Times New Roman" w:hAnsi="Times New Roman" w:eastAsia="宋体" w:cs="Times New Roman"/>
                <w:sz w:val="21"/>
                <w:szCs w:val="21"/>
                <w:highlight w:val="none"/>
                <w:u w:val="none" w:color="auto"/>
                <w:lang w:eastAsia="zh-CN"/>
              </w:rPr>
              <w:t>行</w:t>
            </w:r>
            <w:r>
              <w:rPr>
                <w:rFonts w:hint="default" w:ascii="Times New Roman" w:hAnsi="Times New Roman" w:eastAsia="宋体" w:cs="Times New Roman"/>
                <w:b w:val="0"/>
                <w:color w:val="000000"/>
                <w:spacing w:val="3"/>
                <w:kern w:val="2"/>
                <w:sz w:val="21"/>
                <w:szCs w:val="21"/>
                <w:highlight w:val="none"/>
                <w:u w:val="none" w:color="auto"/>
                <w:lang w:val="en-US" w:eastAsia="zh-CN" w:bidi="ar-SA"/>
              </w:rPr>
              <w:t>《危险废物贮存污染控制标准》（GB18597-2023）</w:t>
            </w:r>
            <w:r>
              <w:rPr>
                <w:rFonts w:hint="eastAsia" w:ascii="Times New Roman" w:hAnsi="Times New Roman" w:eastAsia="宋体" w:cs="Times New Roman"/>
                <w:sz w:val="21"/>
                <w:szCs w:val="21"/>
                <w:highlight w:val="none"/>
                <w:u w:val="none" w:color="auto"/>
                <w:lang w:eastAsia="zh-CN"/>
              </w:rPr>
              <w:t>和</w:t>
            </w:r>
            <w:r>
              <w:rPr>
                <w:rFonts w:hint="eastAsia" w:ascii="Times New Roman" w:hAnsi="Times New Roman" w:eastAsia="宋体" w:cs="Times New Roman"/>
                <w:szCs w:val="21"/>
                <w:highlight w:val="none"/>
                <w:u w:val="none" w:color="auto"/>
                <w:lang w:eastAsia="zh-CN"/>
              </w:rPr>
              <w:t>《医疗废物转运车技术要求》（试行）中的相关要求，污水处理污泥执行《医疗机构水污染物排放标准》（GB 18466-2005）表4中污泥控制标准</w:t>
            </w:r>
          </w:p>
        </w:tc>
      </w:tr>
      <w:tr w14:paraId="6EC93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20" w:type="dxa"/>
            <w:vMerge w:val="continue"/>
            <w:tcBorders>
              <w:left w:val="single" w:color="auto" w:sz="8" w:space="0"/>
              <w:right w:val="single" w:color="auto" w:sz="4" w:space="0"/>
            </w:tcBorders>
            <w:noWrap w:val="0"/>
            <w:vAlign w:val="center"/>
          </w:tcPr>
          <w:p w14:paraId="65192A09">
            <w:pPr>
              <w:adjustRightInd w:val="0"/>
              <w:snapToGrid w:val="0"/>
              <w:jc w:val="center"/>
            </w:pPr>
          </w:p>
        </w:tc>
        <w:tc>
          <w:tcPr>
            <w:tcW w:w="1460" w:type="dxa"/>
            <w:tcBorders>
              <w:top w:val="single" w:color="auto" w:sz="4" w:space="0"/>
              <w:left w:val="single" w:color="auto" w:sz="4" w:space="0"/>
              <w:right w:val="single" w:color="auto" w:sz="4" w:space="0"/>
            </w:tcBorders>
            <w:noWrap w:val="0"/>
            <w:vAlign w:val="center"/>
          </w:tcPr>
          <w:p w14:paraId="7B330A62">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cs="Times New Roman"/>
                <w:szCs w:val="21"/>
                <w:highlight w:val="none"/>
                <w:u w:val="none" w:color="auto"/>
                <w:lang w:val="en-US" w:eastAsia="zh-CN"/>
              </w:rPr>
              <w:t>损伤性废物</w:t>
            </w:r>
          </w:p>
        </w:tc>
        <w:tc>
          <w:tcPr>
            <w:tcW w:w="1102" w:type="dxa"/>
            <w:vMerge w:val="continue"/>
            <w:tcBorders>
              <w:left w:val="single" w:color="auto" w:sz="4" w:space="0"/>
              <w:right w:val="single" w:color="auto" w:sz="4" w:space="0"/>
            </w:tcBorders>
            <w:noWrap w:val="0"/>
            <w:vAlign w:val="center"/>
          </w:tcPr>
          <w:p w14:paraId="333D7B8D">
            <w:pPr>
              <w:adjustRightInd w:val="0"/>
              <w:snapToGrid w:val="0"/>
              <w:jc w:val="center"/>
              <w:rPr>
                <w:rFonts w:hint="eastAsia" w:ascii="Times New Roman" w:hAnsi="Times New Roman" w:eastAsia="宋体" w:cs="Times New Roman"/>
                <w:szCs w:val="21"/>
                <w:highlight w:val="none"/>
                <w:u w:val="none" w:color="auto"/>
                <w:lang w:val="en-US" w:eastAsia="zh-CN"/>
              </w:rPr>
            </w:pPr>
          </w:p>
        </w:tc>
        <w:tc>
          <w:tcPr>
            <w:tcW w:w="2277" w:type="dxa"/>
            <w:vMerge w:val="continue"/>
            <w:tcBorders>
              <w:left w:val="single" w:color="auto" w:sz="4" w:space="0"/>
              <w:right w:val="single" w:color="auto" w:sz="4" w:space="0"/>
            </w:tcBorders>
            <w:noWrap w:val="0"/>
            <w:vAlign w:val="center"/>
          </w:tcPr>
          <w:p w14:paraId="04C83D6C">
            <w:pPr>
              <w:adjustRightInd w:val="0"/>
              <w:snapToGrid w:val="0"/>
              <w:jc w:val="center"/>
              <w:rPr>
                <w:rFonts w:hint="eastAsia" w:ascii="Times New Roman" w:hAnsi="Times New Roman" w:eastAsia="宋体" w:cs="Times New Roman"/>
                <w:szCs w:val="21"/>
                <w:highlight w:val="none"/>
                <w:u w:val="none" w:color="auto"/>
                <w:lang w:val="en-US" w:eastAsia="zh-CN"/>
              </w:rPr>
            </w:pPr>
          </w:p>
        </w:tc>
        <w:tc>
          <w:tcPr>
            <w:tcW w:w="2741" w:type="dxa"/>
            <w:vMerge w:val="continue"/>
            <w:tcBorders>
              <w:left w:val="single" w:color="auto" w:sz="4" w:space="0"/>
              <w:right w:val="single" w:color="auto" w:sz="8" w:space="0"/>
            </w:tcBorders>
            <w:noWrap w:val="0"/>
            <w:vAlign w:val="center"/>
          </w:tcPr>
          <w:p w14:paraId="48D8640E">
            <w:pPr>
              <w:adjustRightInd w:val="0"/>
              <w:snapToGrid w:val="0"/>
              <w:jc w:val="center"/>
              <w:rPr>
                <w:rFonts w:hint="eastAsia" w:ascii="Times New Roman" w:hAnsi="Times New Roman" w:eastAsia="宋体" w:cs="Times New Roman"/>
                <w:szCs w:val="21"/>
                <w:highlight w:val="none"/>
                <w:u w:val="none" w:color="auto"/>
                <w:lang w:val="en-US" w:eastAsia="zh-CN"/>
              </w:rPr>
            </w:pPr>
          </w:p>
        </w:tc>
      </w:tr>
      <w:tr w14:paraId="3F812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220" w:type="dxa"/>
            <w:vMerge w:val="continue"/>
            <w:tcBorders>
              <w:left w:val="single" w:color="auto" w:sz="8" w:space="0"/>
              <w:right w:val="single" w:color="auto" w:sz="4" w:space="0"/>
            </w:tcBorders>
            <w:noWrap w:val="0"/>
            <w:vAlign w:val="center"/>
          </w:tcPr>
          <w:p w14:paraId="5FDAE32E">
            <w:pPr>
              <w:adjustRightInd w:val="0"/>
              <w:snapToGrid w:val="0"/>
              <w:jc w:val="center"/>
              <w:rPr>
                <w:rFonts w:hint="eastAsia" w:ascii="Times New Roman" w:hAnsi="Times New Roman" w:eastAsia="宋体" w:cs="Times New Roman"/>
                <w:szCs w:val="21"/>
                <w:highlight w:val="none"/>
                <w:u w:val="none" w:color="auto"/>
                <w:lang w:val="en-US" w:eastAsia="zh-CN"/>
              </w:rPr>
            </w:pPr>
          </w:p>
        </w:tc>
        <w:tc>
          <w:tcPr>
            <w:tcW w:w="1460" w:type="dxa"/>
            <w:tcBorders>
              <w:top w:val="single" w:color="auto" w:sz="4" w:space="0"/>
              <w:left w:val="single" w:color="auto" w:sz="4" w:space="0"/>
              <w:right w:val="single" w:color="auto" w:sz="4" w:space="0"/>
            </w:tcBorders>
            <w:noWrap w:val="0"/>
            <w:vAlign w:val="center"/>
          </w:tcPr>
          <w:p w14:paraId="2F0FD1AC">
            <w:pPr>
              <w:adjustRightInd w:val="0"/>
              <w:snapToGrid w:val="0"/>
              <w:jc w:val="center"/>
              <w:rPr>
                <w:rFonts w:hint="default" w:ascii="Times New Roman" w:hAnsi="Times New Roman" w:eastAsia="宋体" w:cs="Times New Roman"/>
                <w:szCs w:val="21"/>
                <w:highlight w:val="none"/>
                <w:u w:val="none" w:color="auto"/>
                <w:lang w:val="en-US" w:eastAsia="zh-CN"/>
              </w:rPr>
            </w:pPr>
            <w:r>
              <w:rPr>
                <w:rFonts w:hint="eastAsia" w:cs="Times New Roman"/>
                <w:szCs w:val="21"/>
                <w:highlight w:val="none"/>
                <w:u w:val="none" w:color="auto"/>
                <w:lang w:val="en-US" w:eastAsia="zh-CN"/>
              </w:rPr>
              <w:t>药物性废物</w:t>
            </w:r>
          </w:p>
        </w:tc>
        <w:tc>
          <w:tcPr>
            <w:tcW w:w="1102" w:type="dxa"/>
            <w:vMerge w:val="continue"/>
            <w:tcBorders>
              <w:left w:val="single" w:color="auto" w:sz="4" w:space="0"/>
              <w:bottom w:val="single" w:color="auto" w:sz="4" w:space="0"/>
              <w:right w:val="single" w:color="auto" w:sz="4" w:space="0"/>
            </w:tcBorders>
            <w:noWrap w:val="0"/>
            <w:vAlign w:val="center"/>
          </w:tcPr>
          <w:p w14:paraId="548BF06A">
            <w:pPr>
              <w:adjustRightInd w:val="0"/>
              <w:snapToGrid w:val="0"/>
              <w:jc w:val="center"/>
              <w:rPr>
                <w:rFonts w:hint="eastAsia" w:ascii="Times New Roman" w:hAnsi="Times New Roman" w:eastAsia="宋体" w:cs="Times New Roman"/>
                <w:szCs w:val="21"/>
                <w:highlight w:val="none"/>
                <w:u w:val="none" w:color="auto"/>
                <w:lang w:val="en-US" w:eastAsia="zh-CN"/>
              </w:rPr>
            </w:pPr>
          </w:p>
        </w:tc>
        <w:tc>
          <w:tcPr>
            <w:tcW w:w="2277" w:type="dxa"/>
            <w:vMerge w:val="continue"/>
            <w:tcBorders>
              <w:left w:val="single" w:color="auto" w:sz="4" w:space="0"/>
              <w:bottom w:val="single" w:color="auto" w:sz="4" w:space="0"/>
              <w:right w:val="single" w:color="auto" w:sz="4" w:space="0"/>
            </w:tcBorders>
            <w:noWrap w:val="0"/>
            <w:vAlign w:val="center"/>
          </w:tcPr>
          <w:p w14:paraId="0C9B0F92">
            <w:pPr>
              <w:adjustRightInd w:val="0"/>
              <w:snapToGrid w:val="0"/>
              <w:jc w:val="center"/>
              <w:rPr>
                <w:rFonts w:hint="eastAsia" w:ascii="Times New Roman" w:hAnsi="Times New Roman" w:eastAsia="宋体" w:cs="Times New Roman"/>
                <w:szCs w:val="21"/>
                <w:highlight w:val="none"/>
                <w:u w:val="none" w:color="auto"/>
                <w:lang w:val="en-US" w:eastAsia="zh-CN"/>
              </w:rPr>
            </w:pPr>
          </w:p>
        </w:tc>
        <w:tc>
          <w:tcPr>
            <w:tcW w:w="2741" w:type="dxa"/>
            <w:vMerge w:val="continue"/>
            <w:tcBorders>
              <w:left w:val="single" w:color="auto" w:sz="4" w:space="0"/>
              <w:right w:val="single" w:color="auto" w:sz="8" w:space="0"/>
            </w:tcBorders>
            <w:noWrap w:val="0"/>
            <w:vAlign w:val="center"/>
          </w:tcPr>
          <w:p w14:paraId="63D256E9">
            <w:pPr>
              <w:adjustRightInd w:val="0"/>
              <w:snapToGrid w:val="0"/>
              <w:jc w:val="center"/>
              <w:rPr>
                <w:rFonts w:hint="eastAsia" w:ascii="Times New Roman" w:hAnsi="Times New Roman" w:eastAsia="宋体" w:cs="Times New Roman"/>
                <w:szCs w:val="21"/>
                <w:highlight w:val="none"/>
                <w:u w:val="none" w:color="auto"/>
                <w:lang w:val="en-US" w:eastAsia="zh-CN"/>
              </w:rPr>
            </w:pPr>
          </w:p>
        </w:tc>
      </w:tr>
      <w:tr w14:paraId="06369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220" w:type="dxa"/>
            <w:vMerge w:val="continue"/>
            <w:tcBorders>
              <w:left w:val="single" w:color="auto" w:sz="8" w:space="0"/>
              <w:right w:val="single" w:color="auto" w:sz="4" w:space="0"/>
            </w:tcBorders>
            <w:noWrap w:val="0"/>
            <w:vAlign w:val="center"/>
          </w:tcPr>
          <w:p w14:paraId="6C6190D6">
            <w:pPr>
              <w:widowControl/>
              <w:jc w:val="left"/>
              <w:rPr>
                <w:rFonts w:ascii="Times New Roman" w:hAnsi="Times New Roman" w:cs="Times New Roman"/>
                <w:szCs w:val="21"/>
                <w:highlight w:val="none"/>
                <w:u w:val="none" w:color="auto"/>
              </w:rPr>
            </w:pPr>
          </w:p>
        </w:tc>
        <w:tc>
          <w:tcPr>
            <w:tcW w:w="1460" w:type="dxa"/>
            <w:tcBorders>
              <w:left w:val="single" w:color="auto" w:sz="4" w:space="0"/>
              <w:right w:val="single" w:color="auto" w:sz="4" w:space="0"/>
            </w:tcBorders>
            <w:noWrap w:val="0"/>
            <w:vAlign w:val="center"/>
          </w:tcPr>
          <w:p w14:paraId="1CD3FA02">
            <w:pPr>
              <w:adjustRightInd w:val="0"/>
              <w:snapToGrid w:val="0"/>
              <w:jc w:val="center"/>
              <w:rPr>
                <w:rFonts w:hint="eastAsia" w:ascii="Times New Roman" w:hAnsi="Times New Roman" w:eastAsia="宋体" w:cs="Times New Roman"/>
                <w:szCs w:val="21"/>
                <w:highlight w:val="none"/>
                <w:u w:val="none" w:color="auto"/>
                <w:lang w:val="en-US" w:eastAsia="zh-CN"/>
              </w:rPr>
            </w:pPr>
            <w:r>
              <w:rPr>
                <w:rFonts w:hint="eastAsia" w:ascii="Times New Roman" w:hAnsi="Times New Roman" w:eastAsia="宋体" w:cs="Times New Roman"/>
                <w:szCs w:val="21"/>
                <w:highlight w:val="none"/>
                <w:u w:val="none" w:color="auto"/>
                <w:lang w:val="en-US" w:eastAsia="zh-CN"/>
              </w:rPr>
              <w:t>危险废物</w:t>
            </w:r>
          </w:p>
        </w:tc>
        <w:tc>
          <w:tcPr>
            <w:tcW w:w="1102" w:type="dxa"/>
            <w:tcBorders>
              <w:top w:val="single" w:color="auto" w:sz="4" w:space="0"/>
              <w:left w:val="single" w:color="auto" w:sz="4" w:space="0"/>
              <w:right w:val="single" w:color="auto" w:sz="4" w:space="0"/>
            </w:tcBorders>
            <w:noWrap w:val="0"/>
            <w:vAlign w:val="center"/>
          </w:tcPr>
          <w:p w14:paraId="08AEA48C">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Cs w:val="21"/>
                <w:highlight w:val="none"/>
                <w:u w:val="none" w:color="auto"/>
                <w:lang w:eastAsia="zh-CN"/>
              </w:rPr>
              <w:t>污水处理站污泥</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B4063C4">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eastAsia" w:ascii="Times New Roman" w:hAnsi="Times New Roman" w:eastAsia="宋体" w:cs="Times New Roman"/>
                <w:szCs w:val="21"/>
                <w:highlight w:val="none"/>
                <w:u w:val="none" w:color="auto"/>
                <w:lang w:eastAsia="zh-CN"/>
              </w:rPr>
              <w:t>交由有资质单位处置，不在院内暂存</w:t>
            </w:r>
          </w:p>
        </w:tc>
        <w:tc>
          <w:tcPr>
            <w:tcW w:w="2741" w:type="dxa"/>
            <w:vMerge w:val="continue"/>
            <w:tcBorders>
              <w:left w:val="single" w:color="auto" w:sz="4" w:space="0"/>
              <w:bottom w:val="single" w:color="auto" w:sz="4" w:space="0"/>
              <w:right w:val="single" w:color="auto" w:sz="8" w:space="0"/>
            </w:tcBorders>
            <w:noWrap w:val="0"/>
            <w:vAlign w:val="center"/>
          </w:tcPr>
          <w:p w14:paraId="54ADA384">
            <w:pPr>
              <w:adjustRightInd w:val="0"/>
              <w:snapToGrid w:val="0"/>
              <w:jc w:val="center"/>
              <w:rPr>
                <w:rFonts w:hint="default" w:ascii="Times New Roman" w:hAnsi="Times New Roman" w:eastAsia="宋体" w:cs="Times New Roman"/>
                <w:szCs w:val="21"/>
                <w:highlight w:val="none"/>
                <w:u w:val="none" w:color="auto"/>
                <w:lang w:val="en-US" w:eastAsia="zh-CN"/>
              </w:rPr>
            </w:pPr>
          </w:p>
        </w:tc>
      </w:tr>
      <w:tr w14:paraId="30840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6259D59A">
            <w:pPr>
              <w:adjustRightInd w:val="0"/>
              <w:snapToGrid w:val="0"/>
              <w:jc w:val="center"/>
              <w:rPr>
                <w:rFonts w:ascii="Times New Roman" w:hAnsi="Times New Roman" w:eastAsia="宋体" w:cs="Times New Roman"/>
                <w:szCs w:val="21"/>
                <w:highlight w:val="none"/>
                <w:u w:val="none" w:color="auto"/>
              </w:rPr>
            </w:pPr>
            <w:r>
              <w:rPr>
                <w:rFonts w:ascii="Times New Roman" w:hAnsi="Times New Roman" w:eastAsia="宋体" w:cs="Times New Roman"/>
                <w:szCs w:val="21"/>
                <w:highlight w:val="none"/>
                <w:u w:val="none" w:color="auto"/>
              </w:rPr>
              <w:t>土壤及地下水污染防治措施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139B57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sz w:val="21"/>
                <w:szCs w:val="21"/>
                <w:highlight w:val="none"/>
                <w:u w:val="none" w:color="auto"/>
              </w:rPr>
            </w:pPr>
            <w:r>
              <w:rPr>
                <w:rFonts w:hint="eastAsia" w:ascii="Times New Roman" w:hAnsi="Times New Roman" w:eastAsia="宋体" w:cs="Times New Roman"/>
                <w:sz w:val="21"/>
                <w:szCs w:val="21"/>
                <w:highlight w:val="none"/>
                <w:u w:val="none" w:color="auto"/>
                <w:lang w:eastAsia="zh-CN"/>
              </w:rPr>
              <w:t>医疗废物</w:t>
            </w:r>
            <w:r>
              <w:rPr>
                <w:rFonts w:hint="eastAsia" w:ascii="Times New Roman" w:hAnsi="Times New Roman" w:eastAsia="宋体" w:cs="Times New Roman"/>
                <w:sz w:val="21"/>
                <w:szCs w:val="21"/>
                <w:highlight w:val="none"/>
                <w:u w:val="none" w:color="auto"/>
              </w:rPr>
              <w:t>暂存间、污水处理站等采取重点防渗措施</w:t>
            </w:r>
            <w:r>
              <w:rPr>
                <w:rFonts w:hint="eastAsia" w:ascii="Times New Roman" w:hAnsi="Times New Roman" w:eastAsia="宋体" w:cs="Times New Roman"/>
                <w:sz w:val="21"/>
                <w:szCs w:val="21"/>
                <w:highlight w:val="none"/>
                <w:u w:val="none" w:color="auto"/>
                <w:lang w:eastAsia="zh-CN"/>
              </w:rPr>
              <w:t>，</w:t>
            </w:r>
            <w:r>
              <w:rPr>
                <w:rFonts w:ascii="Times New Roman" w:hAnsi="Times New Roman" w:eastAsia="宋体" w:cs="Times New Roman"/>
                <w:sz w:val="21"/>
                <w:szCs w:val="21"/>
                <w:highlight w:val="none"/>
                <w:u w:val="none" w:color="auto"/>
              </w:rPr>
              <w:t>防渗要求为防渗层为至少 2mm 厚高密度聚乙烯，渗透系数≤10</w:t>
            </w:r>
            <w:r>
              <w:rPr>
                <w:rFonts w:ascii="Times New Roman" w:hAnsi="Times New Roman" w:eastAsia="宋体" w:cs="Times New Roman"/>
                <w:sz w:val="21"/>
                <w:szCs w:val="21"/>
                <w:highlight w:val="none"/>
                <w:u w:val="none" w:color="auto"/>
                <w:vertAlign w:val="superscript"/>
              </w:rPr>
              <w:t>-10</w:t>
            </w:r>
            <w:r>
              <w:rPr>
                <w:rFonts w:ascii="Times New Roman" w:hAnsi="Times New Roman" w:eastAsia="宋体" w:cs="Times New Roman"/>
                <w:sz w:val="21"/>
                <w:szCs w:val="21"/>
                <w:highlight w:val="none"/>
                <w:u w:val="none" w:color="auto"/>
              </w:rPr>
              <w:t>cm/s。</w:t>
            </w:r>
          </w:p>
          <w:p w14:paraId="7451A8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eastAsia="宋体" w:cs="Times New Roman"/>
                <w:szCs w:val="21"/>
                <w:highlight w:val="none"/>
                <w:u w:val="none" w:color="auto"/>
                <w:lang w:val="en-US" w:eastAsia="zh-CN"/>
              </w:rPr>
            </w:pPr>
            <w:r>
              <w:rPr>
                <w:sz w:val="21"/>
                <w:szCs w:val="21"/>
                <w:highlight w:val="none"/>
                <w:u w:val="none" w:color="auto"/>
              </w:rPr>
              <w:t xml:space="preserve">一般防渗区：采用混凝土硬化，确保渗透系数 </w:t>
            </w:r>
            <w:r>
              <w:rPr>
                <w:rFonts w:ascii="Times New Roman" w:hAnsi="Times New Roman" w:eastAsia="Times New Roman"/>
                <w:sz w:val="21"/>
                <w:szCs w:val="21"/>
                <w:highlight w:val="none"/>
                <w:u w:val="none" w:color="auto"/>
              </w:rPr>
              <w:t>K≤1.0×10</w:t>
            </w:r>
            <w:r>
              <w:rPr>
                <w:rFonts w:ascii="Times New Roman" w:hAnsi="Times New Roman" w:eastAsia="Times New Roman"/>
                <w:position w:val="7"/>
                <w:sz w:val="21"/>
                <w:szCs w:val="21"/>
                <w:highlight w:val="none"/>
                <w:u w:val="none" w:color="auto"/>
                <w:vertAlign w:val="superscript"/>
              </w:rPr>
              <w:t>-7</w:t>
            </w:r>
            <w:r>
              <w:rPr>
                <w:rFonts w:ascii="Times New Roman" w:hAnsi="Times New Roman" w:eastAsia="Times New Roman"/>
                <w:sz w:val="21"/>
                <w:szCs w:val="21"/>
                <w:highlight w:val="none"/>
                <w:u w:val="none" w:color="auto"/>
              </w:rPr>
              <w:t>cm/s</w:t>
            </w:r>
            <w:r>
              <w:rPr>
                <w:sz w:val="21"/>
                <w:szCs w:val="21"/>
                <w:highlight w:val="none"/>
                <w:u w:val="none" w:color="auto"/>
              </w:rPr>
              <w:t>。</w:t>
            </w:r>
          </w:p>
        </w:tc>
      </w:tr>
      <w:tr w14:paraId="59234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70B7CDED">
            <w:pPr>
              <w:adjustRightInd w:val="0"/>
              <w:snapToGrid w:val="0"/>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cs="Times New Roman"/>
                <w:sz w:val="21"/>
                <w:szCs w:val="21"/>
                <w:highlight w:val="none"/>
                <w:u w:val="none" w:color="auto"/>
              </w:rPr>
              <w:t>生态保护措施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19599A7A">
            <w:pPr>
              <w:adjustRightInd w:val="0"/>
              <w:snapToGrid w:val="0"/>
              <w:jc w:val="center"/>
              <w:rPr>
                <w:rFonts w:hint="eastAsia"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cs="Times New Roman"/>
                <w:sz w:val="21"/>
                <w:szCs w:val="21"/>
                <w:highlight w:val="none"/>
                <w:u w:val="none" w:color="auto"/>
              </w:rPr>
              <w:t>/</w:t>
            </w:r>
          </w:p>
        </w:tc>
      </w:tr>
      <w:tr w14:paraId="7C6A7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02C0E5C4">
            <w:pPr>
              <w:adjustRightInd w:val="0"/>
              <w:snapToGrid w:val="0"/>
              <w:jc w:val="center"/>
              <w:rPr>
                <w:rFonts w:ascii="Times New Roman" w:hAnsi="Times New Roman" w:cs="Times New Roman"/>
                <w:spacing w:val="-8"/>
                <w:szCs w:val="21"/>
                <w:highlight w:val="none"/>
                <w:u w:val="none" w:color="auto"/>
              </w:rPr>
            </w:pPr>
            <w:r>
              <w:rPr>
                <w:rFonts w:ascii="Times New Roman" w:hAnsi="Times New Roman" w:cs="Times New Roman"/>
                <w:spacing w:val="-8"/>
                <w:szCs w:val="21"/>
                <w:highlight w:val="none"/>
                <w:u w:val="none" w:color="auto"/>
              </w:rPr>
              <w:t>环境风险防范措施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70223E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imes New Roman" w:hAnsi="Times New Roman" w:eastAsia="宋体" w:cs="Times New Roman"/>
                <w:szCs w:val="21"/>
                <w:highlight w:val="none"/>
                <w:u w:val="none" w:color="auto"/>
                <w:lang w:eastAsia="zh-CN"/>
              </w:rPr>
            </w:pPr>
            <w:r>
              <w:rPr>
                <w:rFonts w:hint="eastAsia" w:ascii="Times New Roman" w:hAnsi="Times New Roman" w:cs="Times New Roman"/>
                <w:highlight w:val="none"/>
                <w:u w:val="none" w:color="auto"/>
                <w:lang w:eastAsia="zh-CN"/>
              </w:rPr>
              <w:t>医院</w:t>
            </w:r>
            <w:r>
              <w:rPr>
                <w:rFonts w:hint="eastAsia" w:ascii="Times New Roman" w:hAnsi="Times New Roman" w:cs="Times New Roman"/>
                <w:highlight w:val="none"/>
                <w:u w:val="none" w:color="auto"/>
              </w:rPr>
              <w:t>应制定环境风险管理制度，包括制定</w:t>
            </w:r>
            <w:r>
              <w:rPr>
                <w:rFonts w:hint="eastAsia" w:ascii="Times New Roman" w:hAnsi="Times New Roman" w:cs="Times New Roman"/>
                <w:highlight w:val="none"/>
                <w:u w:val="none" w:color="auto"/>
                <w:lang w:eastAsia="zh-CN"/>
              </w:rPr>
              <w:t>废水处理设施</w:t>
            </w:r>
            <w:r>
              <w:rPr>
                <w:rFonts w:hint="eastAsia" w:ascii="Times New Roman" w:hAnsi="Times New Roman" w:cs="Times New Roman"/>
                <w:highlight w:val="none"/>
                <w:u w:val="none" w:color="auto"/>
              </w:rPr>
              <w:t>管理、</w:t>
            </w:r>
            <w:r>
              <w:rPr>
                <w:rFonts w:hint="eastAsia" w:ascii="Times New Roman" w:hAnsi="Times New Roman" w:cs="Times New Roman"/>
                <w:highlight w:val="none"/>
                <w:u w:val="none" w:color="auto"/>
                <w:lang w:eastAsia="zh-CN"/>
              </w:rPr>
              <w:t>院区</w:t>
            </w:r>
            <w:r>
              <w:rPr>
                <w:rFonts w:hint="eastAsia" w:ascii="Times New Roman" w:hAnsi="Times New Roman" w:cs="Times New Roman"/>
                <w:highlight w:val="none"/>
                <w:u w:val="none" w:color="auto"/>
              </w:rPr>
              <w:t>等环保管理制度，明确规定了</w:t>
            </w:r>
            <w:r>
              <w:rPr>
                <w:rFonts w:hint="eastAsia" w:ascii="Times New Roman" w:hAnsi="Times New Roman" w:cs="Times New Roman"/>
                <w:highlight w:val="none"/>
                <w:u w:val="none" w:color="auto"/>
                <w:lang w:eastAsia="zh-CN"/>
              </w:rPr>
              <w:t>废水处理</w:t>
            </w:r>
            <w:r>
              <w:rPr>
                <w:rFonts w:hint="eastAsia" w:ascii="Times New Roman" w:hAnsi="Times New Roman" w:cs="Times New Roman"/>
                <w:highlight w:val="none"/>
                <w:u w:val="none" w:color="auto"/>
              </w:rPr>
              <w:t>作业要求、环保管理要求等内容；对环境风险源、</w:t>
            </w:r>
            <w:r>
              <w:rPr>
                <w:rFonts w:hint="eastAsia" w:ascii="Times New Roman" w:hAnsi="Times New Roman" w:cs="Times New Roman"/>
                <w:highlight w:val="none"/>
                <w:u w:val="none" w:color="auto"/>
                <w:lang w:eastAsia="zh-CN"/>
              </w:rPr>
              <w:t>废水处理</w:t>
            </w:r>
            <w:r>
              <w:rPr>
                <w:rFonts w:hint="eastAsia" w:ascii="Times New Roman" w:hAnsi="Times New Roman" w:cs="Times New Roman"/>
                <w:highlight w:val="none"/>
                <w:u w:val="none" w:color="auto"/>
              </w:rPr>
              <w:t>区域有定期巡查制度。 有利于及时发现环境风险隐患及事故，迅速进行报告并采取措施；落实了责任制，并张贴上墙；</w:t>
            </w:r>
            <w:r>
              <w:rPr>
                <w:rFonts w:hint="eastAsia" w:ascii="Times New Roman" w:hAnsi="Times New Roman" w:cs="Times New Roman"/>
                <w:highlight w:val="none"/>
                <w:u w:val="none" w:color="auto"/>
                <w:lang w:eastAsia="zh-CN"/>
              </w:rPr>
              <w:t>医院</w:t>
            </w:r>
            <w:r>
              <w:rPr>
                <w:rFonts w:hint="eastAsia" w:ascii="Times New Roman" w:hAnsi="Times New Roman" w:cs="Times New Roman"/>
                <w:highlight w:val="none"/>
                <w:u w:val="none" w:color="auto"/>
              </w:rPr>
              <w:t>设置有兼职人员负责环保事宜</w:t>
            </w:r>
            <w:r>
              <w:rPr>
                <w:rFonts w:hint="eastAsia" w:ascii="Times New Roman" w:hAnsi="Times New Roman" w:cs="Times New Roman"/>
                <w:highlight w:val="none"/>
                <w:u w:val="none" w:color="auto"/>
                <w:lang w:eastAsia="zh-CN"/>
              </w:rPr>
              <w:t>，</w:t>
            </w:r>
            <w:r>
              <w:rPr>
                <w:rFonts w:hint="eastAsia" w:ascii="Times New Roman" w:hAnsi="Times New Roman" w:cs="Times New Roman"/>
                <w:highlight w:val="none"/>
                <w:u w:val="none" w:color="auto"/>
              </w:rPr>
              <w:t>加强人员现场管理</w:t>
            </w:r>
            <w:r>
              <w:rPr>
                <w:rFonts w:hint="eastAsia" w:ascii="Times New Roman" w:hAnsi="Times New Roman" w:cs="Times New Roman"/>
                <w:highlight w:val="none"/>
                <w:u w:val="none" w:color="auto"/>
                <w:lang w:eastAsia="zh-CN"/>
              </w:rPr>
              <w:t>。</w:t>
            </w:r>
          </w:p>
        </w:tc>
      </w:tr>
      <w:tr w14:paraId="58A0E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14:paraId="1543E4E7">
            <w:pPr>
              <w:adjustRightInd w:val="0"/>
              <w:snapToGrid w:val="0"/>
              <w:jc w:val="center"/>
              <w:rPr>
                <w:rFonts w:hint="default" w:ascii="Times New Roman" w:hAnsi="Times New Roman" w:eastAsia="宋体" w:cs="Times New Roman"/>
                <w:spacing w:val="-8"/>
                <w:szCs w:val="21"/>
                <w:highlight w:val="none"/>
                <w:u w:val="none" w:color="auto"/>
              </w:rPr>
            </w:pPr>
            <w:r>
              <w:rPr>
                <w:rFonts w:hint="default" w:ascii="Times New Roman" w:hAnsi="Times New Roman" w:eastAsia="宋体" w:cs="Times New Roman"/>
                <w:spacing w:val="-8"/>
                <w:szCs w:val="21"/>
                <w:highlight w:val="none"/>
                <w:u w:val="none" w:color="auto"/>
              </w:rPr>
              <w:t>其他环境</w:t>
            </w:r>
          </w:p>
          <w:p w14:paraId="2F20DB7D">
            <w:pPr>
              <w:adjustRightInd w:val="0"/>
              <w:snapToGrid w:val="0"/>
              <w:jc w:val="center"/>
              <w:rPr>
                <w:rFonts w:hint="default" w:ascii="Times New Roman" w:hAnsi="Times New Roman" w:eastAsia="宋体" w:cs="Times New Roman"/>
                <w:spacing w:val="-8"/>
                <w:szCs w:val="21"/>
                <w:highlight w:val="none"/>
                <w:u w:val="none" w:color="auto"/>
                <w:lang w:val="en-US" w:eastAsia="zh-CN"/>
              </w:rPr>
            </w:pPr>
            <w:r>
              <w:rPr>
                <w:rFonts w:hint="default" w:ascii="Times New Roman" w:hAnsi="Times New Roman" w:eastAsia="宋体" w:cs="Times New Roman"/>
                <w:spacing w:val="-8"/>
                <w:szCs w:val="21"/>
                <w:highlight w:val="none"/>
                <w:u w:val="none" w:color="auto"/>
              </w:rPr>
              <w:t>管理要求</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14:paraId="47BB7C5B">
            <w:pPr>
              <w:keepNext w:val="0"/>
              <w:keepLines w:val="0"/>
              <w:pageBreakBefore w:val="0"/>
              <w:widowControl w:val="0"/>
              <w:kinsoku/>
              <w:wordWrap/>
              <w:overflowPunct/>
              <w:topLinePunct w:val="0"/>
              <w:autoSpaceDE/>
              <w:autoSpaceDN/>
              <w:bidi w:val="0"/>
              <w:adjustRightInd w:val="0"/>
              <w:snapToGrid w:val="0"/>
              <w:ind w:firstLine="388" w:firstLineChars="200"/>
              <w:jc w:val="left"/>
              <w:textAlignment w:val="auto"/>
              <w:rPr>
                <w:rFonts w:hint="default" w:ascii="Times New Roman" w:hAnsi="Times New Roman" w:eastAsia="宋体" w:cs="Times New Roman"/>
                <w:spacing w:val="-8"/>
                <w:szCs w:val="21"/>
                <w:highlight w:val="none"/>
                <w:u w:val="none" w:color="auto"/>
              </w:rPr>
            </w:pPr>
          </w:p>
          <w:p w14:paraId="32EB1FA0">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rPr>
            </w:pPr>
            <w:r>
              <w:rPr>
                <w:rFonts w:hint="eastAsia" w:ascii="Times New Roman" w:hAnsi="Times New Roman" w:eastAsia="宋体" w:cs="Times New Roman"/>
                <w:spacing w:val="-8"/>
                <w:szCs w:val="21"/>
                <w:highlight w:val="none"/>
                <w:u w:val="none" w:color="auto"/>
                <w:lang w:val="en-US" w:eastAsia="zh-CN"/>
              </w:rPr>
              <w:t>（1）编制应急预案并每三年修编一次</w:t>
            </w:r>
          </w:p>
          <w:p w14:paraId="116531B2">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rPr>
            </w:pPr>
            <w:r>
              <w:rPr>
                <w:rFonts w:hint="eastAsia" w:cs="Times New Roman"/>
                <w:spacing w:val="-8"/>
                <w:szCs w:val="21"/>
                <w:highlight w:val="none"/>
                <w:u w:val="none" w:color="auto"/>
                <w:lang w:eastAsia="zh-CN"/>
              </w:rPr>
              <w:t>（</w:t>
            </w:r>
            <w:r>
              <w:rPr>
                <w:rFonts w:hint="eastAsia" w:cs="Times New Roman"/>
                <w:spacing w:val="-8"/>
                <w:szCs w:val="21"/>
                <w:highlight w:val="none"/>
                <w:u w:val="none" w:color="auto"/>
                <w:lang w:val="en-US" w:eastAsia="zh-CN"/>
              </w:rPr>
              <w:t>2）</w:t>
            </w:r>
            <w:r>
              <w:rPr>
                <w:rFonts w:hint="eastAsia" w:ascii="Times New Roman" w:hAnsi="Times New Roman" w:eastAsia="宋体" w:cs="Times New Roman"/>
                <w:spacing w:val="-8"/>
                <w:szCs w:val="21"/>
                <w:highlight w:val="none"/>
                <w:u w:val="none" w:color="auto"/>
              </w:rPr>
              <w:t>竣工环境保护验收</w:t>
            </w:r>
          </w:p>
          <w:p w14:paraId="4CE51A8D">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rPr>
            </w:pPr>
            <w:r>
              <w:rPr>
                <w:rFonts w:hint="eastAsia" w:ascii="Times New Roman" w:hAnsi="Times New Roman" w:eastAsia="宋体" w:cs="Times New Roman"/>
                <w:spacing w:val="-8"/>
                <w:szCs w:val="21"/>
                <w:highlight w:val="none"/>
                <w:u w:val="none" w:color="auto"/>
              </w:rPr>
              <w:t>根据《建设项目竣工环境保护验收暂行办法》（国环规环评〔2017〕4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项目配套建设的环保设施经验收合格，方可投入生产或使用。</w:t>
            </w:r>
          </w:p>
          <w:p w14:paraId="5F77589E">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rPr>
            </w:pPr>
            <w:r>
              <w:rPr>
                <w:rFonts w:hint="eastAsia" w:ascii="Times New Roman" w:hAnsi="Times New Roman" w:eastAsia="宋体" w:cs="Times New Roman"/>
                <w:spacing w:val="-8"/>
                <w:szCs w:val="21"/>
                <w:highlight w:val="none"/>
                <w:u w:val="none" w:color="auto"/>
              </w:rPr>
              <w:t>（</w:t>
            </w:r>
            <w:r>
              <w:rPr>
                <w:rFonts w:hint="eastAsia" w:cs="Times New Roman"/>
                <w:spacing w:val="-8"/>
                <w:szCs w:val="21"/>
                <w:highlight w:val="none"/>
                <w:u w:val="none" w:color="auto"/>
                <w:lang w:val="en-US" w:eastAsia="zh-CN"/>
              </w:rPr>
              <w:t>3</w:t>
            </w:r>
            <w:r>
              <w:rPr>
                <w:rFonts w:hint="eastAsia" w:ascii="Times New Roman" w:hAnsi="Times New Roman" w:eastAsia="宋体" w:cs="Times New Roman"/>
                <w:spacing w:val="-8"/>
                <w:szCs w:val="21"/>
                <w:highlight w:val="none"/>
                <w:u w:val="none" w:color="auto"/>
              </w:rPr>
              <w:t>）排污许可</w:t>
            </w:r>
          </w:p>
          <w:p w14:paraId="0F18BBAC">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rPr>
            </w:pPr>
            <w:r>
              <w:rPr>
                <w:rFonts w:hint="eastAsia" w:ascii="Times New Roman" w:hAnsi="Times New Roman" w:eastAsia="宋体" w:cs="Times New Roman"/>
                <w:spacing w:val="-8"/>
                <w:szCs w:val="21"/>
                <w:highlight w:val="none"/>
                <w:u w:val="none" w:color="auto"/>
              </w:rPr>
              <w:t>根据《建设项目环境影响评价分类管理名录》(2021年版)，本项目属于“四十九、卫生 108、基层医疗卫生服务 842”，不在《固定污染源排污许可分类管理名录（2019 版）》“四十九、卫生84”中，也不在“五十一、通用工序”范围内，本项目不需要纳入排污许可管理。</w:t>
            </w:r>
          </w:p>
          <w:p w14:paraId="4786C0AD">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rPr>
            </w:pPr>
            <w:r>
              <w:rPr>
                <w:rFonts w:hint="eastAsia" w:ascii="Times New Roman" w:hAnsi="Times New Roman" w:eastAsia="宋体" w:cs="Times New Roman"/>
                <w:spacing w:val="-8"/>
                <w:szCs w:val="21"/>
                <w:highlight w:val="none"/>
                <w:u w:val="none" w:color="auto"/>
              </w:rPr>
              <w:t>（</w:t>
            </w:r>
            <w:r>
              <w:rPr>
                <w:rFonts w:hint="eastAsia" w:cs="Times New Roman"/>
                <w:spacing w:val="-8"/>
                <w:szCs w:val="21"/>
                <w:highlight w:val="none"/>
                <w:u w:val="none" w:color="auto"/>
                <w:lang w:val="en-US" w:eastAsia="zh-CN"/>
              </w:rPr>
              <w:t>4</w:t>
            </w:r>
            <w:r>
              <w:rPr>
                <w:rFonts w:hint="eastAsia" w:ascii="Times New Roman" w:hAnsi="Times New Roman" w:eastAsia="宋体" w:cs="Times New Roman"/>
                <w:spacing w:val="-8"/>
                <w:szCs w:val="21"/>
                <w:highlight w:val="none"/>
                <w:u w:val="none" w:color="auto"/>
              </w:rPr>
              <w:t>）标识标牌</w:t>
            </w:r>
          </w:p>
          <w:p w14:paraId="2FCF7FBE">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none" w:color="auto"/>
              </w:rPr>
            </w:pPr>
            <w:r>
              <w:rPr>
                <w:rFonts w:hint="eastAsia" w:ascii="Times New Roman" w:hAnsi="Times New Roman" w:eastAsia="宋体" w:cs="Times New Roman"/>
                <w:spacing w:val="-8"/>
                <w:szCs w:val="21"/>
                <w:highlight w:val="none"/>
                <w:u w:val="none" w:color="auto"/>
                <w:lang w:eastAsia="zh-CN"/>
              </w:rPr>
              <w:t>废水</w:t>
            </w:r>
            <w:r>
              <w:rPr>
                <w:rFonts w:hint="eastAsia" w:ascii="Times New Roman" w:hAnsi="Times New Roman" w:eastAsia="宋体" w:cs="Times New Roman"/>
                <w:spacing w:val="-8"/>
                <w:szCs w:val="21"/>
                <w:highlight w:val="none"/>
                <w:u w:val="none" w:color="auto"/>
              </w:rPr>
              <w:t>排放口预留监测</w:t>
            </w:r>
            <w:r>
              <w:rPr>
                <w:rFonts w:hint="eastAsia" w:ascii="Times New Roman" w:hAnsi="Times New Roman" w:eastAsia="宋体" w:cs="Times New Roman"/>
                <w:spacing w:val="-8"/>
                <w:szCs w:val="21"/>
                <w:highlight w:val="none"/>
                <w:u w:val="none" w:color="auto"/>
                <w:lang w:eastAsia="zh-CN"/>
              </w:rPr>
              <w:t>口</w:t>
            </w:r>
            <w:r>
              <w:rPr>
                <w:rFonts w:hint="eastAsia" w:ascii="Times New Roman" w:hAnsi="Times New Roman" w:eastAsia="宋体" w:cs="Times New Roman"/>
                <w:spacing w:val="-8"/>
                <w:szCs w:val="21"/>
                <w:highlight w:val="none"/>
                <w:u w:val="none" w:color="auto"/>
              </w:rPr>
              <w:t>，并应设置规范排污口及其管理、设置排污口环保图形标志牌。</w:t>
            </w:r>
          </w:p>
          <w:p w14:paraId="57CAF569">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default" w:ascii="Times New Roman" w:hAnsi="Times New Roman" w:eastAsia="宋体" w:cs="Times New Roman"/>
                <w:spacing w:val="-8"/>
                <w:szCs w:val="21"/>
                <w:highlight w:val="none"/>
                <w:u w:val="none" w:color="auto"/>
                <w:lang w:val="en-US" w:eastAsia="zh-CN"/>
              </w:rPr>
            </w:pPr>
            <w:r>
              <w:rPr>
                <w:rFonts w:hint="eastAsia" w:ascii="Times New Roman" w:hAnsi="Times New Roman" w:eastAsia="宋体" w:cs="Times New Roman"/>
                <w:spacing w:val="-8"/>
                <w:szCs w:val="21"/>
                <w:highlight w:val="none"/>
                <w:u w:val="none" w:color="auto"/>
                <w:lang w:val="en-US" w:eastAsia="zh-CN"/>
              </w:rPr>
              <w:t>（5）与有资质单位签订医疗废物处置协议，与有资质单位签订其他危险废物处置协议。</w:t>
            </w:r>
          </w:p>
          <w:p w14:paraId="30661AD9">
            <w:pPr>
              <w:pStyle w:val="3"/>
              <w:jc w:val="left"/>
              <w:rPr>
                <w:rFonts w:hint="eastAsia"/>
                <w:lang w:val="en-US" w:eastAsia="en-US"/>
              </w:rPr>
            </w:pPr>
          </w:p>
        </w:tc>
      </w:tr>
    </w:tbl>
    <w:p w14:paraId="032729D3">
      <w:pPr>
        <w:rPr>
          <w:rFonts w:hint="eastAsia" w:ascii="Times New Roman" w:hAnsi="Times New Roman" w:eastAsia="黑体"/>
          <w:snapToGrid w:val="0"/>
          <w:color w:val="000000" w:themeColor="text1"/>
          <w:sz w:val="30"/>
          <w:szCs w:val="30"/>
          <w:lang w:eastAsia="zh-CN"/>
          <w14:textFill>
            <w14:solidFill>
              <w14:schemeClr w14:val="tx1"/>
            </w14:solidFill>
          </w14:textFill>
        </w:rPr>
        <w:sectPr>
          <w:footerReference r:id="rId3" w:type="default"/>
          <w:pgSz w:w="11906" w:h="16838"/>
          <w:pgMar w:top="1440" w:right="1800" w:bottom="1440" w:left="1800" w:header="851" w:footer="1020" w:gutter="0"/>
          <w:pgBorders>
            <w:top w:val="none" w:sz="0" w:space="0"/>
            <w:left w:val="none" w:sz="0" w:space="0"/>
            <w:bottom w:val="none" w:sz="0" w:space="0"/>
            <w:right w:val="none" w:sz="0" w:space="0"/>
          </w:pgBorders>
          <w:pgNumType w:fmt="decimal" w:start="1"/>
          <w:cols w:space="425" w:num="1"/>
          <w:docGrid w:type="lines" w:linePitch="312" w:charSpace="0"/>
        </w:sectPr>
      </w:pPr>
      <w:bookmarkStart w:id="29" w:name="_Toc132899969"/>
      <w:bookmarkStart w:id="30" w:name="_Toc14837"/>
      <w:bookmarkStart w:id="31" w:name="_Toc12089"/>
      <w:bookmarkStart w:id="32" w:name="_Toc31489"/>
    </w:p>
    <w:p w14:paraId="428B9D31">
      <w:pPr>
        <w:pStyle w:val="2"/>
        <w:bidi w:val="0"/>
        <w:jc w:val="center"/>
      </w:pPr>
      <w:r>
        <w:rPr>
          <w:rFonts w:hint="eastAsia" w:ascii="Times New Roman" w:hAnsi="Times New Roman" w:eastAsia="黑体" w:cs="Times New Roman"/>
          <w:b w:val="0"/>
          <w:snapToGrid w:val="0"/>
          <w:color w:val="000000" w:themeColor="text1"/>
          <w:kern w:val="0"/>
          <w:sz w:val="30"/>
          <w:szCs w:val="30"/>
          <w:lang w:val="en-US" w:eastAsia="zh-CN" w:bidi="ar-SA"/>
          <w14:textFill>
            <w14:solidFill>
              <w14:schemeClr w14:val="tx1"/>
            </w14:solidFill>
          </w14:textFill>
        </w:rPr>
        <w:t>七、结论</w:t>
      </w:r>
      <w:bookmarkEnd w:id="29"/>
      <w:bookmarkEnd w:id="30"/>
      <w:bookmarkEnd w:id="31"/>
      <w:bookmarkEnd w:id="32"/>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14:paraId="5A158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3" w:hRule="atLeast"/>
          <w:jc w:val="center"/>
        </w:trPr>
        <w:tc>
          <w:tcPr>
            <w:tcW w:w="8814" w:type="dxa"/>
            <w:vAlign w:val="center"/>
          </w:tcPr>
          <w:p w14:paraId="76825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宋体"/>
                <w:color w:val="000000" w:themeColor="text1"/>
                <w:lang w:eastAsia="zh-CN"/>
                <w14:textFill>
                  <w14:solidFill>
                    <w14:schemeClr w14:val="tx1"/>
                  </w14:solidFill>
                </w14:textFill>
              </w:rPr>
            </w:pPr>
            <w:r>
              <w:rPr>
                <w:rFonts w:hint="eastAsia"/>
                <w:sz w:val="24"/>
                <w:szCs w:val="24"/>
                <w:lang w:eastAsia="zh-CN"/>
              </w:rPr>
              <w:t>茶</w:t>
            </w:r>
            <w:r>
              <w:rPr>
                <w:rFonts w:hint="eastAsia" w:ascii="Times New Roman" w:hAnsi="Times New Roman" w:cs="Times New Roman"/>
                <w:sz w:val="24"/>
                <w:szCs w:val="24"/>
                <w:lang w:eastAsia="zh-CN"/>
              </w:rPr>
              <w:t>陵县</w:t>
            </w:r>
            <w:r>
              <w:rPr>
                <w:rFonts w:hint="eastAsia" w:cs="Times New Roman"/>
                <w:sz w:val="24"/>
                <w:szCs w:val="24"/>
                <w:lang w:val="en-US" w:eastAsia="zh-CN"/>
              </w:rPr>
              <w:t>浣溪卫生院</w:t>
            </w:r>
            <w:r>
              <w:rPr>
                <w:rFonts w:ascii="Times New Roman" w:hAnsi="Times New Roman" w:cs="Times New Roman"/>
                <w:sz w:val="24"/>
                <w:szCs w:val="24"/>
              </w:rPr>
              <w:t>建设项目符</w:t>
            </w:r>
            <w:r>
              <w:rPr>
                <w:sz w:val="24"/>
                <w:szCs w:val="24"/>
              </w:rPr>
              <w:t>合国家产业政策；项目选址符合“三线一单”和当地规划；所采用的污染防治措施合理可行，可确保污染物稳定达标排放，处理达标后的各项污染物对周围环境的影响较小，不会改变当地的环境功能区划，项目的环境风险较小且可以接受。在落实本报告表提出的各项污染防治措施、严格执行“三同时”制度的情况下，从环保角度分析，项目在所在地的建设具备环境可行性</w:t>
            </w:r>
            <w:r>
              <w:rPr>
                <w:rFonts w:hint="eastAsia"/>
                <w:sz w:val="24"/>
                <w:szCs w:val="24"/>
                <w:lang w:eastAsia="zh-CN"/>
              </w:rPr>
              <w:t>。</w:t>
            </w:r>
          </w:p>
        </w:tc>
      </w:tr>
    </w:tbl>
    <w:p w14:paraId="52C69924">
      <w:pPr>
        <w:pStyle w:val="6"/>
        <w:sectPr>
          <w:footerReference r:id="rId4" w:type="default"/>
          <w:pgSz w:w="11906" w:h="16838"/>
          <w:pgMar w:top="1440" w:right="1800" w:bottom="1440" w:left="1800" w:header="851" w:footer="1020" w:gutter="0"/>
          <w:pgBorders>
            <w:top w:val="none" w:sz="0" w:space="0"/>
            <w:left w:val="none" w:sz="0" w:space="0"/>
            <w:bottom w:val="none" w:sz="0" w:space="0"/>
            <w:right w:val="none" w:sz="0" w:space="0"/>
          </w:pgBorders>
          <w:pgNumType w:fmt="decimal"/>
          <w:cols w:space="425" w:num="1"/>
          <w:docGrid w:type="lines" w:linePitch="312" w:charSpace="0"/>
        </w:sectPr>
      </w:pPr>
    </w:p>
    <w:p w14:paraId="2F7C1AD0">
      <w:pPr>
        <w:pStyle w:val="3"/>
        <w:bidi w:val="0"/>
        <w:jc w:val="left"/>
        <w:rPr>
          <w:b/>
          <w:bCs/>
          <w:sz w:val="32"/>
          <w:szCs w:val="32"/>
        </w:rPr>
      </w:pPr>
      <w:bookmarkStart w:id="33" w:name="_Toc14258"/>
      <w:bookmarkStart w:id="34" w:name="_Toc208"/>
      <w:bookmarkStart w:id="35" w:name="_Toc32200"/>
      <w:bookmarkStart w:id="36" w:name="_Toc22849"/>
      <w:bookmarkStart w:id="37" w:name="_Toc72488217"/>
      <w:r>
        <w:rPr>
          <w:b/>
          <w:bCs/>
          <w:sz w:val="32"/>
          <w:szCs w:val="32"/>
        </w:rPr>
        <w:t>附表</w:t>
      </w:r>
      <w:bookmarkEnd w:id="33"/>
      <w:bookmarkEnd w:id="34"/>
      <w:bookmarkEnd w:id="35"/>
      <w:bookmarkEnd w:id="36"/>
      <w:bookmarkEnd w:id="37"/>
    </w:p>
    <w:p w14:paraId="0BEF5704">
      <w:pPr>
        <w:jc w:val="center"/>
        <w:outlineLvl w:val="9"/>
        <w:rPr>
          <w:b/>
          <w:bCs/>
          <w:snapToGrid w:val="0"/>
          <w:color w:val="000000" w:themeColor="text1"/>
          <w:sz w:val="36"/>
          <w:szCs w:val="36"/>
          <w:u w:val="none"/>
          <w14:textFill>
            <w14:solidFill>
              <w14:schemeClr w14:val="tx1"/>
            </w14:solidFill>
          </w14:textFill>
        </w:rPr>
      </w:pPr>
      <w:bookmarkStart w:id="38" w:name="_Toc70435068"/>
      <w:bookmarkStart w:id="39" w:name="_Toc10544"/>
      <w:bookmarkStart w:id="40" w:name="_Toc14745"/>
      <w:bookmarkStart w:id="41" w:name="_Toc21181"/>
      <w:bookmarkStart w:id="42" w:name="_Toc21249"/>
      <w:r>
        <w:rPr>
          <w:b/>
          <w:bCs/>
          <w:snapToGrid w:val="0"/>
          <w:color w:val="000000" w:themeColor="text1"/>
          <w:sz w:val="36"/>
          <w:szCs w:val="36"/>
          <w:u w:val="none"/>
          <w14:textFill>
            <w14:solidFill>
              <w14:schemeClr w14:val="tx1"/>
            </w14:solidFill>
          </w14:textFill>
        </w:rPr>
        <w:t>建设项目污染物排放量汇总表</w:t>
      </w:r>
      <w:bookmarkEnd w:id="38"/>
      <w:r>
        <w:rPr>
          <w:b/>
          <w:bCs/>
          <w:snapToGrid w:val="0"/>
          <w:color w:val="000000" w:themeColor="text1"/>
          <w:sz w:val="36"/>
          <w:szCs w:val="36"/>
          <w:u w:val="none"/>
          <w14:textFill>
            <w14:solidFill>
              <w14:schemeClr w14:val="tx1"/>
            </w14:solidFill>
          </w14:textFill>
        </w:rPr>
        <w:t xml:space="preserve">  </w:t>
      </w:r>
      <w:bookmarkEnd w:id="39"/>
      <w:bookmarkEnd w:id="40"/>
      <w:bookmarkEnd w:id="41"/>
      <w:bookmarkEnd w:id="42"/>
    </w:p>
    <w:tbl>
      <w:tblPr>
        <w:tblStyle w:val="32"/>
        <w:tblW w:w="5396"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2551"/>
        <w:gridCol w:w="1705"/>
        <w:gridCol w:w="1345"/>
        <w:gridCol w:w="1644"/>
        <w:gridCol w:w="2056"/>
        <w:gridCol w:w="1653"/>
        <w:gridCol w:w="1826"/>
        <w:gridCol w:w="1148"/>
      </w:tblGrid>
      <w:tr w14:paraId="4284A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1152" w:type="dxa"/>
            <w:tcBorders>
              <w:top w:val="single" w:color="000000" w:sz="6" w:space="0"/>
              <w:left w:val="single" w:color="000000" w:sz="6" w:space="0"/>
              <w:tl2br w:val="single" w:color="000000" w:sz="4" w:space="0"/>
            </w:tcBorders>
            <w:vAlign w:val="center"/>
          </w:tcPr>
          <w:p w14:paraId="7F4D0D6C">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项目</w:t>
            </w:r>
          </w:p>
          <w:p w14:paraId="7C8781C3">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p w14:paraId="7FEB177C">
            <w:pPr>
              <w:jc w:val="center"/>
              <w:rPr>
                <w:rFonts w:hint="eastAsia" w:eastAsia="宋体"/>
                <w:lang w:eastAsia="zh-CN"/>
              </w:rPr>
            </w:pPr>
            <w:r>
              <w:rPr>
                <w:rFonts w:hint="eastAsia" w:cs="Times New Roman"/>
                <w:b/>
                <w:color w:val="000000"/>
                <w:kern w:val="2"/>
                <w:sz w:val="22"/>
                <w:szCs w:val="21"/>
                <w:highlight w:val="none"/>
                <w:lang w:eastAsia="zh-CN"/>
              </w:rPr>
              <w:t>分类</w:t>
            </w:r>
          </w:p>
        </w:tc>
        <w:tc>
          <w:tcPr>
            <w:tcW w:w="2548" w:type="dxa"/>
            <w:tcBorders>
              <w:top w:val="single" w:color="000000" w:sz="6" w:space="0"/>
            </w:tcBorders>
            <w:vAlign w:val="center"/>
          </w:tcPr>
          <w:p w14:paraId="4BEC0FF0">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污染物名称</w:t>
            </w:r>
          </w:p>
        </w:tc>
        <w:tc>
          <w:tcPr>
            <w:tcW w:w="1703" w:type="dxa"/>
            <w:tcBorders>
              <w:top w:val="single" w:color="000000" w:sz="6" w:space="0"/>
            </w:tcBorders>
            <w:vAlign w:val="center"/>
          </w:tcPr>
          <w:p w14:paraId="05E5C3C6">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现有工程排放量（固体废物产生</w:t>
            </w:r>
          </w:p>
          <w:p w14:paraId="11853820">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量）①</w:t>
            </w:r>
          </w:p>
        </w:tc>
        <w:tc>
          <w:tcPr>
            <w:tcW w:w="1344" w:type="dxa"/>
            <w:tcBorders>
              <w:top w:val="single" w:color="000000" w:sz="6" w:space="0"/>
            </w:tcBorders>
            <w:vAlign w:val="center"/>
          </w:tcPr>
          <w:p w14:paraId="76785B87">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现有工程许可排放量</w:t>
            </w:r>
          </w:p>
          <w:p w14:paraId="7DD535CE">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②</w:t>
            </w:r>
          </w:p>
        </w:tc>
        <w:tc>
          <w:tcPr>
            <w:tcW w:w="1642" w:type="dxa"/>
            <w:tcBorders>
              <w:top w:val="single" w:color="000000" w:sz="6" w:space="0"/>
            </w:tcBorders>
            <w:vAlign w:val="center"/>
          </w:tcPr>
          <w:p w14:paraId="55B15B4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在建工程排放量（固体废物产生</w:t>
            </w:r>
          </w:p>
          <w:p w14:paraId="22DA8C9A">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量）③</w:t>
            </w:r>
          </w:p>
        </w:tc>
        <w:tc>
          <w:tcPr>
            <w:tcW w:w="2054" w:type="dxa"/>
            <w:tcBorders>
              <w:top w:val="single" w:color="000000" w:sz="6" w:space="0"/>
            </w:tcBorders>
            <w:vAlign w:val="center"/>
          </w:tcPr>
          <w:p w14:paraId="00A48165">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本项目排放量（固体废物产</w:t>
            </w:r>
          </w:p>
          <w:p w14:paraId="7F2FE3FC">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生量）④</w:t>
            </w:r>
          </w:p>
        </w:tc>
        <w:tc>
          <w:tcPr>
            <w:tcW w:w="1651" w:type="dxa"/>
            <w:tcBorders>
              <w:top w:val="single" w:color="000000" w:sz="6" w:space="0"/>
            </w:tcBorders>
            <w:vAlign w:val="center"/>
          </w:tcPr>
          <w:p w14:paraId="48C3B1B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以新带老削减量（新建项目不填）⑤</w:t>
            </w:r>
          </w:p>
        </w:tc>
        <w:tc>
          <w:tcPr>
            <w:tcW w:w="1824" w:type="dxa"/>
            <w:tcBorders>
              <w:top w:val="single" w:color="000000" w:sz="6" w:space="0"/>
            </w:tcBorders>
            <w:vAlign w:val="center"/>
          </w:tcPr>
          <w:p w14:paraId="69EC26B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本项目建成后全厂排放量（固体废物</w:t>
            </w:r>
          </w:p>
          <w:p w14:paraId="712E0987">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产生量）⑥</w:t>
            </w:r>
          </w:p>
        </w:tc>
        <w:tc>
          <w:tcPr>
            <w:tcW w:w="1147" w:type="dxa"/>
            <w:tcBorders>
              <w:top w:val="single" w:color="000000" w:sz="6" w:space="0"/>
              <w:right w:val="single" w:color="000000" w:sz="6" w:space="0"/>
            </w:tcBorders>
            <w:vAlign w:val="center"/>
          </w:tcPr>
          <w:p w14:paraId="2BF786DA">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变化量</w:t>
            </w:r>
          </w:p>
          <w:p w14:paraId="3D421CB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⑦</w:t>
            </w:r>
          </w:p>
        </w:tc>
      </w:tr>
      <w:tr w14:paraId="436C0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52" w:type="dxa"/>
            <w:tcBorders>
              <w:left w:val="single" w:color="000000" w:sz="6" w:space="0"/>
            </w:tcBorders>
            <w:vAlign w:val="center"/>
          </w:tcPr>
          <w:p w14:paraId="1ADD4219">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废气</w:t>
            </w:r>
          </w:p>
        </w:tc>
        <w:tc>
          <w:tcPr>
            <w:tcW w:w="2548" w:type="dxa"/>
            <w:vAlign w:val="center"/>
          </w:tcPr>
          <w:p w14:paraId="54D4ACF1">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饮食油烟</w:t>
            </w:r>
          </w:p>
        </w:tc>
        <w:tc>
          <w:tcPr>
            <w:tcW w:w="1703" w:type="dxa"/>
            <w:vAlign w:val="center"/>
          </w:tcPr>
          <w:p w14:paraId="29F822A4">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3A34ACBE">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1BF31676">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11588AB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0.0034164t/a</w:t>
            </w:r>
          </w:p>
        </w:tc>
        <w:tc>
          <w:tcPr>
            <w:tcW w:w="1651" w:type="dxa"/>
            <w:vAlign w:val="center"/>
          </w:tcPr>
          <w:p w14:paraId="166C2456">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4499F175">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6067A99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0.0034164t/a</w:t>
            </w:r>
          </w:p>
        </w:tc>
      </w:tr>
      <w:tr w14:paraId="70D21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52" w:type="dxa"/>
            <w:vMerge w:val="restart"/>
            <w:tcBorders>
              <w:left w:val="single" w:color="000000" w:sz="6" w:space="0"/>
              <w:bottom w:val="nil"/>
            </w:tcBorders>
            <w:vAlign w:val="center"/>
          </w:tcPr>
          <w:p w14:paraId="3D16160A">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废水</w:t>
            </w:r>
          </w:p>
        </w:tc>
        <w:tc>
          <w:tcPr>
            <w:tcW w:w="2548" w:type="dxa"/>
            <w:vAlign w:val="center"/>
          </w:tcPr>
          <w:p w14:paraId="0A1F3006">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COD</w:t>
            </w:r>
          </w:p>
        </w:tc>
        <w:tc>
          <w:tcPr>
            <w:tcW w:w="1703" w:type="dxa"/>
            <w:vAlign w:val="center"/>
          </w:tcPr>
          <w:p w14:paraId="4532ADF2">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65A307EA">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5F03688F">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3BBA95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0.2236</w:t>
            </w:r>
            <w:r>
              <w:rPr>
                <w:rFonts w:hint="eastAsia"/>
                <w:sz w:val="24"/>
                <w:szCs w:val="24"/>
                <w:lang w:val="en-US" w:eastAsia="zh-CN"/>
              </w:rPr>
              <w:t>t/a</w:t>
            </w:r>
          </w:p>
        </w:tc>
        <w:tc>
          <w:tcPr>
            <w:tcW w:w="1651" w:type="dxa"/>
            <w:vAlign w:val="center"/>
          </w:tcPr>
          <w:p w14:paraId="0E76E6B7">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170E232B">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1C98B3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0.2236</w:t>
            </w:r>
            <w:r>
              <w:rPr>
                <w:rFonts w:hint="eastAsia"/>
                <w:sz w:val="24"/>
                <w:szCs w:val="24"/>
                <w:lang w:val="en-US" w:eastAsia="zh-CN"/>
              </w:rPr>
              <w:t>t/a</w:t>
            </w:r>
          </w:p>
        </w:tc>
      </w:tr>
      <w:tr w14:paraId="5B664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52" w:type="dxa"/>
            <w:vMerge w:val="continue"/>
            <w:tcBorders>
              <w:top w:val="nil"/>
              <w:left w:val="single" w:color="000000" w:sz="6" w:space="0"/>
              <w:bottom w:val="nil"/>
            </w:tcBorders>
            <w:vAlign w:val="center"/>
          </w:tcPr>
          <w:p w14:paraId="53BFE135">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48" w:type="dxa"/>
            <w:vAlign w:val="center"/>
          </w:tcPr>
          <w:p w14:paraId="3028E36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BOD</w:t>
            </w:r>
            <w:r>
              <w:rPr>
                <w:rFonts w:ascii="Times New Roman" w:hAnsi="Times New Roman" w:cs="Times New Roman"/>
                <w:b w:val="0"/>
                <w:bCs/>
                <w:color w:val="000000"/>
                <w:kern w:val="2"/>
                <w:sz w:val="22"/>
                <w:szCs w:val="21"/>
                <w:highlight w:val="none"/>
                <w:vertAlign w:val="subscript"/>
              </w:rPr>
              <w:t>5</w:t>
            </w:r>
          </w:p>
        </w:tc>
        <w:tc>
          <w:tcPr>
            <w:tcW w:w="1703" w:type="dxa"/>
            <w:vAlign w:val="center"/>
          </w:tcPr>
          <w:p w14:paraId="4A354127">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7E6D5F1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4DFB080F">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3D8359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0.0745t/a</w:t>
            </w:r>
          </w:p>
        </w:tc>
        <w:tc>
          <w:tcPr>
            <w:tcW w:w="1651" w:type="dxa"/>
            <w:vAlign w:val="center"/>
          </w:tcPr>
          <w:p w14:paraId="21BF621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15CF75AE">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2DFD5CA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0.0745t/a</w:t>
            </w:r>
          </w:p>
        </w:tc>
      </w:tr>
      <w:tr w14:paraId="259E2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52" w:type="dxa"/>
            <w:vMerge w:val="continue"/>
            <w:tcBorders>
              <w:top w:val="nil"/>
              <w:left w:val="single" w:color="000000" w:sz="6" w:space="0"/>
              <w:bottom w:val="nil"/>
            </w:tcBorders>
            <w:vAlign w:val="center"/>
          </w:tcPr>
          <w:p w14:paraId="49757D2F">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48" w:type="dxa"/>
            <w:vAlign w:val="center"/>
          </w:tcPr>
          <w:p w14:paraId="0044E15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SS</w:t>
            </w:r>
          </w:p>
        </w:tc>
        <w:tc>
          <w:tcPr>
            <w:tcW w:w="1703" w:type="dxa"/>
            <w:vAlign w:val="center"/>
          </w:tcPr>
          <w:p w14:paraId="38601FC4">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00AD6103">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75349626">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25334C3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0.0743t/a</w:t>
            </w:r>
          </w:p>
        </w:tc>
        <w:tc>
          <w:tcPr>
            <w:tcW w:w="1651" w:type="dxa"/>
            <w:vAlign w:val="center"/>
          </w:tcPr>
          <w:p w14:paraId="2AF0C4AE">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200B4E57">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3788A1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0.0743t/a</w:t>
            </w:r>
          </w:p>
        </w:tc>
      </w:tr>
      <w:tr w14:paraId="21AB8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52" w:type="dxa"/>
            <w:vMerge w:val="continue"/>
            <w:tcBorders>
              <w:top w:val="nil"/>
              <w:left w:val="single" w:color="000000" w:sz="6" w:space="0"/>
            </w:tcBorders>
            <w:vAlign w:val="center"/>
          </w:tcPr>
          <w:p w14:paraId="68EE02D0">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48" w:type="dxa"/>
            <w:vAlign w:val="center"/>
          </w:tcPr>
          <w:p w14:paraId="3FD5039B">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氨氮</w:t>
            </w:r>
          </w:p>
        </w:tc>
        <w:tc>
          <w:tcPr>
            <w:tcW w:w="1703" w:type="dxa"/>
            <w:vAlign w:val="center"/>
          </w:tcPr>
          <w:p w14:paraId="68C26D39">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26D5802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1656DA09">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7DF763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0.0559t/a</w:t>
            </w:r>
          </w:p>
        </w:tc>
        <w:tc>
          <w:tcPr>
            <w:tcW w:w="1651" w:type="dxa"/>
            <w:vAlign w:val="center"/>
          </w:tcPr>
          <w:p w14:paraId="2A6E485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380B29A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0F1EF7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0.0559t/a</w:t>
            </w:r>
          </w:p>
        </w:tc>
      </w:tr>
      <w:tr w14:paraId="52ED4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52" w:type="dxa"/>
            <w:vMerge w:val="restart"/>
            <w:tcBorders>
              <w:left w:val="single" w:color="000000" w:sz="6" w:space="0"/>
              <w:bottom w:val="nil"/>
            </w:tcBorders>
            <w:vAlign w:val="center"/>
          </w:tcPr>
          <w:p w14:paraId="3FB05A6B">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固体废物</w:t>
            </w:r>
          </w:p>
        </w:tc>
        <w:tc>
          <w:tcPr>
            <w:tcW w:w="2548" w:type="dxa"/>
            <w:vAlign w:val="center"/>
          </w:tcPr>
          <w:p w14:paraId="11E12669">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生活垃圾</w:t>
            </w:r>
          </w:p>
        </w:tc>
        <w:tc>
          <w:tcPr>
            <w:tcW w:w="1703" w:type="dxa"/>
            <w:vAlign w:val="center"/>
          </w:tcPr>
          <w:p w14:paraId="4C54905C">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2F2D3CF3">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6F926E3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48C411E8">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cs="Times New Roman"/>
                <w:b w:val="0"/>
                <w:bCs/>
                <w:color w:val="000000"/>
                <w:kern w:val="2"/>
                <w:sz w:val="22"/>
                <w:szCs w:val="21"/>
                <w:highlight w:val="none"/>
                <w:lang w:val="en-US" w:eastAsia="zh-CN"/>
              </w:rPr>
              <w:t>15.7</w:t>
            </w:r>
            <w:r>
              <w:rPr>
                <w:rFonts w:ascii="Times New Roman" w:hAnsi="Times New Roman" w:cs="Times New Roman"/>
                <w:b w:val="0"/>
                <w:bCs/>
                <w:color w:val="000000"/>
                <w:kern w:val="2"/>
                <w:sz w:val="22"/>
                <w:szCs w:val="21"/>
                <w:highlight w:val="none"/>
              </w:rPr>
              <w:t>t/a</w:t>
            </w:r>
          </w:p>
        </w:tc>
        <w:tc>
          <w:tcPr>
            <w:tcW w:w="1651" w:type="dxa"/>
            <w:vAlign w:val="center"/>
          </w:tcPr>
          <w:p w14:paraId="250846E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28585221">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710EEF75">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cs="Times New Roman"/>
                <w:b w:val="0"/>
                <w:bCs/>
                <w:color w:val="000000"/>
                <w:kern w:val="2"/>
                <w:sz w:val="22"/>
                <w:szCs w:val="21"/>
                <w:highlight w:val="none"/>
                <w:lang w:val="en-US" w:eastAsia="zh-CN"/>
              </w:rPr>
              <w:t>15.7</w:t>
            </w:r>
            <w:r>
              <w:rPr>
                <w:rFonts w:ascii="Times New Roman" w:hAnsi="Times New Roman" w:cs="Times New Roman"/>
                <w:b w:val="0"/>
                <w:bCs/>
                <w:color w:val="000000"/>
                <w:kern w:val="2"/>
                <w:sz w:val="22"/>
                <w:szCs w:val="21"/>
                <w:highlight w:val="none"/>
              </w:rPr>
              <w:t>t/a</w:t>
            </w:r>
          </w:p>
        </w:tc>
      </w:tr>
      <w:tr w14:paraId="3C4EA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152" w:type="dxa"/>
            <w:vMerge w:val="continue"/>
            <w:tcBorders>
              <w:top w:val="nil"/>
              <w:left w:val="single" w:color="000000" w:sz="6" w:space="0"/>
              <w:bottom w:val="nil"/>
            </w:tcBorders>
            <w:vAlign w:val="center"/>
          </w:tcPr>
          <w:p w14:paraId="6AAE3541">
            <w:pPr>
              <w:pStyle w:val="24"/>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48" w:type="dxa"/>
            <w:vAlign w:val="center"/>
          </w:tcPr>
          <w:p w14:paraId="5FF4B04F">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eastAsia="宋体" w:cs="Times New Roman"/>
                <w:b w:val="0"/>
                <w:bCs/>
                <w:color w:val="000000"/>
                <w:kern w:val="2"/>
                <w:sz w:val="22"/>
                <w:szCs w:val="21"/>
                <w:highlight w:val="none"/>
                <w:lang w:eastAsia="zh-CN"/>
              </w:rPr>
            </w:pPr>
            <w:r>
              <w:rPr>
                <w:rFonts w:hint="eastAsia" w:cs="Times New Roman"/>
                <w:b w:val="0"/>
                <w:bCs/>
                <w:color w:val="000000"/>
                <w:kern w:val="2"/>
                <w:sz w:val="22"/>
                <w:szCs w:val="21"/>
                <w:highlight w:val="none"/>
                <w:lang w:val="en-US" w:eastAsia="zh-CN"/>
              </w:rPr>
              <w:t>感染性废物</w:t>
            </w:r>
          </w:p>
        </w:tc>
        <w:tc>
          <w:tcPr>
            <w:tcW w:w="1703" w:type="dxa"/>
            <w:vAlign w:val="center"/>
          </w:tcPr>
          <w:p w14:paraId="5310B3AB">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27DE658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21AFD935">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446BA5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000000"/>
                <w:kern w:val="2"/>
                <w:sz w:val="22"/>
                <w:szCs w:val="21"/>
                <w:highlight w:val="none"/>
                <w:lang w:val="en-US" w:eastAsia="zh-CN"/>
              </w:rPr>
            </w:pPr>
            <w:r>
              <w:rPr>
                <w:rFonts w:hint="eastAsia"/>
                <w:sz w:val="21"/>
                <w:szCs w:val="21"/>
                <w:lang w:val="en-US" w:eastAsia="zh-CN"/>
              </w:rPr>
              <w:t>1.481t/a</w:t>
            </w:r>
          </w:p>
        </w:tc>
        <w:tc>
          <w:tcPr>
            <w:tcW w:w="1651" w:type="dxa"/>
            <w:vAlign w:val="center"/>
          </w:tcPr>
          <w:p w14:paraId="787131CC">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1505B63E">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3E95FB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1.481t/a</w:t>
            </w:r>
          </w:p>
        </w:tc>
      </w:tr>
      <w:tr w14:paraId="613EF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152" w:type="dxa"/>
            <w:vMerge w:val="continue"/>
            <w:tcBorders>
              <w:top w:val="nil"/>
              <w:left w:val="single" w:color="000000" w:sz="6" w:space="0"/>
              <w:bottom w:val="nil"/>
            </w:tcBorders>
            <w:vAlign w:val="center"/>
          </w:tcPr>
          <w:p w14:paraId="43B5C9D6">
            <w:pPr>
              <w:pStyle w:val="24"/>
              <w:keepNext w:val="0"/>
              <w:keepLines w:val="0"/>
              <w:pageBreakBefore w:val="0"/>
              <w:kinsoku/>
              <w:wordWrap/>
              <w:topLinePunct w:val="0"/>
              <w:bidi w:val="0"/>
              <w:adjustRightInd w:val="0"/>
              <w:snapToGrid w:val="0"/>
              <w:spacing w:beforeLines="0" w:line="240" w:lineRule="auto"/>
              <w:ind w:firstLine="0" w:firstLineChars="0"/>
              <w:jc w:val="center"/>
            </w:pPr>
          </w:p>
        </w:tc>
        <w:tc>
          <w:tcPr>
            <w:tcW w:w="2548" w:type="dxa"/>
            <w:vAlign w:val="center"/>
          </w:tcPr>
          <w:p w14:paraId="01CB5767">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rPr>
            </w:pPr>
            <w:r>
              <w:rPr>
                <w:rFonts w:hint="eastAsia" w:cs="Times New Roman"/>
                <w:b w:val="0"/>
                <w:bCs/>
                <w:color w:val="000000"/>
                <w:kern w:val="2"/>
                <w:sz w:val="22"/>
                <w:szCs w:val="21"/>
                <w:highlight w:val="none"/>
                <w:lang w:val="en-US" w:eastAsia="zh-CN"/>
              </w:rPr>
              <w:t>损伤性废物</w:t>
            </w:r>
          </w:p>
        </w:tc>
        <w:tc>
          <w:tcPr>
            <w:tcW w:w="1703" w:type="dxa"/>
            <w:vAlign w:val="center"/>
          </w:tcPr>
          <w:p w14:paraId="1343C2FE">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205EA7F1">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2C708027">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0CB61E89">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rPr>
            </w:pPr>
            <w:r>
              <w:rPr>
                <w:rFonts w:hint="eastAsia" w:cs="Times New Roman"/>
                <w:b w:val="0"/>
                <w:bCs/>
                <w:color w:val="000000"/>
                <w:kern w:val="2"/>
                <w:sz w:val="22"/>
                <w:szCs w:val="21"/>
                <w:highlight w:val="none"/>
                <w:lang w:val="en-US" w:eastAsia="zh-CN"/>
              </w:rPr>
              <w:t>0.822</w:t>
            </w:r>
            <w:r>
              <w:rPr>
                <w:rFonts w:hint="eastAsia"/>
                <w:sz w:val="21"/>
                <w:szCs w:val="21"/>
                <w:lang w:val="en-US" w:eastAsia="zh-CN"/>
              </w:rPr>
              <w:t>t/a</w:t>
            </w:r>
          </w:p>
        </w:tc>
        <w:tc>
          <w:tcPr>
            <w:tcW w:w="1651" w:type="dxa"/>
            <w:vAlign w:val="center"/>
          </w:tcPr>
          <w:p w14:paraId="7D052857">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468A8642">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3CDDDB12">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cs="Times New Roman"/>
                <w:b w:val="0"/>
                <w:bCs/>
                <w:color w:val="000000"/>
                <w:kern w:val="2"/>
                <w:sz w:val="22"/>
                <w:szCs w:val="21"/>
                <w:highlight w:val="none"/>
                <w:lang w:val="en-US" w:eastAsia="zh-CN"/>
              </w:rPr>
              <w:t>0.822</w:t>
            </w:r>
            <w:r>
              <w:rPr>
                <w:rFonts w:hint="eastAsia"/>
                <w:sz w:val="21"/>
                <w:szCs w:val="21"/>
                <w:lang w:val="en-US" w:eastAsia="zh-CN"/>
              </w:rPr>
              <w:t>t/a</w:t>
            </w:r>
          </w:p>
        </w:tc>
      </w:tr>
      <w:tr w14:paraId="7C511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trPr>
        <w:tc>
          <w:tcPr>
            <w:tcW w:w="1152" w:type="dxa"/>
            <w:vMerge w:val="continue"/>
            <w:tcBorders>
              <w:left w:val="single" w:color="000000" w:sz="6" w:space="0"/>
              <w:bottom w:val="nil"/>
            </w:tcBorders>
            <w:vAlign w:val="center"/>
          </w:tcPr>
          <w:p w14:paraId="549B570B">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p>
        </w:tc>
        <w:tc>
          <w:tcPr>
            <w:tcW w:w="2548" w:type="dxa"/>
            <w:vAlign w:val="center"/>
          </w:tcPr>
          <w:p w14:paraId="5E03375B">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rPr>
            </w:pPr>
            <w:r>
              <w:rPr>
                <w:rFonts w:hint="eastAsia" w:cs="Times New Roman"/>
                <w:b w:val="0"/>
                <w:bCs/>
                <w:color w:val="000000"/>
                <w:kern w:val="2"/>
                <w:sz w:val="22"/>
                <w:szCs w:val="21"/>
                <w:highlight w:val="none"/>
                <w:lang w:val="en-US" w:eastAsia="zh-CN"/>
              </w:rPr>
              <w:t>药物性废物</w:t>
            </w:r>
          </w:p>
        </w:tc>
        <w:tc>
          <w:tcPr>
            <w:tcW w:w="1703" w:type="dxa"/>
            <w:vAlign w:val="center"/>
          </w:tcPr>
          <w:p w14:paraId="383843A6">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vAlign w:val="center"/>
          </w:tcPr>
          <w:p w14:paraId="40EEDF54">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vAlign w:val="center"/>
          </w:tcPr>
          <w:p w14:paraId="73682149">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vAlign w:val="center"/>
          </w:tcPr>
          <w:p w14:paraId="3A69FDDF">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rPr>
            </w:pPr>
            <w:r>
              <w:rPr>
                <w:rFonts w:hint="eastAsia" w:cs="Times New Roman"/>
                <w:b w:val="0"/>
                <w:bCs/>
                <w:color w:val="000000"/>
                <w:kern w:val="2"/>
                <w:sz w:val="22"/>
                <w:szCs w:val="21"/>
                <w:highlight w:val="none"/>
                <w:lang w:val="en-US" w:eastAsia="zh-CN"/>
              </w:rPr>
              <w:t>0.005</w:t>
            </w:r>
            <w:r>
              <w:rPr>
                <w:rFonts w:hint="eastAsia"/>
                <w:sz w:val="21"/>
                <w:szCs w:val="21"/>
                <w:lang w:val="en-US" w:eastAsia="zh-CN"/>
              </w:rPr>
              <w:t>t/a</w:t>
            </w:r>
          </w:p>
        </w:tc>
        <w:tc>
          <w:tcPr>
            <w:tcW w:w="1651" w:type="dxa"/>
            <w:vAlign w:val="center"/>
          </w:tcPr>
          <w:p w14:paraId="45BB63F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vAlign w:val="center"/>
          </w:tcPr>
          <w:p w14:paraId="77682512">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right w:val="single" w:color="000000" w:sz="6" w:space="0"/>
            </w:tcBorders>
            <w:vAlign w:val="center"/>
          </w:tcPr>
          <w:p w14:paraId="01F4923E">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cs="Times New Roman"/>
                <w:b w:val="0"/>
                <w:bCs/>
                <w:color w:val="000000"/>
                <w:kern w:val="2"/>
                <w:sz w:val="22"/>
                <w:szCs w:val="21"/>
                <w:highlight w:val="none"/>
                <w:lang w:val="en-US" w:eastAsia="zh-CN"/>
              </w:rPr>
              <w:t>0.005</w:t>
            </w:r>
            <w:r>
              <w:rPr>
                <w:rFonts w:hint="eastAsia"/>
                <w:sz w:val="21"/>
                <w:szCs w:val="21"/>
                <w:lang w:val="en-US" w:eastAsia="zh-CN"/>
              </w:rPr>
              <w:t>t/a</w:t>
            </w:r>
          </w:p>
        </w:tc>
      </w:tr>
      <w:tr w14:paraId="03D2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52" w:type="dxa"/>
            <w:vMerge w:val="continue"/>
            <w:tcBorders>
              <w:top w:val="nil"/>
              <w:left w:val="single" w:color="000000" w:sz="6" w:space="0"/>
              <w:bottom w:val="single" w:color="000000" w:sz="6" w:space="0"/>
            </w:tcBorders>
            <w:vAlign w:val="center"/>
          </w:tcPr>
          <w:p w14:paraId="362944C4">
            <w:pPr>
              <w:pStyle w:val="24"/>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48" w:type="dxa"/>
            <w:tcBorders>
              <w:bottom w:val="single" w:color="000000" w:sz="6" w:space="0"/>
            </w:tcBorders>
            <w:vAlign w:val="center"/>
          </w:tcPr>
          <w:p w14:paraId="51B305C0">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eastAsia="zh-CN"/>
              </w:rPr>
              <w:t>污</w:t>
            </w:r>
            <w:r>
              <w:rPr>
                <w:rFonts w:ascii="Times New Roman" w:hAnsi="Times New Roman" w:cs="Times New Roman"/>
                <w:b w:val="0"/>
                <w:bCs/>
                <w:color w:val="000000"/>
                <w:kern w:val="2"/>
                <w:sz w:val="22"/>
                <w:szCs w:val="21"/>
                <w:highlight w:val="none"/>
              </w:rPr>
              <w:t>水处理站污泥</w:t>
            </w:r>
          </w:p>
        </w:tc>
        <w:tc>
          <w:tcPr>
            <w:tcW w:w="1703" w:type="dxa"/>
            <w:tcBorders>
              <w:bottom w:val="single" w:color="000000" w:sz="6" w:space="0"/>
            </w:tcBorders>
            <w:vAlign w:val="center"/>
          </w:tcPr>
          <w:p w14:paraId="3A7A71F2">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tcBorders>
              <w:bottom w:val="single" w:color="000000" w:sz="6" w:space="0"/>
            </w:tcBorders>
            <w:vAlign w:val="center"/>
          </w:tcPr>
          <w:p w14:paraId="17BC6F1C">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tcBorders>
              <w:bottom w:val="single" w:color="000000" w:sz="6" w:space="0"/>
            </w:tcBorders>
            <w:vAlign w:val="center"/>
          </w:tcPr>
          <w:p w14:paraId="26D3EDD9">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tcBorders>
              <w:bottom w:val="single" w:color="000000" w:sz="6" w:space="0"/>
            </w:tcBorders>
            <w:vAlign w:val="center"/>
          </w:tcPr>
          <w:p w14:paraId="09664D4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val="0"/>
                <w:bCs/>
                <w:color w:val="000000"/>
                <w:kern w:val="2"/>
                <w:sz w:val="22"/>
                <w:szCs w:val="21"/>
                <w:highlight w:val="none"/>
              </w:rPr>
            </w:pPr>
            <w:r>
              <w:rPr>
                <w:rFonts w:hint="eastAsia"/>
                <w:sz w:val="21"/>
                <w:szCs w:val="21"/>
                <w:lang w:val="en-US" w:eastAsia="zh-CN"/>
              </w:rPr>
              <w:t>2.34t/a</w:t>
            </w:r>
          </w:p>
        </w:tc>
        <w:tc>
          <w:tcPr>
            <w:tcW w:w="1651" w:type="dxa"/>
            <w:tcBorders>
              <w:bottom w:val="single" w:color="000000" w:sz="6" w:space="0"/>
            </w:tcBorders>
            <w:vAlign w:val="center"/>
          </w:tcPr>
          <w:p w14:paraId="36ADB25A">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tcBorders>
              <w:bottom w:val="single" w:color="000000" w:sz="6" w:space="0"/>
            </w:tcBorders>
            <w:vAlign w:val="center"/>
          </w:tcPr>
          <w:p w14:paraId="7FD54444">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bottom w:val="single" w:color="000000" w:sz="6" w:space="0"/>
              <w:right w:val="single" w:color="000000" w:sz="6" w:space="0"/>
            </w:tcBorders>
            <w:vAlign w:val="center"/>
          </w:tcPr>
          <w:p w14:paraId="309ECA5E">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2.34t/a</w:t>
            </w:r>
          </w:p>
        </w:tc>
      </w:tr>
      <w:tr w14:paraId="2191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52" w:type="dxa"/>
            <w:vMerge w:val="continue"/>
            <w:tcBorders>
              <w:top w:val="nil"/>
              <w:left w:val="single" w:color="000000" w:sz="6" w:space="0"/>
              <w:bottom w:val="single" w:color="000000" w:sz="6" w:space="0"/>
            </w:tcBorders>
            <w:vAlign w:val="center"/>
          </w:tcPr>
          <w:p w14:paraId="663A5A9B">
            <w:pPr>
              <w:pStyle w:val="24"/>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48" w:type="dxa"/>
            <w:tcBorders>
              <w:bottom w:val="single" w:color="000000" w:sz="6" w:space="0"/>
            </w:tcBorders>
            <w:vAlign w:val="center"/>
          </w:tcPr>
          <w:p w14:paraId="6F5D35BB">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检验废液</w:t>
            </w:r>
          </w:p>
        </w:tc>
        <w:tc>
          <w:tcPr>
            <w:tcW w:w="1703" w:type="dxa"/>
            <w:tcBorders>
              <w:bottom w:val="single" w:color="000000" w:sz="6" w:space="0"/>
            </w:tcBorders>
            <w:vAlign w:val="center"/>
          </w:tcPr>
          <w:p w14:paraId="07ABED70">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tcBorders>
              <w:bottom w:val="single" w:color="000000" w:sz="6" w:space="0"/>
            </w:tcBorders>
            <w:vAlign w:val="center"/>
          </w:tcPr>
          <w:p w14:paraId="5252262A">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tcBorders>
              <w:bottom w:val="single" w:color="000000" w:sz="6" w:space="0"/>
            </w:tcBorders>
            <w:vAlign w:val="center"/>
          </w:tcPr>
          <w:p w14:paraId="518BE785">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tcBorders>
              <w:bottom w:val="single" w:color="000000" w:sz="6" w:space="0"/>
            </w:tcBorders>
            <w:vAlign w:val="center"/>
          </w:tcPr>
          <w:p w14:paraId="5DB5D7CC">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w:t>
            </w:r>
            <w:r>
              <w:rPr>
                <w:rFonts w:hint="eastAsia" w:cs="Times New Roman"/>
                <w:b w:val="0"/>
                <w:bCs/>
                <w:color w:val="000000"/>
                <w:kern w:val="2"/>
                <w:sz w:val="22"/>
                <w:szCs w:val="21"/>
                <w:highlight w:val="none"/>
                <w:lang w:val="en-US" w:eastAsia="zh-CN"/>
              </w:rPr>
              <w:t>876</w:t>
            </w:r>
            <w:r>
              <w:rPr>
                <w:rFonts w:hint="eastAsia" w:ascii="Times New Roman" w:hAnsi="Times New Roman" w:cs="Times New Roman"/>
                <w:b w:val="0"/>
                <w:bCs/>
                <w:color w:val="000000"/>
                <w:kern w:val="2"/>
                <w:sz w:val="22"/>
                <w:szCs w:val="21"/>
                <w:highlight w:val="none"/>
                <w:lang w:val="en-US" w:eastAsia="zh-CN"/>
              </w:rPr>
              <w:t>t/a</w:t>
            </w:r>
          </w:p>
        </w:tc>
        <w:tc>
          <w:tcPr>
            <w:tcW w:w="1651" w:type="dxa"/>
            <w:tcBorders>
              <w:bottom w:val="single" w:color="000000" w:sz="6" w:space="0"/>
            </w:tcBorders>
            <w:vAlign w:val="center"/>
          </w:tcPr>
          <w:p w14:paraId="26748608">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tcBorders>
              <w:bottom w:val="single" w:color="000000" w:sz="6" w:space="0"/>
            </w:tcBorders>
            <w:vAlign w:val="center"/>
          </w:tcPr>
          <w:p w14:paraId="4E7DC2E3">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bottom w:val="single" w:color="000000" w:sz="6" w:space="0"/>
              <w:right w:val="single" w:color="000000" w:sz="6" w:space="0"/>
            </w:tcBorders>
            <w:vAlign w:val="center"/>
          </w:tcPr>
          <w:p w14:paraId="06C393D7">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w:t>
            </w:r>
            <w:r>
              <w:rPr>
                <w:rFonts w:hint="eastAsia" w:cs="Times New Roman"/>
                <w:b w:val="0"/>
                <w:bCs/>
                <w:color w:val="000000"/>
                <w:kern w:val="2"/>
                <w:sz w:val="22"/>
                <w:szCs w:val="21"/>
                <w:highlight w:val="none"/>
                <w:lang w:val="en-US" w:eastAsia="zh-CN"/>
              </w:rPr>
              <w:t>876</w:t>
            </w:r>
            <w:r>
              <w:rPr>
                <w:rFonts w:hint="eastAsia" w:ascii="Times New Roman" w:hAnsi="Times New Roman" w:cs="Times New Roman"/>
                <w:b w:val="0"/>
                <w:bCs/>
                <w:color w:val="000000"/>
                <w:kern w:val="2"/>
                <w:sz w:val="22"/>
                <w:szCs w:val="21"/>
                <w:highlight w:val="none"/>
                <w:lang w:val="en-US" w:eastAsia="zh-CN"/>
              </w:rPr>
              <w:t>t/a</w:t>
            </w:r>
          </w:p>
        </w:tc>
      </w:tr>
      <w:tr w14:paraId="6911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52" w:type="dxa"/>
            <w:vMerge w:val="continue"/>
            <w:tcBorders>
              <w:top w:val="nil"/>
              <w:left w:val="single" w:color="000000" w:sz="6" w:space="0"/>
              <w:bottom w:val="single" w:color="000000" w:sz="6" w:space="0"/>
            </w:tcBorders>
            <w:vAlign w:val="center"/>
          </w:tcPr>
          <w:p w14:paraId="6AC3AB0B">
            <w:pPr>
              <w:pStyle w:val="24"/>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48" w:type="dxa"/>
            <w:tcBorders>
              <w:bottom w:val="single" w:color="000000" w:sz="6" w:space="0"/>
            </w:tcBorders>
            <w:vAlign w:val="center"/>
          </w:tcPr>
          <w:p w14:paraId="782A0FD9">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废包装物</w:t>
            </w:r>
          </w:p>
        </w:tc>
        <w:tc>
          <w:tcPr>
            <w:tcW w:w="1703" w:type="dxa"/>
            <w:tcBorders>
              <w:bottom w:val="single" w:color="000000" w:sz="6" w:space="0"/>
            </w:tcBorders>
            <w:vAlign w:val="center"/>
          </w:tcPr>
          <w:p w14:paraId="34E0CF10">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tcBorders>
              <w:bottom w:val="single" w:color="000000" w:sz="6" w:space="0"/>
            </w:tcBorders>
            <w:vAlign w:val="center"/>
          </w:tcPr>
          <w:p w14:paraId="70D37D21">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tcBorders>
              <w:bottom w:val="single" w:color="000000" w:sz="6" w:space="0"/>
            </w:tcBorders>
            <w:vAlign w:val="center"/>
          </w:tcPr>
          <w:p w14:paraId="1055573A">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tcBorders>
              <w:bottom w:val="single" w:color="000000" w:sz="6" w:space="0"/>
            </w:tcBorders>
            <w:vAlign w:val="center"/>
          </w:tcPr>
          <w:p w14:paraId="69CE0770">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w:t>
            </w:r>
            <w:r>
              <w:rPr>
                <w:rFonts w:hint="eastAsia" w:cs="Times New Roman"/>
                <w:b w:val="0"/>
                <w:bCs/>
                <w:color w:val="000000"/>
                <w:kern w:val="2"/>
                <w:sz w:val="22"/>
                <w:szCs w:val="21"/>
                <w:highlight w:val="none"/>
                <w:lang w:val="en-US" w:eastAsia="zh-CN"/>
              </w:rPr>
              <w:t>2</w:t>
            </w:r>
            <w:r>
              <w:rPr>
                <w:rFonts w:hint="eastAsia" w:ascii="Times New Roman" w:hAnsi="Times New Roman" w:cs="Times New Roman"/>
                <w:b w:val="0"/>
                <w:bCs/>
                <w:color w:val="000000"/>
                <w:kern w:val="2"/>
                <w:sz w:val="22"/>
                <w:szCs w:val="21"/>
                <w:highlight w:val="none"/>
                <w:lang w:val="en-US" w:eastAsia="zh-CN"/>
              </w:rPr>
              <w:t>t/a</w:t>
            </w:r>
          </w:p>
        </w:tc>
        <w:tc>
          <w:tcPr>
            <w:tcW w:w="1651" w:type="dxa"/>
            <w:tcBorders>
              <w:bottom w:val="single" w:color="000000" w:sz="6" w:space="0"/>
            </w:tcBorders>
            <w:vAlign w:val="center"/>
          </w:tcPr>
          <w:p w14:paraId="15EA9E8B">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tcBorders>
              <w:bottom w:val="single" w:color="000000" w:sz="6" w:space="0"/>
            </w:tcBorders>
            <w:vAlign w:val="center"/>
          </w:tcPr>
          <w:p w14:paraId="67C47D4F">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bottom w:val="single" w:color="000000" w:sz="6" w:space="0"/>
              <w:right w:val="single" w:color="000000" w:sz="6" w:space="0"/>
            </w:tcBorders>
            <w:vAlign w:val="center"/>
          </w:tcPr>
          <w:p w14:paraId="40A1C9B8">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w:t>
            </w:r>
            <w:r>
              <w:rPr>
                <w:rFonts w:hint="eastAsia" w:cs="Times New Roman"/>
                <w:b w:val="0"/>
                <w:bCs/>
                <w:color w:val="000000"/>
                <w:kern w:val="2"/>
                <w:sz w:val="22"/>
                <w:szCs w:val="21"/>
                <w:highlight w:val="none"/>
                <w:lang w:val="en-US" w:eastAsia="zh-CN"/>
              </w:rPr>
              <w:t>2</w:t>
            </w:r>
            <w:r>
              <w:rPr>
                <w:rFonts w:hint="eastAsia" w:ascii="Times New Roman" w:hAnsi="Times New Roman" w:cs="Times New Roman"/>
                <w:b w:val="0"/>
                <w:bCs/>
                <w:color w:val="000000"/>
                <w:kern w:val="2"/>
                <w:sz w:val="22"/>
                <w:szCs w:val="21"/>
                <w:highlight w:val="none"/>
                <w:lang w:val="en-US" w:eastAsia="zh-CN"/>
              </w:rPr>
              <w:t>t/a</w:t>
            </w:r>
          </w:p>
        </w:tc>
      </w:tr>
      <w:tr w14:paraId="55BC9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52" w:type="dxa"/>
            <w:vMerge w:val="continue"/>
            <w:tcBorders>
              <w:top w:val="nil"/>
              <w:left w:val="single" w:color="000000" w:sz="6" w:space="0"/>
              <w:bottom w:val="single" w:color="000000" w:sz="6" w:space="0"/>
            </w:tcBorders>
            <w:vAlign w:val="center"/>
          </w:tcPr>
          <w:p w14:paraId="17331BE3">
            <w:pPr>
              <w:pStyle w:val="24"/>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48" w:type="dxa"/>
            <w:tcBorders>
              <w:bottom w:val="single" w:color="000000" w:sz="6" w:space="0"/>
            </w:tcBorders>
            <w:vAlign w:val="center"/>
          </w:tcPr>
          <w:p w14:paraId="5D9F9F64">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废一次性输液瓶（袋）</w:t>
            </w:r>
          </w:p>
        </w:tc>
        <w:tc>
          <w:tcPr>
            <w:tcW w:w="1703" w:type="dxa"/>
            <w:tcBorders>
              <w:bottom w:val="single" w:color="000000" w:sz="6" w:space="0"/>
            </w:tcBorders>
            <w:vAlign w:val="center"/>
          </w:tcPr>
          <w:p w14:paraId="12DA8231">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44" w:type="dxa"/>
            <w:tcBorders>
              <w:bottom w:val="single" w:color="000000" w:sz="6" w:space="0"/>
            </w:tcBorders>
            <w:vAlign w:val="center"/>
          </w:tcPr>
          <w:p w14:paraId="353A5486">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42" w:type="dxa"/>
            <w:tcBorders>
              <w:bottom w:val="single" w:color="000000" w:sz="6" w:space="0"/>
            </w:tcBorders>
            <w:vAlign w:val="center"/>
          </w:tcPr>
          <w:p w14:paraId="0377C44D">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54" w:type="dxa"/>
            <w:tcBorders>
              <w:bottom w:val="single" w:color="000000" w:sz="6" w:space="0"/>
            </w:tcBorders>
            <w:vAlign w:val="center"/>
          </w:tcPr>
          <w:p w14:paraId="6B049FD1">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w:t>
            </w:r>
            <w:r>
              <w:rPr>
                <w:rFonts w:hint="eastAsia" w:cs="Times New Roman"/>
                <w:b w:val="0"/>
                <w:bCs/>
                <w:color w:val="000000"/>
                <w:kern w:val="2"/>
                <w:sz w:val="22"/>
                <w:szCs w:val="21"/>
                <w:highlight w:val="none"/>
                <w:lang w:val="en-US" w:eastAsia="zh-CN"/>
              </w:rPr>
              <w:t>3</w:t>
            </w:r>
            <w:r>
              <w:rPr>
                <w:rFonts w:hint="eastAsia" w:ascii="Times New Roman" w:hAnsi="Times New Roman" w:cs="Times New Roman"/>
                <w:b w:val="0"/>
                <w:bCs/>
                <w:color w:val="000000"/>
                <w:kern w:val="2"/>
                <w:sz w:val="22"/>
                <w:szCs w:val="21"/>
                <w:highlight w:val="none"/>
                <w:lang w:val="en-US" w:eastAsia="zh-CN"/>
              </w:rPr>
              <w:t>t/a</w:t>
            </w:r>
          </w:p>
        </w:tc>
        <w:tc>
          <w:tcPr>
            <w:tcW w:w="1651" w:type="dxa"/>
            <w:tcBorders>
              <w:bottom w:val="single" w:color="000000" w:sz="6" w:space="0"/>
            </w:tcBorders>
            <w:vAlign w:val="center"/>
          </w:tcPr>
          <w:p w14:paraId="214F9D93">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24" w:type="dxa"/>
            <w:tcBorders>
              <w:bottom w:val="single" w:color="000000" w:sz="6" w:space="0"/>
            </w:tcBorders>
            <w:vAlign w:val="center"/>
          </w:tcPr>
          <w:p w14:paraId="201AB7C3">
            <w:pPr>
              <w:pStyle w:val="24"/>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47" w:type="dxa"/>
            <w:tcBorders>
              <w:bottom w:val="single" w:color="000000" w:sz="6" w:space="0"/>
              <w:right w:val="single" w:color="000000" w:sz="6" w:space="0"/>
            </w:tcBorders>
            <w:vAlign w:val="center"/>
          </w:tcPr>
          <w:p w14:paraId="3515633D">
            <w:pPr>
              <w:pStyle w:val="24"/>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w:t>
            </w:r>
            <w:r>
              <w:rPr>
                <w:rFonts w:hint="eastAsia" w:cs="Times New Roman"/>
                <w:b w:val="0"/>
                <w:bCs/>
                <w:color w:val="000000"/>
                <w:kern w:val="2"/>
                <w:sz w:val="22"/>
                <w:szCs w:val="21"/>
                <w:highlight w:val="none"/>
                <w:lang w:val="en-US" w:eastAsia="zh-CN"/>
              </w:rPr>
              <w:t>3</w:t>
            </w:r>
            <w:r>
              <w:rPr>
                <w:rFonts w:hint="eastAsia" w:ascii="Times New Roman" w:hAnsi="Times New Roman" w:cs="Times New Roman"/>
                <w:b w:val="0"/>
                <w:bCs/>
                <w:color w:val="000000"/>
                <w:kern w:val="2"/>
                <w:sz w:val="22"/>
                <w:szCs w:val="21"/>
                <w:highlight w:val="none"/>
                <w:lang w:val="en-US" w:eastAsia="zh-CN"/>
              </w:rPr>
              <w:t>t/a</w:t>
            </w:r>
          </w:p>
        </w:tc>
      </w:tr>
    </w:tbl>
    <w:p w14:paraId="28A8AEDE">
      <w:pPr>
        <w:pStyle w:val="6"/>
      </w:pPr>
    </w:p>
    <w:p w14:paraId="57034C5E">
      <w:pPr>
        <w:pStyle w:val="6"/>
        <w:rPr>
          <w:rFonts w:hint="default"/>
          <w:lang w:val="en-US" w:eastAsia="zh-CN"/>
        </w:rPr>
      </w:pPr>
      <w:r>
        <w:rPr>
          <w:rFonts w:ascii="宋体" w:hAnsi="宋体" w:eastAsia="宋体" w:cs="宋体"/>
          <w:spacing w:val="3"/>
          <w:sz w:val="23"/>
          <w:szCs w:val="23"/>
        </w:rPr>
        <w:t>注：⑥=①+③+④-⑤；⑦=⑥-</w:t>
      </w:r>
      <w:r>
        <w:rPr>
          <w:rFonts w:ascii="宋体" w:hAnsi="宋体" w:eastAsia="宋体" w:cs="宋体"/>
          <w:sz w:val="23"/>
          <w:szCs w:val="23"/>
        </w:rPr>
        <w:t>①</w:t>
      </w:r>
      <w:bookmarkStart w:id="43" w:name="_GoBack"/>
      <w:bookmarkEnd w:id="43"/>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Helvetica">
    <w:panose1 w:val="020B0504020202030204"/>
    <w:charset w:val="00"/>
    <w:family w:val="auto"/>
    <w:pitch w:val="default"/>
    <w:sig w:usb0="00000007"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431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2EBC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DD2EBC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04B0">
    <w:pPr>
      <w:pStyle w:val="11"/>
      <w:rPr>
        <w:rFonts w:hint="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277B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2B3277B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188F0"/>
    <w:multiLevelType w:val="singleLevel"/>
    <w:tmpl w:val="A13188F0"/>
    <w:lvl w:ilvl="0" w:tentative="0">
      <w:start w:val="2"/>
      <w:numFmt w:val="decimal"/>
      <w:suff w:val="nothing"/>
      <w:lvlText w:val="%1、"/>
      <w:lvlJc w:val="left"/>
    </w:lvl>
  </w:abstractNum>
  <w:abstractNum w:abstractNumId="1">
    <w:nsid w:val="BFFF18B6"/>
    <w:multiLevelType w:val="multilevel"/>
    <w:tmpl w:val="BFFF18B6"/>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C5C029DD"/>
    <w:multiLevelType w:val="singleLevel"/>
    <w:tmpl w:val="C5C029DD"/>
    <w:lvl w:ilvl="0" w:tentative="0">
      <w:start w:val="3"/>
      <w:numFmt w:val="decimal"/>
      <w:suff w:val="nothing"/>
      <w:lvlText w:val="（%1）"/>
      <w:lvlJc w:val="left"/>
    </w:lvl>
  </w:abstractNum>
  <w:abstractNum w:abstractNumId="3">
    <w:nsid w:val="DEFC61EC"/>
    <w:multiLevelType w:val="multilevel"/>
    <w:tmpl w:val="DEFC61EC"/>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4">
    <w:nsid w:val="24B9D83F"/>
    <w:multiLevelType w:val="singleLevel"/>
    <w:tmpl w:val="24B9D83F"/>
    <w:lvl w:ilvl="0" w:tentative="0">
      <w:start w:val="1"/>
      <w:numFmt w:val="decimalEnclosedCircleChinese"/>
      <w:suff w:val="nothing"/>
      <w:lvlText w:val="%1　"/>
      <w:lvlJc w:val="left"/>
      <w:pPr>
        <w:ind w:left="0" w:firstLine="400"/>
      </w:pPr>
      <w:rPr>
        <w:rFonts w:hint="eastAsia"/>
      </w:rPr>
    </w:lvl>
  </w:abstractNum>
  <w:abstractNum w:abstractNumId="5">
    <w:nsid w:val="3C952DF4"/>
    <w:multiLevelType w:val="singleLevel"/>
    <w:tmpl w:val="3C952DF4"/>
    <w:lvl w:ilvl="0" w:tentative="0">
      <w:start w:val="4"/>
      <w:numFmt w:val="decimalEnclosedCircleChinese"/>
      <w:suff w:val="nothing"/>
      <w:lvlText w:val="%1　"/>
      <w:lvlJc w:val="left"/>
      <w:pPr>
        <w:ind w:left="0" w:firstLine="403"/>
      </w:pPr>
      <w:rPr>
        <w:rFonts w:hint="eastAsia"/>
      </w:rPr>
    </w:lvl>
  </w:abstractNum>
  <w:abstractNum w:abstractNumId="6">
    <w:nsid w:val="3F28A502"/>
    <w:multiLevelType w:val="singleLevel"/>
    <w:tmpl w:val="3F28A502"/>
    <w:lvl w:ilvl="0" w:tentative="0">
      <w:start w:val="1"/>
      <w:numFmt w:val="decimal"/>
      <w:suff w:val="nothing"/>
      <w:lvlText w:val="%1）"/>
      <w:lvlJc w:val="left"/>
      <w:pPr>
        <w:ind w:left="600" w:firstLine="0"/>
      </w:pPr>
    </w:lvl>
  </w:abstractNum>
  <w:abstractNum w:abstractNumId="7">
    <w:nsid w:val="4A09BE1B"/>
    <w:multiLevelType w:val="singleLevel"/>
    <w:tmpl w:val="4A09BE1B"/>
    <w:lvl w:ilvl="0" w:tentative="0">
      <w:start w:val="1"/>
      <w:numFmt w:val="decimal"/>
      <w:suff w:val="nothing"/>
      <w:lvlText w:val="（%1）"/>
      <w:lvlJc w:val="left"/>
    </w:lvl>
  </w:abstractNum>
  <w:abstractNum w:abstractNumId="8">
    <w:nsid w:val="4BA48026"/>
    <w:multiLevelType w:val="singleLevel"/>
    <w:tmpl w:val="4BA48026"/>
    <w:lvl w:ilvl="0" w:tentative="0">
      <w:start w:val="5"/>
      <w:numFmt w:val="decimal"/>
      <w:suff w:val="nothing"/>
      <w:lvlText w:val="%1、"/>
      <w:lvlJc w:val="left"/>
      <w:pPr>
        <w:ind w:left="210"/>
      </w:pPr>
    </w:lvl>
  </w:abstractNum>
  <w:abstractNum w:abstractNumId="9">
    <w:nsid w:val="75547573"/>
    <w:multiLevelType w:val="singleLevel"/>
    <w:tmpl w:val="75547573"/>
    <w:lvl w:ilvl="0" w:tentative="0">
      <w:start w:val="11"/>
      <w:numFmt w:val="decimal"/>
      <w:suff w:val="nothing"/>
      <w:lvlText w:val="%1、"/>
      <w:lvlJc w:val="left"/>
    </w:lvl>
  </w:abstractNum>
  <w:num w:numId="1">
    <w:abstractNumId w:val="3"/>
  </w:num>
  <w:num w:numId="2">
    <w:abstractNumId w:val="1"/>
  </w:num>
  <w:num w:numId="3">
    <w:abstractNumId w:val="8"/>
  </w:num>
  <w:num w:numId="4">
    <w:abstractNumId w:val="7"/>
  </w:num>
  <w:num w:numId="5">
    <w:abstractNumId w:val="5"/>
  </w:num>
  <w:num w:numId="6">
    <w:abstractNumId w:val="2"/>
  </w:num>
  <w:num w:numId="7">
    <w:abstractNumId w:val="4"/>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ZTIzNzUyMDIwMjVhZGNkZWFjZGU3YzdiYjQyZDUifQ=="/>
  </w:docVars>
  <w:rsids>
    <w:rsidRoot w:val="437D6792"/>
    <w:rsid w:val="04712CF5"/>
    <w:rsid w:val="07F738B0"/>
    <w:rsid w:val="0A016452"/>
    <w:rsid w:val="0A2C221F"/>
    <w:rsid w:val="0AE26B71"/>
    <w:rsid w:val="0C965FA5"/>
    <w:rsid w:val="0D590F65"/>
    <w:rsid w:val="0DCD726B"/>
    <w:rsid w:val="0FC4644C"/>
    <w:rsid w:val="0FC738F4"/>
    <w:rsid w:val="12E9453E"/>
    <w:rsid w:val="143F5C21"/>
    <w:rsid w:val="1AFC1D5F"/>
    <w:rsid w:val="1D261C54"/>
    <w:rsid w:val="1E3F7EDA"/>
    <w:rsid w:val="1F3D75BF"/>
    <w:rsid w:val="1F660BFD"/>
    <w:rsid w:val="1F74947F"/>
    <w:rsid w:val="20E668AC"/>
    <w:rsid w:val="20EA6E81"/>
    <w:rsid w:val="220C2C8A"/>
    <w:rsid w:val="23227D5D"/>
    <w:rsid w:val="26554B3C"/>
    <w:rsid w:val="26792932"/>
    <w:rsid w:val="278C04FC"/>
    <w:rsid w:val="28D14169"/>
    <w:rsid w:val="2BBF82FE"/>
    <w:rsid w:val="2C492793"/>
    <w:rsid w:val="2CA265E7"/>
    <w:rsid w:val="2DBECE93"/>
    <w:rsid w:val="2E0B6257"/>
    <w:rsid w:val="2E7136F7"/>
    <w:rsid w:val="2E98555A"/>
    <w:rsid w:val="2EEC0F52"/>
    <w:rsid w:val="2F3A5A10"/>
    <w:rsid w:val="2F53584F"/>
    <w:rsid w:val="3043586B"/>
    <w:rsid w:val="321F7C53"/>
    <w:rsid w:val="327D450D"/>
    <w:rsid w:val="330F0F3E"/>
    <w:rsid w:val="33E67F4B"/>
    <w:rsid w:val="33E7BF44"/>
    <w:rsid w:val="35EB3F04"/>
    <w:rsid w:val="365E2DA7"/>
    <w:rsid w:val="37AA5CBD"/>
    <w:rsid w:val="37CC451D"/>
    <w:rsid w:val="3A1C285D"/>
    <w:rsid w:val="3F7D3D3F"/>
    <w:rsid w:val="3FEFBF96"/>
    <w:rsid w:val="3FF7B8AC"/>
    <w:rsid w:val="42AC606F"/>
    <w:rsid w:val="434B2407"/>
    <w:rsid w:val="437D6792"/>
    <w:rsid w:val="44007FA0"/>
    <w:rsid w:val="46E60E0B"/>
    <w:rsid w:val="4B5736F5"/>
    <w:rsid w:val="4B741BB6"/>
    <w:rsid w:val="4BF919F7"/>
    <w:rsid w:val="4D434DDB"/>
    <w:rsid w:val="4E6727D2"/>
    <w:rsid w:val="4EA529C9"/>
    <w:rsid w:val="4F19531F"/>
    <w:rsid w:val="4FEF0E89"/>
    <w:rsid w:val="52EB506A"/>
    <w:rsid w:val="5344322B"/>
    <w:rsid w:val="54E4729B"/>
    <w:rsid w:val="566819A5"/>
    <w:rsid w:val="567C04B4"/>
    <w:rsid w:val="56C33516"/>
    <w:rsid w:val="597B0EF6"/>
    <w:rsid w:val="5AEC13EC"/>
    <w:rsid w:val="5BE959A4"/>
    <w:rsid w:val="608D150F"/>
    <w:rsid w:val="642E2E31"/>
    <w:rsid w:val="66F51671"/>
    <w:rsid w:val="67771AA4"/>
    <w:rsid w:val="68027306"/>
    <w:rsid w:val="692C580E"/>
    <w:rsid w:val="6BBF1482"/>
    <w:rsid w:val="6EA71BF4"/>
    <w:rsid w:val="6F5AE9CF"/>
    <w:rsid w:val="6F6C3363"/>
    <w:rsid w:val="6FAA6700"/>
    <w:rsid w:val="6FB86BE6"/>
    <w:rsid w:val="70C51806"/>
    <w:rsid w:val="71390ECE"/>
    <w:rsid w:val="751537F2"/>
    <w:rsid w:val="75B2FA1C"/>
    <w:rsid w:val="762E49BE"/>
    <w:rsid w:val="7697F7E6"/>
    <w:rsid w:val="76EC7883"/>
    <w:rsid w:val="76FD613A"/>
    <w:rsid w:val="77394EEC"/>
    <w:rsid w:val="793D7B1F"/>
    <w:rsid w:val="7A332449"/>
    <w:rsid w:val="7A7255A6"/>
    <w:rsid w:val="7B5B76BD"/>
    <w:rsid w:val="7B783090"/>
    <w:rsid w:val="7BF3BA3B"/>
    <w:rsid w:val="7C544CDB"/>
    <w:rsid w:val="7DF2F171"/>
    <w:rsid w:val="7EEE0AD4"/>
    <w:rsid w:val="7F3F052E"/>
    <w:rsid w:val="7F7D561C"/>
    <w:rsid w:val="7F99C0F1"/>
    <w:rsid w:val="7FFB67D7"/>
    <w:rsid w:val="9C8B5C2D"/>
    <w:rsid w:val="ADDE709A"/>
    <w:rsid w:val="BBB7556E"/>
    <w:rsid w:val="BE2F01CF"/>
    <w:rsid w:val="BF4A5A9C"/>
    <w:rsid w:val="BFBC6EDA"/>
    <w:rsid w:val="BFFF850F"/>
    <w:rsid w:val="CEF38579"/>
    <w:rsid w:val="CF77EE77"/>
    <w:rsid w:val="D3FF6D72"/>
    <w:rsid w:val="DD6F6729"/>
    <w:rsid w:val="E5DED14B"/>
    <w:rsid w:val="E7DFE403"/>
    <w:rsid w:val="EBFF3067"/>
    <w:rsid w:val="EFBD8FB5"/>
    <w:rsid w:val="F07E0FB7"/>
    <w:rsid w:val="F4D0F91C"/>
    <w:rsid w:val="F739E994"/>
    <w:rsid w:val="FBF3F6B1"/>
    <w:rsid w:val="FBF762CA"/>
    <w:rsid w:val="FBFB0746"/>
    <w:rsid w:val="FECF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line="420" w:lineRule="exact"/>
      <w:jc w:val="center"/>
      <w:outlineLvl w:val="1"/>
    </w:pPr>
    <w:rPr>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kern w:val="0"/>
      <w:sz w:val="20"/>
    </w:rPr>
  </w:style>
  <w:style w:type="paragraph" w:styleId="5">
    <w:name w:val="annotation text"/>
    <w:basedOn w:val="1"/>
    <w:semiHidden/>
    <w:qFormat/>
    <w:uiPriority w:val="0"/>
    <w:pPr>
      <w:jc w:val="left"/>
    </w:pPr>
    <w:rPr>
      <w:kern w:val="0"/>
      <w:sz w:val="24"/>
      <w:szCs w:val="20"/>
    </w:rPr>
  </w:style>
  <w:style w:type="paragraph" w:styleId="6">
    <w:name w:val="Body Text"/>
    <w:basedOn w:val="1"/>
    <w:next w:val="7"/>
    <w:unhideWhenUsed/>
    <w:qFormat/>
    <w:uiPriority w:val="0"/>
    <w:pPr>
      <w:spacing w:after="120"/>
    </w:pPr>
  </w:style>
  <w:style w:type="paragraph" w:customStyle="1" w:styleId="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8">
    <w:name w:val="Body Text Indent"/>
    <w:basedOn w:val="1"/>
    <w:next w:val="1"/>
    <w:qFormat/>
    <w:uiPriority w:val="0"/>
    <w:pPr>
      <w:spacing w:after="120"/>
      <w:ind w:left="420" w:leftChars="200"/>
    </w:pPr>
    <w:rPr>
      <w:kern w:val="0"/>
      <w:sz w:val="24"/>
      <w:szCs w:val="20"/>
    </w:rPr>
  </w:style>
  <w:style w:type="paragraph" w:styleId="9">
    <w:name w:val="Block Text"/>
    <w:basedOn w:val="1"/>
    <w:next w:val="1"/>
    <w:qFormat/>
    <w:uiPriority w:val="0"/>
    <w:pPr>
      <w:ind w:left="-108" w:leftChars="-51" w:right="-93" w:rightChars="-44"/>
      <w:jc w:val="center"/>
    </w:pPr>
    <w:rPr>
      <w:rFonts w:eastAsia="楷体_GB2312"/>
      <w:spacing w:val="-6"/>
      <w:sz w:val="28"/>
    </w:rPr>
  </w:style>
  <w:style w:type="paragraph" w:styleId="10">
    <w:name w:val="Plain Text"/>
    <w:basedOn w:val="1"/>
    <w:next w:val="1"/>
    <w:qFormat/>
    <w:uiPriority w:val="99"/>
    <w:rPr>
      <w:rFonts w:hAnsi="Courier New"/>
      <w:szCs w:val="20"/>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1"/>
    <w:next w:val="1"/>
    <w:qFormat/>
    <w:uiPriority w:val="0"/>
    <w:pPr>
      <w:spacing w:line="320" w:lineRule="exact"/>
      <w:jc w:val="center"/>
    </w:pPr>
    <w:rPr>
      <w:sz w:val="22"/>
      <w:szCs w:val="24"/>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Body Text First Indent"/>
    <w:basedOn w:val="6"/>
    <w:next w:val="1"/>
    <w:qFormat/>
    <w:uiPriority w:val="99"/>
    <w:pPr>
      <w:spacing w:line="360" w:lineRule="auto"/>
      <w:ind w:left="120" w:firstLine="420" w:firstLineChars="100"/>
    </w:pPr>
    <w:rPr>
      <w:rFonts w:ascii="Times New Roman" w:hAnsi="Times New Roman" w:cs="Times New Roman"/>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semiHidden/>
    <w:qFormat/>
    <w:uiPriority w:val="0"/>
    <w:rPr>
      <w:sz w:val="21"/>
    </w:rPr>
  </w:style>
  <w:style w:type="paragraph" w:customStyle="1" w:styleId="20">
    <w:name w:val="Default"/>
    <w:basedOn w:val="21"/>
    <w:next w:val="13"/>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1">
    <w:name w:val="纯文本1"/>
    <w:basedOn w:val="1"/>
    <w:qFormat/>
    <w:uiPriority w:val="0"/>
    <w:pPr>
      <w:adjustRightInd w:val="0"/>
    </w:pPr>
    <w:rPr>
      <w:rFonts w:ascii="宋体" w:hAnsi="Courier New"/>
    </w:rPr>
  </w:style>
  <w:style w:type="paragraph" w:customStyle="1" w:styleId="22">
    <w:name w:val="样式9"/>
    <w:basedOn w:val="4"/>
    <w:qFormat/>
    <w:uiPriority w:val="0"/>
    <w:pPr>
      <w:spacing w:line="360" w:lineRule="auto"/>
      <w:ind w:firstLine="480"/>
    </w:pPr>
    <w:rPr>
      <w:snapToGrid/>
      <w:sz w:val="24"/>
      <w:szCs w:val="18"/>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paragraph" w:customStyle="1" w:styleId="24">
    <w:name w:val="表格"/>
    <w:basedOn w:val="13"/>
    <w:next w:val="1"/>
    <w:qFormat/>
    <w:uiPriority w:val="0"/>
    <w:pPr>
      <w:adjustRightInd w:val="0"/>
      <w:snapToGrid w:val="0"/>
      <w:spacing w:line="240" w:lineRule="auto"/>
      <w:ind w:firstLine="0" w:firstLineChars="0"/>
      <w:jc w:val="center"/>
    </w:pPr>
    <w:rPr>
      <w:kern w:val="0"/>
      <w:sz w:val="21"/>
      <w:szCs w:val="20"/>
    </w:rPr>
  </w:style>
  <w:style w:type="paragraph" w:customStyle="1" w:styleId="25">
    <w:name w:val="表格文字"/>
    <w:basedOn w:val="15"/>
    <w:next w:val="10"/>
    <w:qFormat/>
    <w:uiPriority w:val="0"/>
    <w:pPr>
      <w:adjustRightInd w:val="0"/>
      <w:snapToGrid w:val="0"/>
      <w:jc w:val="center"/>
      <w:textAlignment w:val="center"/>
    </w:pPr>
    <w:rPr>
      <w:rFonts w:ascii="Calibri"/>
      <w:spacing w:val="0"/>
      <w:kern w:val="2"/>
      <w:sz w:val="21"/>
      <w:szCs w:val="18"/>
    </w:rPr>
  </w:style>
  <w:style w:type="paragraph" w:customStyle="1" w:styleId="26">
    <w:name w:val="！正文 Alt+0"/>
    <w:basedOn w:val="1"/>
    <w:qFormat/>
    <w:uiPriority w:val="0"/>
    <w:pPr>
      <w:spacing w:line="360" w:lineRule="auto"/>
      <w:ind w:firstLine="200" w:firstLineChars="200"/>
    </w:pPr>
    <w:rPr>
      <w:rFonts w:ascii="Times New Roman" w:hAnsi="Times New Roman"/>
      <w:sz w:val="28"/>
      <w:szCs w:val="28"/>
    </w:rPr>
  </w:style>
  <w:style w:type="character" w:customStyle="1" w:styleId="27">
    <w:name w:val="标题 1 Char"/>
    <w:link w:val="2"/>
    <w:qFormat/>
    <w:uiPriority w:val="0"/>
    <w:rPr>
      <w:b/>
      <w:kern w:val="44"/>
      <w:sz w:val="44"/>
    </w:rPr>
  </w:style>
  <w:style w:type="paragraph" w:customStyle="1" w:styleId="28">
    <w:name w:val="1表头"/>
    <w:basedOn w:val="1"/>
    <w:qFormat/>
    <w:uiPriority w:val="0"/>
    <w:pPr>
      <w:adjustRightInd w:val="0"/>
      <w:snapToGrid w:val="0"/>
      <w:spacing w:before="62" w:beforeLines="20" w:after="62" w:afterLines="20"/>
      <w:jc w:val="center"/>
    </w:pPr>
    <w:rPr>
      <w:b/>
      <w:szCs w:val="24"/>
    </w:rPr>
  </w:style>
  <w:style w:type="paragraph" w:customStyle="1" w:styleId="29">
    <w:name w:val="正文首行缩进2个字"/>
    <w:basedOn w:val="1"/>
    <w:qFormat/>
    <w:uiPriority w:val="0"/>
    <w:pPr>
      <w:ind w:firstLine="200" w:firstLineChars="200"/>
    </w:pPr>
    <w:rPr>
      <w:spacing w:val="3"/>
    </w:rPr>
  </w:style>
  <w:style w:type="paragraph" w:customStyle="1" w:styleId="30">
    <w:name w:val="1小四正文"/>
    <w:basedOn w:val="31"/>
    <w:qFormat/>
    <w:uiPriority w:val="0"/>
    <w:pPr>
      <w:tabs>
        <w:tab w:val="left" w:pos="8820"/>
      </w:tabs>
      <w:spacing w:line="360" w:lineRule="auto"/>
    </w:pPr>
    <w:rPr>
      <w:rFonts w:ascii="Times New Roman" w:hAnsi="Times New Roman" w:eastAsia="宋体"/>
      <w:color w:val="000000"/>
      <w:szCs w:val="21"/>
    </w:rPr>
  </w:style>
  <w:style w:type="paragraph" w:customStyle="1" w:styleId="31">
    <w:name w:val="样式1"/>
    <w:basedOn w:val="1"/>
    <w:qFormat/>
    <w:uiPriority w:val="0"/>
    <w:pPr>
      <w:tabs>
        <w:tab w:val="left" w:pos="8820"/>
      </w:tabs>
    </w:p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正文01"/>
    <w:basedOn w:val="1"/>
    <w:qFormat/>
    <w:uiPriority w:val="0"/>
    <w:pPr>
      <w:spacing w:before="60" w:line="460" w:lineRule="exact"/>
      <w:ind w:firstLine="200" w:firstLineChars="200"/>
    </w:pPr>
    <w:rPr>
      <w:rFonts w:ascii="Arial" w:hAnsi="Arial"/>
      <w:kern w:val="0"/>
      <w:sz w:val="24"/>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段"/>
    <w:qFormat/>
    <w:uiPriority w:val="0"/>
    <w:pPr>
      <w:widowControl w:val="0"/>
      <w:autoSpaceDE w:val="0"/>
      <w:autoSpaceDN w:val="0"/>
      <w:spacing w:line="312" w:lineRule="auto"/>
      <w:ind w:firstLine="200" w:firstLineChars="200"/>
      <w:jc w:val="both"/>
    </w:pPr>
    <w:rPr>
      <w:rFonts w:ascii="宋体" w:hAnsi="Times New Roman" w:eastAsia="宋体" w:cs="Times New Roman"/>
      <w:sz w:val="24"/>
      <w:lang w:val="en-US" w:eastAsia="zh-CN" w:bidi="ar-SA"/>
    </w:rPr>
  </w:style>
  <w:style w:type="paragraph" w:customStyle="1" w:styleId="36">
    <w:name w:val="样式 样式 正文 +1 + 宋体 黑色"/>
    <w:basedOn w:val="1"/>
    <w:qFormat/>
    <w:uiPriority w:val="0"/>
    <w:pPr>
      <w:spacing w:line="329" w:lineRule="auto"/>
    </w:pPr>
    <w:rPr>
      <w:rFonts w:ascii="宋体" w:hAnsi="宋体"/>
      <w:color w:val="000000"/>
      <w:spacing w:val="5"/>
      <w:kern w:val="0"/>
      <w:sz w:val="24"/>
    </w:rPr>
  </w:style>
  <w:style w:type="paragraph" w:customStyle="1" w:styleId="37">
    <w:name w:val="Table Paragraph"/>
    <w:basedOn w:val="1"/>
    <w:qFormat/>
    <w:uiPriority w:val="1"/>
  </w:style>
  <w:style w:type="character" w:customStyle="1" w:styleId="38">
    <w:name w:val="font11"/>
    <w:basedOn w:val="18"/>
    <w:qFormat/>
    <w:uiPriority w:val="0"/>
    <w:rPr>
      <w:rFonts w:hint="eastAsia" w:ascii="宋体" w:hAnsi="宋体" w:eastAsia="宋体" w:cs="宋体"/>
      <w:color w:val="000000"/>
      <w:sz w:val="21"/>
      <w:szCs w:val="21"/>
      <w:u w:val="none"/>
    </w:rPr>
  </w:style>
  <w:style w:type="character" w:customStyle="1" w:styleId="39">
    <w:name w:val="font21"/>
    <w:basedOn w:val="18"/>
    <w:qFormat/>
    <w:uiPriority w:val="0"/>
    <w:rPr>
      <w:rFonts w:hint="default" w:ascii="Times New Roman" w:hAnsi="Times New Roman" w:cs="Times New Roman"/>
      <w:color w:val="000000"/>
      <w:sz w:val="21"/>
      <w:szCs w:val="21"/>
      <w:u w:val="none"/>
    </w:rPr>
  </w:style>
  <w:style w:type="character" w:customStyle="1" w:styleId="40">
    <w:name w:val="font41"/>
    <w:basedOn w:val="18"/>
    <w:qFormat/>
    <w:uiPriority w:val="0"/>
    <w:rPr>
      <w:rFonts w:hint="default" w:ascii="Times New Roman" w:hAnsi="Times New Roman" w:cs="Times New Roman"/>
      <w:color w:val="000000"/>
      <w:sz w:val="21"/>
      <w:szCs w:val="21"/>
      <w:u w:val="none"/>
      <w:vertAlign w:val="subscript"/>
    </w:rPr>
  </w:style>
  <w:style w:type="character" w:customStyle="1" w:styleId="41">
    <w:name w:val="标题 2 字符"/>
    <w:qFormat/>
    <w:uiPriority w:val="99"/>
    <w:rPr>
      <w:rFonts w:ascii="Times New Roman" w:hAnsi="Times New Roman" w:eastAsia="黑体"/>
      <w:b/>
      <w:sz w:val="32"/>
    </w:rPr>
  </w:style>
  <w:style w:type="paragraph" w:customStyle="1" w:styleId="42">
    <w:name w:val="msointensequote"/>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Cs/>
      <w:iCs/>
      <w:kern w:val="2"/>
      <w:sz w:val="21"/>
      <w:szCs w:val="24"/>
      <w:lang w:val="en-US" w:eastAsia="zh-CN" w:bidi="ar"/>
    </w:rPr>
  </w:style>
  <w:style w:type="paragraph" w:customStyle="1" w:styleId="43">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44">
    <w:name w:val="RAINYON的段落"/>
    <w:qFormat/>
    <w:uiPriority w:val="0"/>
    <w:pPr>
      <w:widowControl w:val="0"/>
      <w:suppressAutoHyphens/>
      <w:topLinePunct/>
      <w:autoSpaceDE w:val="0"/>
      <w:spacing w:line="540" w:lineRule="exact"/>
      <w:ind w:firstLine="200" w:firstLineChars="200"/>
    </w:pPr>
    <w:rPr>
      <w:rFonts w:ascii="Times New Roman" w:hAnsi="Times New Roman" w:eastAsia="宋体" w:cs="Times New Roman"/>
      <w:color w:val="000000"/>
      <w:sz w:val="28"/>
      <w:szCs w:val="28"/>
      <w:lang w:val="en-US" w:eastAsia="zh-CN" w:bidi="ar-SA"/>
    </w:rPr>
  </w:style>
  <w:style w:type="paragraph" w:customStyle="1" w:styleId="45">
    <w:name w:val="标题2.2"/>
    <w:basedOn w:val="46"/>
    <w:qFormat/>
    <w:uiPriority w:val="0"/>
    <w:pPr>
      <w:spacing w:before="50" w:beforeLines="50" w:line="360" w:lineRule="auto"/>
      <w:outlineLvl w:val="1"/>
    </w:pPr>
    <w:rPr>
      <w:rFonts w:ascii="Times New Roman" w:hAnsi="Times New Roman" w:eastAsia="宋体"/>
      <w:sz w:val="28"/>
    </w:rPr>
  </w:style>
  <w:style w:type="paragraph" w:customStyle="1" w:styleId="46">
    <w:name w:val="1标题2级"/>
    <w:basedOn w:val="1"/>
    <w:qFormat/>
    <w:uiPriority w:val="0"/>
    <w:pPr>
      <w:keepNext/>
      <w:snapToGrid w:val="0"/>
      <w:spacing w:line="420" w:lineRule="auto"/>
    </w:pPr>
    <w:rPr>
      <w:rFonts w:eastAsia="黑体"/>
      <w:b/>
      <w:sz w:val="30"/>
      <w:szCs w:val="20"/>
    </w:rPr>
  </w:style>
  <w:style w:type="paragraph" w:styleId="47">
    <w:name w:val="List Paragraph"/>
    <w:basedOn w:val="1"/>
    <w:qFormat/>
    <w:uiPriority w:val="34"/>
    <w:pPr>
      <w:ind w:firstLine="420" w:firstLineChars="200"/>
    </w:pPr>
  </w:style>
  <w:style w:type="paragraph" w:customStyle="1" w:styleId="48">
    <w:name w:val="报告正文"/>
    <w:basedOn w:val="1"/>
    <w:qFormat/>
    <w:uiPriority w:val="0"/>
    <w:pPr>
      <w:adjustRightInd w:val="0"/>
      <w:spacing w:beforeLines="25" w:line="360" w:lineRule="auto"/>
      <w:ind w:firstLine="482"/>
      <w:textAlignment w:val="baseline"/>
    </w:pPr>
    <w:rPr>
      <w:snapToGrid w:val="0"/>
      <w:kern w:val="24"/>
      <w:sz w:val="24"/>
      <w:szCs w:val="21"/>
    </w:rPr>
  </w:style>
  <w:style w:type="character" w:customStyle="1" w:styleId="49">
    <w:name w:val="font31"/>
    <w:basedOn w:val="18"/>
    <w:qFormat/>
    <w:uiPriority w:val="0"/>
    <w:rPr>
      <w:rFonts w:hint="eastAsia" w:ascii="宋体" w:hAnsi="宋体" w:eastAsia="宋体" w:cs="宋体"/>
      <w:color w:val="000000"/>
      <w:sz w:val="21"/>
      <w:szCs w:val="21"/>
      <w:u w:val="single"/>
    </w:rPr>
  </w:style>
  <w:style w:type="character" w:customStyle="1" w:styleId="50">
    <w:name w:val="font51"/>
    <w:basedOn w:val="18"/>
    <w:qFormat/>
    <w:uiPriority w:val="0"/>
    <w:rPr>
      <w:rFonts w:hint="eastAsia" w:ascii="宋体" w:hAnsi="宋体" w:eastAsia="宋体" w:cs="宋体"/>
      <w:color w:val="000000"/>
      <w:sz w:val="21"/>
      <w:szCs w:val="21"/>
      <w:u w:val="single"/>
    </w:rPr>
  </w:style>
  <w:style w:type="character" w:customStyle="1" w:styleId="51">
    <w:name w:val="font71"/>
    <w:basedOn w:val="18"/>
    <w:qFormat/>
    <w:uiPriority w:val="0"/>
    <w:rPr>
      <w:rFonts w:hint="default" w:ascii="Times New Roman" w:hAnsi="Times New Roman" w:cs="Times New Roman"/>
      <w:color w:val="000000"/>
      <w:sz w:val="21"/>
      <w:szCs w:val="21"/>
      <w:u w:val="single"/>
    </w:rPr>
  </w:style>
  <w:style w:type="character" w:customStyle="1" w:styleId="52">
    <w:name w:val="font61"/>
    <w:basedOn w:val="18"/>
    <w:qFormat/>
    <w:uiPriority w:val="0"/>
    <w:rPr>
      <w:rFonts w:hint="default" w:ascii="Times New Roman" w:hAnsi="Times New Roman" w:cs="Times New Roman"/>
      <w:color w:val="000000"/>
      <w:sz w:val="21"/>
      <w:szCs w:val="21"/>
      <w:u w:val="single"/>
    </w:rPr>
  </w:style>
  <w:style w:type="paragraph" w:customStyle="1" w:styleId="53">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43281</Words>
  <Characters>51527</Characters>
  <Lines>0</Lines>
  <Paragraphs>0</Paragraphs>
  <TotalTime>1</TotalTime>
  <ScaleCrop>false</ScaleCrop>
  <LinksUpToDate>false</LinksUpToDate>
  <CharactersWithSpaces>52316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2023-11-06T10:15:00Z</dcterms:created>
  <dc:creator>久留</dc:creator>
  <cp:lastModifiedBy>Administrator</cp:lastModifiedBy>
  <cp:lastPrinted>2024-08-22T08:28:00Z</cp:lastPrinted>
  <dcterms:modified xsi:type="dcterms:W3CDTF">2024-08-22T09:05:03Z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31C4DCC416F547D1A5084AE8B253841F_13</vt:lpwstr>
  </property>
</Properties>
</file>