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7E3CF">
      <w:pPr>
        <w:pStyle w:val="2"/>
        <w:spacing w:line="60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攸县医疗保障局</w:t>
      </w:r>
      <w:r>
        <w:rPr>
          <w:rFonts w:ascii="方正小标宋简体" w:hAnsi="宋体" w:eastAsia="方正小标宋简体" w:cs="宋体"/>
          <w:sz w:val="44"/>
          <w:szCs w:val="44"/>
        </w:rPr>
        <w:t>20</w:t>
      </w:r>
      <w:r>
        <w:rPr>
          <w:rFonts w:hint="eastAsia" w:ascii="方正小标宋简体" w:hAnsi="宋体" w:eastAsia="方正小标宋简体" w:cs="宋体"/>
          <w:sz w:val="44"/>
          <w:szCs w:val="44"/>
        </w:rPr>
        <w:t>24年部门预算（草案）编制说明</w:t>
      </w:r>
    </w:p>
    <w:p w14:paraId="67F8363F">
      <w:pPr>
        <w:pStyle w:val="2"/>
        <w:spacing w:line="60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</w:p>
    <w:p w14:paraId="06DF9393">
      <w:pPr>
        <w:pStyle w:val="2"/>
        <w:spacing w:line="600" w:lineRule="exact"/>
        <w:ind w:firstLine="643" w:firstLineChars="200"/>
        <w:rPr>
          <w:rFonts w:ascii="方正黑体简体" w:hAnsi="宋体" w:eastAsia="方正黑体简体" w:cs="宋体"/>
          <w:b/>
          <w:sz w:val="32"/>
          <w:szCs w:val="32"/>
        </w:rPr>
      </w:pPr>
      <w:r>
        <w:rPr>
          <w:rFonts w:hint="eastAsia" w:ascii="方正黑体简体" w:hAnsi="宋体" w:eastAsia="方正黑体简体" w:cs="宋体"/>
          <w:b/>
          <w:sz w:val="32"/>
          <w:szCs w:val="32"/>
        </w:rPr>
        <w:t>一、单位主要职责</w:t>
      </w:r>
    </w:p>
    <w:p w14:paraId="475D6D7C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（一）拟定全县医疗保障制度的政策、规划和标准，并组织实施；</w:t>
      </w:r>
    </w:p>
    <w:p w14:paraId="402B3B79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（二）强化医疗保障基金管理，建立健全医疗保障基金安全防控机制，推进医疗保障基金支付方式改革；</w:t>
      </w:r>
    </w:p>
    <w:p w14:paraId="02D161AA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（三）组织制定并监督、指导全县医疗保障筹资和待遇政策，完善动态调整机制，建立健全与筹资水平相适应的待遇调整机制，组织拟订并实施长期护理保险制度改革方案；</w:t>
      </w:r>
    </w:p>
    <w:p w14:paraId="0B85E4F7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（四）贯彻落实全省城乡统一的药品、医用耗材、医疗服务项目、医疗服务设施等医保目录和支付标准，按照动态调整机制和医保目录准入谈判规则，及时组织实施；</w:t>
      </w:r>
    </w:p>
    <w:p w14:paraId="010EC0D4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（五）贯彻落实全省上药品、医用耍笔杆的价格和医疗服务项目、医疗服务设施收费等政策，协助建立市场主导的社会医药服务价格形成机制，执行全省价格信息检测和信息发布制度；</w:t>
      </w:r>
    </w:p>
    <w:p w14:paraId="733FD6B3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（六）贯彻落实全省药品、医用耗材的招标采购政策并监督实施，加强药品和医疗服务价格监督管理；</w:t>
      </w:r>
    </w:p>
    <w:p w14:paraId="2448A8A7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（七）制定全县定点医药机构协议和支付管理办法并组织实施，建立健全医疗保障信用评价体系和信息披露制度，监督管理纳入医保范围内的医疗服务行为和医疗费用，依法查处医疗保障领域违法违规行为；</w:t>
      </w:r>
    </w:p>
    <w:p w14:paraId="5A002B5F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（八）负责全县医疗保障经办管理、公共服务体系和信息化建设，指导和监督全县医疗保障经办业务工作。完善异地就医管理和费用结算机制，建立健全医疗保障关系转移接续制度；</w:t>
      </w:r>
    </w:p>
    <w:p w14:paraId="0AB8674F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（九）做好医疗保障相关政策的宣传和人员培训等工作；</w:t>
      </w:r>
    </w:p>
    <w:p w14:paraId="0E0A44A3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（十）会同相关部门做好全县医保参保缴费等相关工作；</w:t>
      </w:r>
    </w:p>
    <w:p w14:paraId="7A958EBD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（十一）会同卫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健</w:t>
      </w:r>
      <w:bookmarkStart w:id="0" w:name="_GoBack"/>
      <w:bookmarkEnd w:id="0"/>
      <w:r>
        <w:rPr>
          <w:rFonts w:hint="eastAsia" w:ascii="仿宋" w:hAnsi="仿宋" w:eastAsia="仿宋" w:cs="宋体"/>
          <w:sz w:val="32"/>
          <w:szCs w:val="32"/>
        </w:rPr>
        <w:t>局等部门推进医疗、医保、医药等方面加强制度、政策衔接，建立沟通协商机制，提高医疗资源使用效率和医疗保障水平 ，为患者提供安全、有效、低廉的医疗服务；</w:t>
      </w:r>
    </w:p>
    <w:p w14:paraId="450A22A7">
      <w:pPr>
        <w:pStyle w:val="2"/>
        <w:spacing w:line="60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（十二）完成县委、县政府交办的其他任务。</w:t>
      </w:r>
    </w:p>
    <w:p w14:paraId="003B1824">
      <w:pPr>
        <w:pStyle w:val="2"/>
        <w:spacing w:line="600" w:lineRule="exact"/>
        <w:ind w:firstLine="643" w:firstLineChars="200"/>
        <w:rPr>
          <w:rFonts w:ascii="方正黑体简体" w:hAnsi="宋体" w:eastAsia="方正黑体简体" w:cs="宋体"/>
          <w:b/>
          <w:sz w:val="32"/>
          <w:szCs w:val="32"/>
        </w:rPr>
      </w:pPr>
      <w:r>
        <w:rPr>
          <w:rFonts w:hint="eastAsia" w:ascii="方正黑体简体" w:hAnsi="宋体" w:eastAsia="方正黑体简体" w:cs="宋体"/>
          <w:b/>
          <w:sz w:val="32"/>
          <w:szCs w:val="32"/>
        </w:rPr>
        <w:t>二、单位机构、人员情况</w:t>
      </w:r>
    </w:p>
    <w:p w14:paraId="37433A05">
      <w:pPr>
        <w:tabs>
          <w:tab w:val="left" w:pos="20"/>
        </w:tabs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攸县医疗保障局现有6个股室和一个二级机构，现有在职人员39人，退休人员3人，临聘人员7人，借用2人。</w:t>
      </w:r>
    </w:p>
    <w:p w14:paraId="7E85881A">
      <w:pPr>
        <w:pStyle w:val="2"/>
        <w:spacing w:line="600" w:lineRule="exact"/>
        <w:ind w:firstLine="643" w:firstLineChars="200"/>
        <w:rPr>
          <w:rFonts w:ascii="方正黑体简体" w:hAnsi="宋体" w:eastAsia="方正黑体简体" w:cs="宋体"/>
          <w:b/>
          <w:sz w:val="32"/>
          <w:szCs w:val="32"/>
        </w:rPr>
      </w:pPr>
      <w:r>
        <w:rPr>
          <w:rFonts w:hint="eastAsia" w:ascii="方正黑体简体" w:hAnsi="宋体" w:eastAsia="方正黑体简体" w:cs="宋体"/>
          <w:b/>
          <w:sz w:val="32"/>
          <w:szCs w:val="32"/>
        </w:rPr>
        <w:t>三、2024年部门预算（草案）编制说明</w:t>
      </w:r>
    </w:p>
    <w:p w14:paraId="356EFCD0">
      <w:pPr>
        <w:pStyle w:val="2"/>
        <w:spacing w:line="600" w:lineRule="exact"/>
        <w:ind w:firstLine="640" w:firstLineChars="200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根据部门主要工作任务，2024年预算作如下安排：</w:t>
      </w:r>
    </w:p>
    <w:p w14:paraId="20482E4B">
      <w:pPr>
        <w:pStyle w:val="2"/>
        <w:spacing w:line="600" w:lineRule="exact"/>
        <w:ind w:firstLine="640" w:firstLineChars="200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（一）收入预算811万元</w:t>
      </w:r>
    </w:p>
    <w:p w14:paraId="1767069E">
      <w:pPr>
        <w:pStyle w:val="2"/>
        <w:spacing w:line="600" w:lineRule="exact"/>
        <w:ind w:firstLine="640" w:firstLineChars="200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1、财政预算拨款473万元；</w:t>
      </w:r>
    </w:p>
    <w:p w14:paraId="2621F716">
      <w:pPr>
        <w:pStyle w:val="2"/>
        <w:spacing w:line="600" w:lineRule="exact"/>
        <w:ind w:firstLine="640" w:firstLineChars="200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2、其他收入338万元。</w:t>
      </w:r>
    </w:p>
    <w:p w14:paraId="4AEE1213">
      <w:pPr>
        <w:pStyle w:val="2"/>
        <w:spacing w:line="600" w:lineRule="exact"/>
        <w:ind w:firstLine="640" w:firstLineChars="200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（二）支出预算 811 万元</w:t>
      </w:r>
    </w:p>
    <w:p w14:paraId="27362908">
      <w:pPr>
        <w:pStyle w:val="2"/>
        <w:spacing w:line="600" w:lineRule="exact"/>
        <w:ind w:firstLine="640" w:firstLineChars="200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1、工资福利支出618万元；</w:t>
      </w:r>
    </w:p>
    <w:p w14:paraId="1C63B3F4">
      <w:pPr>
        <w:pStyle w:val="2"/>
        <w:spacing w:line="600" w:lineRule="exact"/>
        <w:ind w:firstLine="640" w:firstLineChars="200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2、一般商品和服务支出 68 万元；</w:t>
      </w:r>
    </w:p>
    <w:p w14:paraId="26B5EC2F">
      <w:pPr>
        <w:pStyle w:val="2"/>
        <w:spacing w:line="600" w:lineRule="exact"/>
        <w:ind w:firstLine="640" w:firstLineChars="200"/>
        <w:rPr>
          <w:rFonts w:ascii="方正仿宋简体" w:hAnsi="宋体" w:eastAsia="方正仿宋简体" w:cs="宋体"/>
          <w:sz w:val="32"/>
          <w:szCs w:val="32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3、对个人和家庭的补助支出5万元；</w:t>
      </w:r>
    </w:p>
    <w:p w14:paraId="32AE4505">
      <w:pPr>
        <w:pStyle w:val="2"/>
        <w:spacing w:line="600" w:lineRule="exact"/>
        <w:ind w:firstLine="640" w:firstLineChars="200"/>
        <w:rPr>
          <w:rFonts w:hAnsi="宋体"/>
          <w:sz w:val="28"/>
          <w:szCs w:val="28"/>
        </w:rPr>
      </w:pPr>
      <w:r>
        <w:rPr>
          <w:rFonts w:hint="eastAsia" w:ascii="方正仿宋简体" w:hAnsi="宋体" w:eastAsia="方正仿宋简体" w:cs="宋体"/>
          <w:sz w:val="32"/>
          <w:szCs w:val="32"/>
        </w:rPr>
        <w:t>4、项目支出120万元。</w:t>
      </w:r>
      <w:r>
        <w:rPr>
          <w:rFonts w:hint="eastAsia" w:hAnsi="宋体"/>
          <w:sz w:val="28"/>
          <w:szCs w:val="28"/>
        </w:rPr>
        <w:t xml:space="preserve">   </w:t>
      </w:r>
    </w:p>
    <w:p w14:paraId="79913E67">
      <w:pPr>
        <w:pStyle w:val="2"/>
        <w:spacing w:line="600" w:lineRule="exact"/>
        <w:ind w:firstLine="560" w:firstLineChars="200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                    </w:t>
      </w:r>
    </w:p>
    <w:p w14:paraId="2890A5B3">
      <w:pPr>
        <w:pStyle w:val="2"/>
        <w:spacing w:line="600" w:lineRule="exact"/>
        <w:ind w:firstLine="560" w:firstLineChars="200"/>
        <w:rPr>
          <w:rFonts w:hAnsi="宋体"/>
          <w:sz w:val="28"/>
          <w:szCs w:val="28"/>
        </w:rPr>
      </w:pPr>
    </w:p>
    <w:p w14:paraId="79499878"/>
    <w:p w14:paraId="3A1B9056">
      <w:pPr>
        <w:spacing w:line="220" w:lineRule="atLeast"/>
      </w:pPr>
    </w:p>
    <w:sectPr>
      <w:pgSz w:w="16838" w:h="11906" w:orient="landscape"/>
      <w:pgMar w:top="1620" w:right="1440" w:bottom="1466" w:left="144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4NjRmNTNlNmI2NzljMGJmY2VkMmE2ZDNhNjhkN2EifQ=="/>
  </w:docVars>
  <w:rsids>
    <w:rsidRoot w:val="00D31D50"/>
    <w:rsid w:val="00323B43"/>
    <w:rsid w:val="003D37D8"/>
    <w:rsid w:val="00426133"/>
    <w:rsid w:val="004358AB"/>
    <w:rsid w:val="00532A65"/>
    <w:rsid w:val="008B7726"/>
    <w:rsid w:val="00924859"/>
    <w:rsid w:val="0099774E"/>
    <w:rsid w:val="00C125C2"/>
    <w:rsid w:val="00D31D50"/>
    <w:rsid w:val="00E90DD0"/>
    <w:rsid w:val="235A48CB"/>
    <w:rsid w:val="5546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894</Words>
  <Characters>917</Characters>
  <Lines>6</Lines>
  <Paragraphs>1</Paragraphs>
  <TotalTime>7</TotalTime>
  <ScaleCrop>false</ScaleCrop>
  <LinksUpToDate>false</LinksUpToDate>
  <CharactersWithSpaces>945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佐</cp:lastModifiedBy>
  <dcterms:modified xsi:type="dcterms:W3CDTF">2024-08-14T00:39:18Z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93910F430E1D4EBCA83C72B410FC327B_13</vt:lpwstr>
  </property>
</Properties>
</file>