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960" w:firstLineChars="200"/>
        <w:rPr>
          <w:rFonts w:eastAsia="方正小标宋_GBK"/>
          <w:sz w:val="48"/>
          <w:szCs w:val="48"/>
        </w:rPr>
      </w:pPr>
    </w:p>
    <w:p>
      <w:pPr>
        <w:spacing w:line="560" w:lineRule="exact"/>
        <w:ind w:firstLine="960" w:firstLineChars="200"/>
        <w:rPr>
          <w:rFonts w:eastAsia="方正小标宋_GBK"/>
          <w:sz w:val="48"/>
          <w:szCs w:val="48"/>
        </w:rPr>
      </w:pPr>
    </w:p>
    <w:p>
      <w:pPr>
        <w:spacing w:line="560" w:lineRule="exact"/>
        <w:ind w:firstLine="880" w:firstLineChars="200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株洲市芦淞区信访局整体</w:t>
      </w:r>
    </w:p>
    <w:p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支出绩效自评报告</w:t>
      </w:r>
    </w:p>
    <w:p>
      <w:pPr>
        <w:spacing w:line="560" w:lineRule="exact"/>
        <w:ind w:firstLine="643" w:firstLineChars="200"/>
        <w:jc w:val="center"/>
        <w:rPr>
          <w:rFonts w:eastAsia="楷体_GB2312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880" w:firstLineChars="200"/>
        <w:rPr>
          <w:rFonts w:eastAsia="黑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eastAsia="黑体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eastAsia="黑体"/>
          <w:sz w:val="44"/>
          <w:szCs w:val="44"/>
        </w:rPr>
      </w:pPr>
    </w:p>
    <w:p>
      <w:pPr>
        <w:spacing w:line="560" w:lineRule="exact"/>
        <w:ind w:firstLine="720" w:firstLineChars="200"/>
        <w:rPr>
          <w:rFonts w:eastAsia="黑体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eastAsia="黑体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eastAsia="黑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</w:rPr>
        <w:t>区信访局</w:t>
      </w:r>
      <w:r>
        <w:rPr>
          <w:rFonts w:eastAsia="楷体_GB2312"/>
          <w:b/>
          <w:sz w:val="32"/>
          <w:szCs w:val="32"/>
        </w:rPr>
        <w:t>基本情况</w:t>
      </w:r>
    </w:p>
    <w:p>
      <w:pPr>
        <w:spacing w:line="56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</w:rPr>
        <w:t>本部门</w:t>
      </w:r>
      <w:r>
        <w:rPr>
          <w:rFonts w:eastAsia="仿宋_GB2312"/>
          <w:sz w:val="32"/>
        </w:rPr>
        <w:t>主要职</w:t>
      </w:r>
      <w:r>
        <w:rPr>
          <w:rFonts w:hint="eastAsia" w:eastAsia="仿宋_GB2312"/>
          <w:sz w:val="32"/>
        </w:rPr>
        <w:t>能是</w:t>
      </w:r>
      <w:r>
        <w:rPr>
          <w:rFonts w:eastAsia="仿宋_GB2312"/>
          <w:sz w:val="32"/>
        </w:rPr>
        <w:t>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>贯彻执行党中央、国务院，省委、省政府，市委、市政府和区委、区政府有关信访工作的方针、政策，结合全区实际，拟定全区信访工作的规章、制度和工作要点，并组织实施。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</w:t>
      </w:r>
      <w:r>
        <w:rPr>
          <w:rFonts w:eastAsia="仿宋_GB2312"/>
          <w:sz w:val="32"/>
          <w:szCs w:val="32"/>
        </w:rPr>
        <w:t>做好群众来区、到市、赴省、进京上访的接访劝返工作，受理、交办、转送信访人提出的信访事项。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</w:t>
      </w:r>
      <w:r>
        <w:rPr>
          <w:rFonts w:eastAsia="仿宋_GB2312"/>
          <w:sz w:val="32"/>
          <w:szCs w:val="32"/>
        </w:rPr>
        <w:t>承办上级机关和领导交办、批办的信访事项，检查、督促、协调处理重大信访问题。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办理人民群众给区委、区政府和区主要领导同志的来信，做好领导同志接待上访群众的服务工作。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</w:t>
      </w:r>
      <w:r>
        <w:rPr>
          <w:rFonts w:eastAsia="仿宋_GB2312"/>
          <w:sz w:val="32"/>
          <w:szCs w:val="32"/>
        </w:rPr>
        <w:t>掌握信访工作动态，汇集人民群众的建议、意见，及时提供信访信息，为领导决策服务。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负责对全区信访工作的检查指导、督查督办；负责信访理论研究和全区信访干部的业务指导。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eastAsia="仿宋_GB2312"/>
          <w:sz w:val="32"/>
          <w:szCs w:val="32"/>
        </w:rPr>
        <w:t>会同有关部门对重大信访事项的失职渎职部门或人员，负责责任追究的调查工作，并提出处理建议。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</w:t>
      </w:r>
      <w:r>
        <w:rPr>
          <w:rFonts w:eastAsia="仿宋_GB2312"/>
          <w:sz w:val="32"/>
          <w:szCs w:val="32"/>
        </w:rPr>
        <w:t>承办上级交办的其他工作。</w:t>
      </w:r>
    </w:p>
    <w:p>
      <w:pPr>
        <w:spacing w:line="56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9、</w:t>
      </w:r>
      <w:r>
        <w:rPr>
          <w:rFonts w:eastAsia="仿宋_GB2312"/>
          <w:sz w:val="32"/>
          <w:szCs w:val="32"/>
        </w:rPr>
        <w:t>完成区委、区政府交办的其他任务。</w:t>
      </w:r>
    </w:p>
    <w:p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hint="eastAsia" w:eastAsia="楷体_GB2312"/>
          <w:b/>
          <w:sz w:val="32"/>
          <w:szCs w:val="32"/>
        </w:rPr>
        <w:t>区信访局</w:t>
      </w:r>
      <w:r>
        <w:rPr>
          <w:rFonts w:eastAsia="楷体_GB2312"/>
          <w:b/>
          <w:sz w:val="32"/>
          <w:szCs w:val="32"/>
        </w:rPr>
        <w:t>年度整体支出绩效目标，</w:t>
      </w:r>
      <w:r>
        <w:rPr>
          <w:rFonts w:hint="eastAsia" w:eastAsia="楷体_GB2312"/>
          <w:b/>
          <w:sz w:val="32"/>
          <w:szCs w:val="32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>年度整体支出绩效目标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信访形势总体平稳，无因信访问题引发大规模聚集上访、极端恶性事件和负面舆情炒作。全国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两会特护期、二十大特护期实现进京“零集访、零非访、零滋事、零违纪、零通报”目标。</w:t>
      </w:r>
    </w:p>
    <w:p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2、</w:t>
      </w:r>
      <w:r>
        <w:rPr>
          <w:rFonts w:eastAsia="楷体_GB2312"/>
          <w:b/>
          <w:sz w:val="32"/>
          <w:szCs w:val="32"/>
        </w:rPr>
        <w:t>其他项目支出（除省级专项资金以外）绩效目标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社会治理风险防控“N合一”机制建设经费：一是对进京赴省到市信访对象及时做好接劝返工作，认真处理好本级上访对象的工作，避免出现危害社会的现象。二是确保2022年冬奥会、冬残奥会、2022年两会、二十大等国家重要活动特护期维稳工作，防止出现大规模维稳事件及非正常上访登记。三是严格按要求落实信访困难对象救助措施，及时发放救助金和确保资金使用安全。</w:t>
      </w:r>
    </w:p>
    <w:p>
      <w:pPr>
        <w:pStyle w:val="4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spacing w:line="56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4"/>
        <w:spacing w:line="56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1、2022年预算资金</w:t>
      </w:r>
      <w:r>
        <w:rPr>
          <w:rFonts w:ascii="Times New Roman" w:hAnsi="Times New Roman" w:eastAsia="仿宋"/>
          <w:sz w:val="32"/>
          <w:szCs w:val="32"/>
        </w:rPr>
        <w:t>131.35</w:t>
      </w:r>
      <w:r>
        <w:rPr>
          <w:rFonts w:hint="eastAsia" w:ascii="Times New Roman" w:hAnsi="Times New Roman" w:eastAsia="仿宋"/>
          <w:sz w:val="32"/>
          <w:szCs w:val="32"/>
        </w:rPr>
        <w:t>万元。</w:t>
      </w:r>
    </w:p>
    <w:p>
      <w:pPr>
        <w:pStyle w:val="4"/>
        <w:spacing w:line="56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2、2022年度单位一般公共预算财政拨款收入</w:t>
      </w:r>
      <w:r>
        <w:rPr>
          <w:rFonts w:ascii="Times New Roman" w:hAnsi="Times New Roman" w:eastAsia="仿宋"/>
          <w:sz w:val="32"/>
          <w:szCs w:val="32"/>
        </w:rPr>
        <w:t>246.04</w:t>
      </w:r>
      <w:r>
        <w:rPr>
          <w:rFonts w:hint="eastAsia" w:ascii="Times New Roman" w:hAnsi="Times New Roman" w:eastAsia="仿宋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3、2022年度单位一般公共预算财政拨款支出</w:t>
      </w:r>
      <w:r>
        <w:rPr>
          <w:rFonts w:eastAsia="仿宋"/>
          <w:sz w:val="32"/>
          <w:szCs w:val="32"/>
        </w:rPr>
        <w:t>246.04</w:t>
      </w:r>
      <w:r>
        <w:rPr>
          <w:rFonts w:hint="eastAsia" w:eastAsia="仿宋"/>
          <w:sz w:val="32"/>
          <w:szCs w:val="32"/>
        </w:rPr>
        <w:t>万元，其中：项目支出</w:t>
      </w:r>
      <w:r>
        <w:rPr>
          <w:rFonts w:eastAsia="仿宋"/>
          <w:sz w:val="32"/>
          <w:szCs w:val="32"/>
        </w:rPr>
        <w:t>104.92</w:t>
      </w:r>
      <w:r>
        <w:rPr>
          <w:rFonts w:hint="eastAsia" w:eastAsia="仿宋"/>
          <w:sz w:val="32"/>
          <w:szCs w:val="32"/>
        </w:rPr>
        <w:t>万元，基本支出</w:t>
      </w:r>
      <w:r>
        <w:rPr>
          <w:rFonts w:eastAsia="仿宋"/>
          <w:sz w:val="32"/>
          <w:szCs w:val="32"/>
        </w:rPr>
        <w:t>141.12</w:t>
      </w:r>
      <w:r>
        <w:rPr>
          <w:rFonts w:hint="eastAsia" w:eastAsia="仿宋"/>
          <w:sz w:val="32"/>
          <w:szCs w:val="32"/>
        </w:rPr>
        <w:t>万元，其中：人员经费</w:t>
      </w:r>
      <w:r>
        <w:rPr>
          <w:rFonts w:eastAsia="仿宋"/>
          <w:sz w:val="32"/>
          <w:szCs w:val="32"/>
        </w:rPr>
        <w:t>107.67</w:t>
      </w:r>
      <w:r>
        <w:rPr>
          <w:rFonts w:hint="eastAsia" w:eastAsia="仿宋"/>
          <w:sz w:val="32"/>
          <w:szCs w:val="32"/>
        </w:rPr>
        <w:t>万元，公用经费</w:t>
      </w:r>
      <w:r>
        <w:rPr>
          <w:rFonts w:eastAsia="仿宋"/>
          <w:sz w:val="32"/>
          <w:szCs w:val="32"/>
        </w:rPr>
        <w:t>33.45</w:t>
      </w:r>
      <w:r>
        <w:rPr>
          <w:rFonts w:hint="eastAsia" w:eastAsia="仿宋"/>
          <w:sz w:val="32"/>
          <w:szCs w:val="32"/>
        </w:rPr>
        <w:t>万元。</w:t>
      </w:r>
    </w:p>
    <w:p>
      <w:pPr>
        <w:pStyle w:val="4"/>
        <w:numPr>
          <w:ilvl w:val="0"/>
          <w:numId w:val="1"/>
        </w:numPr>
        <w:spacing w:line="56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4"/>
        <w:spacing w:line="560" w:lineRule="exact"/>
        <w:ind w:firstLine="64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2022年度项目支出合计</w:t>
      </w:r>
      <w:r>
        <w:rPr>
          <w:rFonts w:eastAsia="仿宋"/>
          <w:sz w:val="32"/>
          <w:szCs w:val="32"/>
        </w:rPr>
        <w:t>104.92</w:t>
      </w:r>
      <w:r>
        <w:rPr>
          <w:rFonts w:hint="eastAsia" w:eastAsia="仿宋"/>
          <w:sz w:val="32"/>
          <w:szCs w:val="32"/>
        </w:rPr>
        <w:t>万元，其中：1、疫情防控经费项目支出</w:t>
      </w:r>
      <w:r>
        <w:rPr>
          <w:rFonts w:eastAsia="仿宋"/>
          <w:sz w:val="32"/>
          <w:szCs w:val="32"/>
        </w:rPr>
        <w:t>0.80</w:t>
      </w:r>
      <w:r>
        <w:rPr>
          <w:rFonts w:hint="eastAsia" w:eastAsia="仿宋"/>
          <w:sz w:val="32"/>
          <w:szCs w:val="32"/>
        </w:rPr>
        <w:t>万元；2、社会治理风险防控“N合一”机制建设经费102.85万元；3、企业改制及维稳经费</w:t>
      </w:r>
      <w:r>
        <w:rPr>
          <w:rFonts w:eastAsia="仿宋"/>
          <w:sz w:val="32"/>
          <w:szCs w:val="32"/>
        </w:rPr>
        <w:t>1.27</w:t>
      </w:r>
      <w:r>
        <w:rPr>
          <w:rFonts w:hint="eastAsia" w:eastAsia="仿宋"/>
          <w:sz w:val="32"/>
          <w:szCs w:val="32"/>
        </w:rPr>
        <w:t>万元。</w:t>
      </w:r>
    </w:p>
    <w:p>
      <w:pPr>
        <w:pStyle w:val="4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4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无。</w:t>
      </w:r>
    </w:p>
    <w:p>
      <w:pPr>
        <w:pStyle w:val="4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pStyle w:val="4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无。</w:t>
      </w:r>
    </w:p>
    <w:p>
      <w:pPr>
        <w:pStyle w:val="4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pStyle w:val="4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无。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(一）部门整体支出绩效情况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今年以来，我局坚持以二十大安保信访维稳为主线，以“N合一”机制建设为抓手，全力以赴做好信访维稳各项工作，圆满完成重要特护期的信访维稳工作，成绩效较为显著。尤其在党的二十大、二十届一中全会期间，在区委、区政府的大力支持下，全区各级各部门通力协作、配合，属地高效稳控、沿途布控阻击、京地互动协作、严丝合缝，实现了“零登记”、“零非访”、“无滋事”的优异成绩，得到市委、市政府有关领导高度肯定。全年我区赴省集访“零发生”， 进京登记14批14人次，同比下降82.7%。对于中央第一批、第二批“治理重复信访、化解信访积案”专项工作交办件92件，已全部上报办结，未化解2件，化解率97.8%。成功化解了四部委、省交办人员赖春香案，市交办人员赵昌宏案，非访人员樊永周、王运案，专项工作交办袁金梅、陈爱群、张美平、左清伟、唐德春、陈秋余等案件，重点群体针织水表厂等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在全市上半年社会治理风险防控“N合一”考核中，排名全市第一，在全市上半年信访考核中，排名全市第二。总体来讲，全年全区信访形势平稳可控。</w:t>
      </w:r>
    </w:p>
    <w:p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（二）专项资金支出绩效情况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  <w:lang w:bidi="ar"/>
        </w:rPr>
      </w:pPr>
      <w:r>
        <w:rPr>
          <w:rFonts w:hint="eastAsia" w:eastAsia="仿宋_GB2312"/>
          <w:sz w:val="32"/>
          <w:szCs w:val="32"/>
        </w:rPr>
        <w:t>社会治理风险防控“N合一”机制建设经费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：1、冬残奥会、全国两会特护期包含区、市、省、京等会议期间的信访维稳工作，预计产生费用30万；2、二十大特护期，预计特护期一个月，将安排10-16名信访干部赴京参与维稳工作，预计产生费用30万元。3、驻京信访维稳全返小组派驻2人全年驻京及国庆特护期等其它重要活动会议期间信访维稳工作，预计产生费用30万元。4、对需要救助的信访对象共计救助11人次，按不高于5万的标准进行救助。</w:t>
      </w:r>
    </w:p>
    <w:p>
      <w:pPr>
        <w:pStyle w:val="4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自评结果将运用于来年预算编制，并为来年的预算绩效管理提供重要的参考。本单位无独立网站，自评结果将在芦淞区政府门户网上统一公示公开，接受监督。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spacing w:line="560" w:lineRule="exact"/>
        <w:ind w:firstLine="420" w:firstLineChars="200"/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AE4AF1"/>
    <w:rsid w:val="000005E2"/>
    <w:rsid w:val="00004E70"/>
    <w:rsid w:val="00143CC0"/>
    <w:rsid w:val="001A30F3"/>
    <w:rsid w:val="00207FA3"/>
    <w:rsid w:val="00265C4C"/>
    <w:rsid w:val="00302EE3"/>
    <w:rsid w:val="00321202"/>
    <w:rsid w:val="00370B9F"/>
    <w:rsid w:val="003C1C75"/>
    <w:rsid w:val="003F39C9"/>
    <w:rsid w:val="0045561A"/>
    <w:rsid w:val="004738E8"/>
    <w:rsid w:val="004A03BD"/>
    <w:rsid w:val="004A4344"/>
    <w:rsid w:val="004D2DC7"/>
    <w:rsid w:val="005112F2"/>
    <w:rsid w:val="00514DE2"/>
    <w:rsid w:val="005A433C"/>
    <w:rsid w:val="0064426F"/>
    <w:rsid w:val="00785175"/>
    <w:rsid w:val="007D1152"/>
    <w:rsid w:val="008B6311"/>
    <w:rsid w:val="008C62A7"/>
    <w:rsid w:val="00A4184A"/>
    <w:rsid w:val="00A56C8A"/>
    <w:rsid w:val="00AE4AF1"/>
    <w:rsid w:val="00BF695E"/>
    <w:rsid w:val="00CF6A10"/>
    <w:rsid w:val="00D5092F"/>
    <w:rsid w:val="00E55161"/>
    <w:rsid w:val="00EE768A"/>
    <w:rsid w:val="00FC7770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981E18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1B0108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520E1F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4D4822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1844C6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291</Words>
  <Characters>1659</Characters>
  <Lines>13</Lines>
  <Paragraphs>3</Paragraphs>
  <TotalTime>177</TotalTime>
  <ScaleCrop>false</ScaleCrop>
  <LinksUpToDate>false</LinksUpToDate>
  <CharactersWithSpaces>1947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wps</cp:lastModifiedBy>
  <dcterms:modified xsi:type="dcterms:W3CDTF">2024-07-04T08:20:54Z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46B1E17AE7754E13BA78DBD53DD7830E</vt:lpwstr>
  </property>
</Properties>
</file>