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2021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</w:rPr>
        <w:t>株洲市芦淞区信访局整体</w:t>
      </w:r>
      <w:r>
        <w:rPr>
          <w:rFonts w:eastAsia="方正小标宋_GBK"/>
          <w:sz w:val="48"/>
          <w:szCs w:val="48"/>
        </w:rPr>
        <w:t>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</w:rPr>
        <w:t>区信访局</w:t>
      </w:r>
      <w:r>
        <w:rPr>
          <w:rFonts w:eastAsia="楷体_GB2312"/>
          <w:b/>
          <w:sz w:val="32"/>
          <w:szCs w:val="32"/>
        </w:rPr>
        <w:t>基本情况</w:t>
      </w:r>
    </w:p>
    <w:p>
      <w:pPr>
        <w:spacing w:line="60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</w:rPr>
        <w:t>本部门</w:t>
      </w:r>
      <w:r>
        <w:rPr>
          <w:rFonts w:eastAsia="仿宋_GB2312"/>
          <w:sz w:val="32"/>
        </w:rPr>
        <w:t>主要职</w:t>
      </w:r>
      <w:r>
        <w:rPr>
          <w:rFonts w:hint="eastAsia" w:eastAsia="仿宋_GB2312"/>
          <w:sz w:val="32"/>
        </w:rPr>
        <w:t>能是</w:t>
      </w:r>
      <w:r>
        <w:rPr>
          <w:rFonts w:eastAsia="仿宋_GB2312"/>
          <w:sz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</w:t>
      </w:r>
      <w:r>
        <w:rPr>
          <w:rFonts w:eastAsia="仿宋_GB2312"/>
          <w:sz w:val="32"/>
          <w:szCs w:val="32"/>
        </w:rPr>
        <w:t>贯彻执行党中央、国务院，省委、省政府，市委、市政府和区委、区政府有关信访工作的方针、政策，结合全区实际，拟定全区信访工作的规章、制度和工作要点，并组织实施。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</w:t>
      </w:r>
      <w:r>
        <w:rPr>
          <w:rFonts w:eastAsia="仿宋_GB2312"/>
          <w:sz w:val="32"/>
          <w:szCs w:val="32"/>
        </w:rPr>
        <w:t>做好群众来区、到市、赴省、进京上访的接访劝返工作，受理、交办、转送信访人提出的信访事项。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</w:t>
      </w:r>
      <w:r>
        <w:rPr>
          <w:rFonts w:eastAsia="仿宋_GB2312"/>
          <w:sz w:val="32"/>
          <w:szCs w:val="32"/>
        </w:rPr>
        <w:t>承办上级机关和领导交办、批办的信访事项，检查、督促、协调处理重大信访问题。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</w:t>
      </w:r>
      <w:r>
        <w:rPr>
          <w:rFonts w:eastAsia="仿宋_GB2312"/>
          <w:sz w:val="32"/>
          <w:szCs w:val="32"/>
        </w:rPr>
        <w:t>办理人民群众给区委、区政府和区主要领导同志的来信，做好领导同志接待上访群众的服务工作。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</w:t>
      </w:r>
      <w:r>
        <w:rPr>
          <w:rFonts w:eastAsia="仿宋_GB2312"/>
          <w:sz w:val="32"/>
          <w:szCs w:val="32"/>
        </w:rPr>
        <w:t>掌握信访工作动态，汇集人民群众的建议、意见，及时提供信访信息，为领导决策服务。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</w:t>
      </w:r>
      <w:r>
        <w:rPr>
          <w:rFonts w:eastAsia="仿宋_GB2312"/>
          <w:sz w:val="32"/>
          <w:szCs w:val="32"/>
        </w:rPr>
        <w:t>负责对全区信访工作的检查指导、督查督办；负责信访理论研究和全区信访干部的业务指导。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</w:t>
      </w:r>
      <w:r>
        <w:rPr>
          <w:rFonts w:eastAsia="仿宋_GB2312"/>
          <w:sz w:val="32"/>
          <w:szCs w:val="32"/>
        </w:rPr>
        <w:t>会同有关部门对重大信访事项的失职渎职部门或人员，负责责任追究的调查工作，并提出处理建议。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</w:t>
      </w:r>
      <w:r>
        <w:rPr>
          <w:rFonts w:eastAsia="仿宋_GB2312"/>
          <w:sz w:val="32"/>
          <w:szCs w:val="32"/>
        </w:rPr>
        <w:t>承办上级交办的其他工作。</w:t>
      </w:r>
    </w:p>
    <w:p>
      <w:pPr>
        <w:spacing w:line="60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9、</w:t>
      </w:r>
      <w:r>
        <w:rPr>
          <w:rFonts w:eastAsia="仿宋_GB2312"/>
          <w:sz w:val="32"/>
          <w:szCs w:val="32"/>
        </w:rPr>
        <w:t>完成区委、区政府交办的其他任务。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hint="eastAsia" w:eastAsia="楷体_GB2312"/>
          <w:b/>
          <w:sz w:val="32"/>
          <w:szCs w:val="32"/>
        </w:rPr>
        <w:t>区信访局</w:t>
      </w:r>
      <w:r>
        <w:rPr>
          <w:rFonts w:eastAsia="楷体_GB2312"/>
          <w:b/>
          <w:sz w:val="32"/>
          <w:szCs w:val="32"/>
        </w:rPr>
        <w:t>年度整体支出绩效目标，</w:t>
      </w:r>
      <w:r>
        <w:rPr>
          <w:rFonts w:hint="eastAsia" w:eastAsia="楷体_GB2312"/>
          <w:b/>
          <w:sz w:val="32"/>
          <w:szCs w:val="32"/>
        </w:rPr>
        <w:t>部门</w:t>
      </w:r>
      <w:r>
        <w:rPr>
          <w:rFonts w:eastAsia="楷体_GB2312"/>
          <w:b/>
          <w:sz w:val="32"/>
          <w:szCs w:val="32"/>
        </w:rPr>
        <w:t>专项资金绩效目标、其他项目支出（除省级专项资金以外）绩效目标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</w:t>
      </w:r>
      <w:r>
        <w:rPr>
          <w:rFonts w:eastAsia="仿宋_GB2312"/>
          <w:sz w:val="32"/>
          <w:szCs w:val="32"/>
        </w:rPr>
        <w:t>年度整体支出绩效目标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全年救助不少于2人；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全年无重大信访维稳事件发生，确保重点特护期间无重大信访维稳事件发生，无意外事故和及时到位。</w:t>
      </w:r>
      <w:r>
        <w:rPr>
          <w:rFonts w:hint="eastAsia" w:eastAsia="仿宋_GB2312"/>
          <w:sz w:val="32"/>
          <w:szCs w:val="32"/>
          <w:lang w:val="en-US" w:eastAsia="zh-CN"/>
        </w:rPr>
        <w:t>（3）</w:t>
      </w:r>
      <w:r>
        <w:rPr>
          <w:rFonts w:hint="default" w:eastAsia="仿宋_GB2312"/>
          <w:sz w:val="32"/>
          <w:szCs w:val="32"/>
          <w:lang w:val="en-US"/>
        </w:rPr>
        <w:t>信访人对信访接待工作满意度2021年必须达到98%。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2、</w:t>
      </w:r>
      <w:r>
        <w:rPr>
          <w:rFonts w:eastAsia="楷体_GB2312"/>
          <w:b/>
          <w:sz w:val="32"/>
          <w:szCs w:val="32"/>
        </w:rPr>
        <w:t>其他项目支出（除省级专项资金以外）绩效目标</w:t>
      </w:r>
    </w:p>
    <w:p>
      <w:pPr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信访维稳专项：一是对进京赴省到市信访对象及时做好接劝返工作，认真处理好本级上访对象的工作，避免出现危害社会的现象。二是确保2021年两会、建党一百周年等国家重要活动特护期维稳工作，防止出现大规模维稳事件及非正常上访登记。</w:t>
      </w:r>
    </w:p>
    <w:p>
      <w:pPr>
        <w:spacing w:line="560" w:lineRule="exact"/>
        <w:ind w:firstLine="640" w:firstLineChars="200"/>
        <w:jc w:val="left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信访救助：严格按要求落实信访困难对象救助措施，全年救助不少于2人，及时发放救助金和确保资金使用安全。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4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4"/>
        <w:spacing w:line="600" w:lineRule="exact"/>
        <w:ind w:firstLine="643"/>
        <w:rPr>
          <w:rFonts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1、</w:t>
      </w:r>
      <w:r>
        <w:rPr>
          <w:rFonts w:eastAsia="仿宋"/>
          <w:color w:val="000000"/>
          <w:sz w:val="32"/>
          <w:szCs w:val="32"/>
        </w:rPr>
        <w:t>202</w:t>
      </w:r>
      <w:r>
        <w:rPr>
          <w:rFonts w:hint="eastAsia" w:eastAsia="仿宋"/>
          <w:color w:val="000000"/>
          <w:sz w:val="32"/>
          <w:szCs w:val="32"/>
        </w:rPr>
        <w:t>1</w:t>
      </w:r>
      <w:r>
        <w:rPr>
          <w:rFonts w:eastAsia="仿宋"/>
          <w:color w:val="000000"/>
          <w:sz w:val="32"/>
          <w:szCs w:val="32"/>
        </w:rPr>
        <w:t>年预算资金247.62</w:t>
      </w:r>
      <w:r>
        <w:rPr>
          <w:rFonts w:hint="eastAsia" w:eastAsia="仿宋"/>
          <w:color w:val="000000"/>
          <w:sz w:val="32"/>
          <w:szCs w:val="32"/>
        </w:rPr>
        <w:t>万元。</w:t>
      </w:r>
    </w:p>
    <w:p>
      <w:pPr>
        <w:pStyle w:val="4"/>
        <w:spacing w:line="600" w:lineRule="exact"/>
        <w:ind w:firstLine="64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2、2021年度</w:t>
      </w:r>
      <w:r>
        <w:rPr>
          <w:rFonts w:eastAsia="仿宋"/>
          <w:sz w:val="32"/>
          <w:szCs w:val="32"/>
        </w:rPr>
        <w:t>单位</w:t>
      </w:r>
      <w:r>
        <w:rPr>
          <w:rFonts w:hint="eastAsia" w:eastAsia="仿宋"/>
          <w:sz w:val="32"/>
          <w:szCs w:val="32"/>
        </w:rPr>
        <w:t>一般公共预算财政拨款</w:t>
      </w:r>
      <w:r>
        <w:rPr>
          <w:rFonts w:eastAsia="仿宋"/>
          <w:sz w:val="32"/>
          <w:szCs w:val="32"/>
        </w:rPr>
        <w:t>收入213</w:t>
      </w:r>
      <w:r>
        <w:rPr>
          <w:rFonts w:hint="eastAsia" w:eastAsia="仿宋"/>
          <w:sz w:val="32"/>
          <w:szCs w:val="32"/>
        </w:rPr>
        <w:t>万元。</w:t>
      </w:r>
    </w:p>
    <w:p>
      <w:pPr>
        <w:spacing w:line="580" w:lineRule="exact"/>
        <w:ind w:firstLine="640" w:firstLineChars="200"/>
        <w:rPr>
          <w:rFonts w:eastAsia="仿宋"/>
          <w:color w:val="0000FF"/>
          <w:sz w:val="32"/>
          <w:szCs w:val="32"/>
        </w:rPr>
      </w:pPr>
      <w:r>
        <w:rPr>
          <w:rFonts w:eastAsia="仿宋"/>
          <w:sz w:val="32"/>
          <w:szCs w:val="32"/>
        </w:rPr>
        <w:t>3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hint="eastAsia" w:eastAsia="仿宋"/>
          <w:sz w:val="32"/>
          <w:szCs w:val="32"/>
        </w:rPr>
        <w:t>2021年度</w:t>
      </w:r>
      <w:r>
        <w:rPr>
          <w:rFonts w:eastAsia="仿宋"/>
          <w:sz w:val="32"/>
          <w:szCs w:val="32"/>
        </w:rPr>
        <w:t>单位</w:t>
      </w:r>
      <w:r>
        <w:rPr>
          <w:rFonts w:hint="eastAsia" w:eastAsia="仿宋"/>
          <w:sz w:val="32"/>
          <w:szCs w:val="32"/>
        </w:rPr>
        <w:t>一般公共预算财政拨款支出</w:t>
      </w:r>
      <w:r>
        <w:rPr>
          <w:rFonts w:eastAsia="仿宋"/>
          <w:sz w:val="32"/>
          <w:szCs w:val="32"/>
        </w:rPr>
        <w:t>213</w:t>
      </w:r>
      <w:r>
        <w:rPr>
          <w:rFonts w:hint="eastAsia" w:eastAsia="仿宋"/>
          <w:sz w:val="32"/>
          <w:szCs w:val="32"/>
        </w:rPr>
        <w:t>万元，</w:t>
      </w:r>
      <w:r>
        <w:rPr>
          <w:rFonts w:eastAsia="仿宋"/>
          <w:sz w:val="32"/>
          <w:szCs w:val="32"/>
        </w:rPr>
        <w:t>其中：项目支出103.82万元，基本支出109.18万元，其中：人员经费96.66万元，公用经费12.52</w:t>
      </w:r>
      <w:r>
        <w:rPr>
          <w:rFonts w:hint="eastAsia" w:eastAsia="仿宋"/>
          <w:sz w:val="32"/>
          <w:szCs w:val="32"/>
        </w:rPr>
        <w:t>万</w:t>
      </w:r>
      <w:r>
        <w:rPr>
          <w:rFonts w:eastAsia="仿宋"/>
          <w:sz w:val="32"/>
          <w:szCs w:val="32"/>
        </w:rPr>
        <w:t>元。</w:t>
      </w:r>
    </w:p>
    <w:p>
      <w:pPr>
        <w:pStyle w:val="4"/>
        <w:numPr>
          <w:ilvl w:val="0"/>
          <w:numId w:val="1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4"/>
        <w:spacing w:line="600" w:lineRule="exact"/>
        <w:ind w:left="640" w:firstLine="0" w:firstLineChars="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2021年度项目支出合计</w:t>
      </w:r>
      <w:r>
        <w:rPr>
          <w:rFonts w:eastAsia="仿宋"/>
          <w:sz w:val="32"/>
          <w:szCs w:val="32"/>
        </w:rPr>
        <w:t>103.82</w:t>
      </w:r>
      <w:r>
        <w:rPr>
          <w:rFonts w:hint="eastAsia" w:eastAsia="仿宋"/>
          <w:sz w:val="32"/>
          <w:szCs w:val="32"/>
        </w:rPr>
        <w:t>万元，其中：1、信访救</w:t>
      </w:r>
    </w:p>
    <w:p>
      <w:pPr>
        <w:spacing w:line="600" w:lineRule="exac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助项目支出22.5万元；2、信访维稳81.32万元。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本单位当年无</w:t>
      </w:r>
      <w:r>
        <w:rPr>
          <w:rFonts w:ascii="Times New Roman" w:hAnsi="Times New Roman" w:eastAsia="仿宋"/>
          <w:sz w:val="32"/>
          <w:szCs w:val="32"/>
        </w:rPr>
        <w:t>政府性基金预算支出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本单位当年无</w:t>
      </w:r>
      <w:r>
        <w:rPr>
          <w:rFonts w:ascii="Times New Roman" w:hAnsi="Times New Roman" w:eastAsia="仿宋"/>
          <w:sz w:val="32"/>
          <w:szCs w:val="32"/>
        </w:rPr>
        <w:t>国有资本经营预算支出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本单位当年无</w:t>
      </w:r>
      <w:r>
        <w:rPr>
          <w:rFonts w:ascii="Times New Roman" w:hAnsi="Times New Roman" w:eastAsia="仿宋"/>
          <w:sz w:val="32"/>
          <w:szCs w:val="32"/>
        </w:rPr>
        <w:t>社会保险基金预算支出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(一）部门整体支出绩效情况</w:t>
      </w:r>
    </w:p>
    <w:p>
      <w:pPr>
        <w:snapToGrid w:val="0"/>
        <w:spacing w:line="520" w:lineRule="exact"/>
        <w:ind w:firstLine="640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2021年来，我局认真贯彻落实中央和省、市的决策部署，在区委区政府的正确领导下，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坚持问题导向、统筹兼顾、源头治理，推动防范，化解了一大批信访突出问题，有力维护了群众合法权益和社会大局稳定，为全区大力实施</w:t>
      </w:r>
      <w:r>
        <w:rPr>
          <w:rFonts w:hint="eastAsia" w:ascii="仿宋_GB2312" w:eastAsia="仿宋_GB2312"/>
          <w:sz w:val="32"/>
          <w:szCs w:val="32"/>
          <w:lang w:bidi="ar"/>
        </w:rPr>
        <w:t>“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三高四新</w:t>
      </w:r>
      <w:r>
        <w:rPr>
          <w:rFonts w:hint="eastAsia" w:ascii="仿宋_GB2312" w:eastAsia="仿宋_GB2312"/>
          <w:sz w:val="32"/>
          <w:szCs w:val="32"/>
          <w:lang w:bidi="ar"/>
        </w:rPr>
        <w:t>”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战略、加快建设现代化新芦淞作出了积极贡献。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截至目前，我区信访总量为900批2791人次，其中进京访</w:t>
      </w:r>
      <w:r>
        <w:rPr>
          <w:rFonts w:ascii="仿宋_GB2312" w:eastAsia="仿宋_GB2312" w:cs="仿宋_GB2312"/>
          <w:color w:val="000000"/>
          <w:sz w:val="32"/>
          <w:szCs w:val="32"/>
          <w:lang w:bidi="ar"/>
        </w:rPr>
        <w:t>86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批</w:t>
      </w:r>
      <w:r>
        <w:rPr>
          <w:rFonts w:ascii="仿宋_GB2312" w:eastAsia="仿宋_GB2312" w:cs="仿宋_GB2312"/>
          <w:color w:val="000000"/>
          <w:sz w:val="32"/>
          <w:szCs w:val="32"/>
          <w:lang w:bidi="ar"/>
        </w:rPr>
        <w:t>87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人次，赴省访75批97人次，到市访239批998人次，来区访500批1609人次，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完成了省委第三巡视组交办信访事项211件以及治理重复信访、化解信访积案专项工作66件的工作任务。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总得来说，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全区信访形势总体平稳，无因信访问题引发大规模聚集上访、极端恶性事件和负面舆情炒作。全国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lang w:bidi="ar"/>
        </w:rPr>
        <w:t>两会特护期、庆祝建党</w:t>
      </w:r>
      <w:r>
        <w:rPr>
          <w:rFonts w:hint="eastAsia" w:ascii="仿宋_GB2312" w:eastAsia="仿宋_GB2312"/>
          <w:sz w:val="32"/>
          <w:szCs w:val="32"/>
          <w:lang w:bidi="ar"/>
        </w:rPr>
        <w:t>100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周年特护期、十九届六中全会特护期实现了进京</w:t>
      </w:r>
      <w:r>
        <w:rPr>
          <w:rFonts w:hint="eastAsia" w:ascii="仿宋_GB2312" w:eastAsia="仿宋_GB2312"/>
          <w:sz w:val="32"/>
          <w:szCs w:val="32"/>
          <w:lang w:bidi="ar"/>
        </w:rPr>
        <w:t>“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零集访、零非访、零滋事、零违纪、零通报</w:t>
      </w:r>
      <w:r>
        <w:rPr>
          <w:rFonts w:hint="eastAsia" w:ascii="仿宋_GB2312" w:eastAsia="仿宋_GB2312"/>
          <w:sz w:val="32"/>
          <w:szCs w:val="32"/>
          <w:lang w:bidi="ar"/>
        </w:rPr>
        <w:t>”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目标。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（二）专项资金支出绩效情况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信访维稳专项：1、两会特护期包含区、市、省、京等会议期间的信访维稳工作，预计产生费用30万；2、建党一百周年特护期，预计特护期一个月，将安排10-16名信访干部赴京参与维稳工作，预计产生费用30万元。3、驻京信访维稳全返小组派驻2人全年驻京及国庆特护期等其它重要活动会议期间信访维稳工作，预计产生费用30万元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信访救助：对需要救助的信访对象，按不高于5万的标准进行救助。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jg3NjVmZmU4MjJhYzIzZjM0NWY1OWYwNjhhMzgifQ=="/>
  </w:docVars>
  <w:rsids>
    <w:rsidRoot w:val="00AE4AF1"/>
    <w:rsid w:val="00004E70"/>
    <w:rsid w:val="00207FA3"/>
    <w:rsid w:val="00370B9F"/>
    <w:rsid w:val="0045561A"/>
    <w:rsid w:val="004738E8"/>
    <w:rsid w:val="004A4344"/>
    <w:rsid w:val="004D2DC7"/>
    <w:rsid w:val="005112F2"/>
    <w:rsid w:val="005A433C"/>
    <w:rsid w:val="00785175"/>
    <w:rsid w:val="008C62A7"/>
    <w:rsid w:val="00A56C8A"/>
    <w:rsid w:val="00AE4AF1"/>
    <w:rsid w:val="00BF695E"/>
    <w:rsid w:val="00CF6A10"/>
    <w:rsid w:val="00D5092F"/>
    <w:rsid w:val="00E55161"/>
    <w:rsid w:val="00EE768A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9DF03B1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981E18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3CD65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1844C6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227</Words>
  <Characters>1296</Characters>
  <Lines>10</Lines>
  <Paragraphs>3</Paragraphs>
  <TotalTime>18</TotalTime>
  <ScaleCrop>false</ScaleCrop>
  <LinksUpToDate>false</LinksUpToDate>
  <CharactersWithSpaces>1520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wps</cp:lastModifiedBy>
  <dcterms:modified xsi:type="dcterms:W3CDTF">2024-07-04T08:18:26Z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46B1E17AE7754E13BA78DBD53DD7830E</vt:lpwstr>
  </property>
</Properties>
</file>