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pPr>
      <w:r>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t>茶陵县人民政府办公室</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lang w:eastAsia="zh-CN"/>
        </w:rPr>
      </w:pPr>
      <w:r>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t>关于印发《茶陵县</w:t>
      </w:r>
      <w:r>
        <w:rPr>
          <w:rFonts w:hint="default" w:ascii="Times New Roman" w:hAnsi="Times New Roman" w:eastAsia="方正小标宋简体" w:cs="Times New Roman"/>
          <w:b w:val="0"/>
          <w:bCs w:val="0"/>
          <w:snapToGrid w:val="0"/>
          <w:color w:val="000000"/>
          <w:spacing w:val="0"/>
          <w:kern w:val="0"/>
          <w:sz w:val="44"/>
          <w:szCs w:val="44"/>
          <w:highlight w:val="none"/>
          <w:lang w:eastAsia="zh-CN"/>
        </w:rPr>
        <w:t>现代物流业发展三年行动</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baseline"/>
        <w:rPr>
          <w:rFonts w:hint="default" w:ascii="Times New Roman" w:hAnsi="Times New Roman" w:eastAsia="方正小标宋简体" w:cs="Times New Roman"/>
          <w:b w:val="0"/>
          <w:bCs w:val="0"/>
          <w:snapToGrid w:val="0"/>
          <w:color w:val="000000"/>
          <w:spacing w:val="0"/>
          <w:kern w:val="0"/>
          <w:sz w:val="44"/>
          <w:szCs w:val="44"/>
          <w:highlight w:val="none"/>
        </w:rPr>
      </w:pPr>
      <w:r>
        <w:rPr>
          <w:rFonts w:hint="default" w:ascii="Times New Roman" w:hAnsi="Times New Roman" w:eastAsia="方正小标宋简体" w:cs="Times New Roman"/>
          <w:b w:val="0"/>
          <w:bCs w:val="0"/>
          <w:snapToGrid w:val="0"/>
          <w:color w:val="000000"/>
          <w:spacing w:val="0"/>
          <w:kern w:val="0"/>
          <w:sz w:val="44"/>
          <w:szCs w:val="44"/>
          <w:highlight w:val="none"/>
          <w:lang w:eastAsia="zh-CN"/>
        </w:rPr>
        <w:t>方案（</w:t>
      </w:r>
      <w:r>
        <w:rPr>
          <w:rFonts w:hint="default" w:ascii="Times New Roman" w:hAnsi="Times New Roman" w:eastAsia="方正小标宋简体" w:cs="Times New Roman"/>
          <w:b w:val="0"/>
          <w:bCs w:val="0"/>
          <w:snapToGrid w:val="0"/>
          <w:color w:val="000000"/>
          <w:spacing w:val="0"/>
          <w:kern w:val="0"/>
          <w:sz w:val="44"/>
          <w:szCs w:val="44"/>
          <w:highlight w:val="none"/>
          <w:lang w:val="en-US" w:eastAsia="zh-CN"/>
        </w:rPr>
        <w:t>2024-2026年</w:t>
      </w:r>
      <w:r>
        <w:rPr>
          <w:rFonts w:hint="default" w:ascii="Times New Roman" w:hAnsi="Times New Roman" w:eastAsia="方正小标宋简体" w:cs="Times New Roman"/>
          <w:b w:val="0"/>
          <w:bCs w:val="0"/>
          <w:snapToGrid w:val="0"/>
          <w:color w:val="000000"/>
          <w:spacing w:val="0"/>
          <w:kern w:val="0"/>
          <w:sz w:val="44"/>
          <w:szCs w:val="44"/>
          <w:highlight w:val="none"/>
          <w:lang w:eastAsia="zh-CN"/>
        </w:rPr>
        <w:t>）</w:t>
      </w:r>
      <w:r>
        <w:rPr>
          <w:rFonts w:hint="default" w:ascii="Times New Roman" w:hAnsi="Times New Roman" w:eastAsia="方正小标宋简体" w:cs="Times New Roman"/>
          <w:b w:val="0"/>
          <w:bCs w:val="0"/>
          <w:snapToGrid w:val="0"/>
          <w:color w:val="000000"/>
          <w:spacing w:val="0"/>
          <w:kern w:val="0"/>
          <w:sz w:val="44"/>
          <w:szCs w:val="44"/>
          <w:highlight w:val="none"/>
        </w:rPr>
        <w:t>》的</w:t>
      </w:r>
      <w:r>
        <w:rPr>
          <w:rFonts w:hint="default" w:ascii="Times New Roman" w:hAnsi="Times New Roman" w:eastAsia="方正小标宋简体" w:cs="Times New Roman"/>
          <w:b w:val="0"/>
          <w:bCs w:val="0"/>
          <w:snapToGrid w:val="0"/>
          <w:color w:val="000000"/>
          <w:spacing w:val="0"/>
          <w:kern w:val="0"/>
          <w:sz w:val="44"/>
          <w:szCs w:val="44"/>
          <w:highlight w:val="none"/>
          <w:lang w:eastAsia="zh-CN"/>
        </w:rPr>
        <w:t>通知</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1" w:firstLineChars="0"/>
        <w:jc w:val="both"/>
        <w:rPr>
          <w:rFonts w:hint="default" w:ascii="Times New Roman" w:hAnsi="Times New Roman" w:eastAsia="仿宋" w:cs="Times New Roman"/>
          <w:b w:val="0"/>
          <w:bCs w:val="0"/>
          <w:spacing w:val="0"/>
          <w:kern w:val="0"/>
          <w:sz w:val="32"/>
          <w:szCs w:val="32"/>
          <w:highlight w:val="none"/>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jc w:val="both"/>
        <w:rPr>
          <w:rFonts w:hint="default" w:ascii="Times New Roman" w:hAnsi="Times New Roman" w:eastAsia="仿宋_GB2312" w:cs="Times New Roman"/>
          <w:b w:val="0"/>
          <w:bCs w:val="0"/>
          <w:spacing w:val="0"/>
          <w:kern w:val="0"/>
          <w:sz w:val="32"/>
          <w:szCs w:val="32"/>
          <w:highlight w:val="none"/>
        </w:rPr>
      </w:pPr>
      <w:r>
        <w:rPr>
          <w:rFonts w:hint="default" w:ascii="Times New Roman" w:hAnsi="Times New Roman" w:eastAsia="仿宋_GB2312" w:cs="Times New Roman"/>
          <w:b w:val="0"/>
          <w:bCs w:val="0"/>
          <w:spacing w:val="0"/>
          <w:kern w:val="0"/>
          <w:sz w:val="32"/>
          <w:szCs w:val="32"/>
          <w:highlight w:val="none"/>
          <w:lang w:eastAsia="zh-CN"/>
        </w:rPr>
        <w:t>各</w:t>
      </w:r>
      <w:r>
        <w:rPr>
          <w:rFonts w:hint="default" w:ascii="Times New Roman" w:hAnsi="Times New Roman" w:eastAsia="仿宋_GB2312" w:cs="Times New Roman"/>
          <w:b w:val="0"/>
          <w:bCs w:val="0"/>
          <w:spacing w:val="0"/>
          <w:kern w:val="0"/>
          <w:sz w:val="32"/>
          <w:szCs w:val="32"/>
          <w:highlight w:val="none"/>
          <w:lang w:eastAsia="zh-CN"/>
        </w:rPr>
        <w:t>县直相关单位，省市驻茶机构</w:t>
      </w:r>
      <w:r>
        <w:rPr>
          <w:rFonts w:hint="default" w:ascii="Times New Roman" w:hAnsi="Times New Roman" w:eastAsia="仿宋_GB2312" w:cs="Times New Roman"/>
          <w:b w:val="0"/>
          <w:bCs w:val="0"/>
          <w:spacing w:val="0"/>
          <w:kern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baseline"/>
        <w:outlineLvl w:val="9"/>
        <w:rPr>
          <w:rFonts w:hint="default" w:ascii="Times New Roman" w:hAnsi="Times New Roman" w:eastAsia="仿宋_GB2312" w:cs="Times New Roman"/>
          <w:b w:val="0"/>
          <w:bCs w:val="0"/>
          <w:snapToGrid w:val="0"/>
          <w:color w:val="000000" w:themeColor="text1"/>
          <w:spacing w:val="0"/>
          <w:kern w:val="0"/>
          <w:position w:val="0"/>
          <w:sz w:val="32"/>
          <w:szCs w:val="32"/>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0"/>
          <w:kern w:val="0"/>
          <w:position w:val="0"/>
          <w:sz w:val="32"/>
          <w:szCs w:val="32"/>
          <w14:textFill>
            <w14:solidFill>
              <w14:schemeClr w14:val="tx1"/>
            </w14:solidFill>
          </w14:textFill>
        </w:rPr>
        <w:t>现将《</w:t>
      </w:r>
      <w:r>
        <w:rPr>
          <w:rFonts w:hint="default" w:ascii="Times New Roman" w:hAnsi="Times New Roman" w:eastAsia="仿宋_GB2312" w:cs="Times New Roman"/>
          <w:b w:val="0"/>
          <w:bCs w:val="0"/>
          <w:snapToGrid w:val="0"/>
          <w:color w:val="000000" w:themeColor="text1"/>
          <w:spacing w:val="0"/>
          <w:kern w:val="0"/>
          <w:sz w:val="32"/>
          <w:szCs w:val="32"/>
          <w14:textFill>
            <w14:solidFill>
              <w14:schemeClr w14:val="tx1"/>
            </w14:solidFill>
          </w14:textFill>
        </w:rPr>
        <w:t>茶陵县</w:t>
      </w:r>
      <w:r>
        <w:rPr>
          <w:rFonts w:hint="default" w:ascii="Times New Roman" w:hAnsi="Times New Roman" w:eastAsia="仿宋_GB2312" w:cs="Times New Roman"/>
          <w:b w:val="0"/>
          <w:bCs w:val="0"/>
          <w:snapToGrid w:val="0"/>
          <w:color w:val="000000" w:themeColor="text1"/>
          <w:spacing w:val="0"/>
          <w:kern w:val="0"/>
          <w:sz w:val="32"/>
          <w:szCs w:val="32"/>
          <w:lang w:eastAsia="zh-CN"/>
          <w14:textFill>
            <w14:solidFill>
              <w14:schemeClr w14:val="tx1"/>
            </w14:solidFill>
          </w14:textFill>
        </w:rPr>
        <w:t>现代物流业发展三年行动方案（</w:t>
      </w:r>
      <w:r>
        <w:rPr>
          <w:rFonts w:hint="default" w:ascii="Times New Roman" w:hAnsi="Times New Roman" w:eastAsia="仿宋_GB2312" w:cs="Times New Roman"/>
          <w:b w:val="0"/>
          <w:bCs w:val="0"/>
          <w:snapToGrid w:val="0"/>
          <w:color w:val="000000" w:themeColor="text1"/>
          <w:spacing w:val="0"/>
          <w:kern w:val="0"/>
          <w:sz w:val="32"/>
          <w:szCs w:val="32"/>
          <w:lang w:val="en-US" w:eastAsia="zh-CN"/>
          <w14:textFill>
            <w14:solidFill>
              <w14:schemeClr w14:val="tx1"/>
            </w14:solidFill>
          </w14:textFill>
        </w:rPr>
        <w:t>2024-2026年</w:t>
      </w:r>
      <w:r>
        <w:rPr>
          <w:rFonts w:hint="default" w:ascii="Times New Roman" w:hAnsi="Times New Roman" w:eastAsia="仿宋_GB2312" w:cs="Times New Roman"/>
          <w:b w:val="0"/>
          <w:bCs w:val="0"/>
          <w:snapToGrid w:val="0"/>
          <w:color w:val="000000" w:themeColor="text1"/>
          <w:spacing w:val="0"/>
          <w:kern w:val="0"/>
          <w:sz w:val="32"/>
          <w:szCs w:val="32"/>
          <w:lang w:eastAsia="zh-CN"/>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position w:val="0"/>
          <w:sz w:val="32"/>
          <w:szCs w:val="32"/>
          <w14:textFill>
            <w14:solidFill>
              <w14:schemeClr w14:val="tx1"/>
            </w14:solidFill>
          </w14:textFill>
        </w:rPr>
        <w:t>》印发给你们，请认真贯彻执行。</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1" w:firstLineChars="0"/>
        <w:jc w:val="both"/>
        <w:rPr>
          <w:rFonts w:hint="default" w:ascii="Times New Roman" w:hAnsi="Times New Roman" w:eastAsia="仿宋_GB2312" w:cs="Times New Roman"/>
          <w:b w:val="0"/>
          <w:bCs w:val="0"/>
          <w:snapToGrid/>
          <w:spacing w:val="0"/>
          <w:kern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1" w:firstLineChars="0"/>
        <w:jc w:val="both"/>
        <w:rPr>
          <w:rFonts w:hint="default" w:ascii="Times New Roman" w:hAnsi="Times New Roman" w:eastAsia="仿宋_GB2312" w:cs="Times New Roman"/>
          <w:b w:val="0"/>
          <w:bCs w:val="0"/>
          <w:spacing w:val="0"/>
          <w:kern w:val="0"/>
          <w:sz w:val="32"/>
          <w:szCs w:val="32"/>
          <w:highlight w:val="none"/>
        </w:rPr>
      </w:pP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4816" w:firstLineChars="1505"/>
        <w:jc w:val="both"/>
        <w:rPr>
          <w:rFonts w:hint="default" w:ascii="Times New Roman" w:hAnsi="Times New Roman" w:eastAsia="仿宋_GB2312" w:cs="Times New Roman"/>
          <w:b w:val="0"/>
          <w:bCs w:val="0"/>
          <w:snapToGrid/>
          <w:spacing w:val="0"/>
          <w:kern w:val="0"/>
          <w:sz w:val="32"/>
          <w:szCs w:val="32"/>
          <w:highlight w:val="none"/>
          <w:lang w:val="en-US" w:eastAsia="zh-CN" w:bidi="ar-SA"/>
        </w:rPr>
      </w:pPr>
      <w:r>
        <w:rPr>
          <w:rFonts w:hint="default" w:ascii="Times New Roman" w:hAnsi="Times New Roman" w:eastAsia="仿宋_GB2312" w:cs="Times New Roman"/>
          <w:b w:val="0"/>
          <w:bCs w:val="0"/>
          <w:snapToGrid/>
          <w:spacing w:val="0"/>
          <w:kern w:val="0"/>
          <w:sz w:val="32"/>
          <w:szCs w:val="32"/>
          <w:highlight w:val="none"/>
          <w:lang w:val="en-US" w:eastAsia="zh-CN" w:bidi="ar-SA"/>
        </w:rPr>
        <w:t>茶陵县人民政府办公室</w:t>
      </w:r>
      <w:r>
        <w:rPr>
          <w:rFonts w:hint="default" w:ascii="Times New Roman" w:hAnsi="Times New Roman" w:eastAsia="仿宋_GB2312" w:cs="Times New Roman"/>
          <w:b w:val="0"/>
          <w:bCs w:val="0"/>
          <w:snapToGrid/>
          <w:spacing w:val="0"/>
          <w:kern w:val="0"/>
          <w:sz w:val="32"/>
          <w:szCs w:val="32"/>
          <w:highlight w:val="none"/>
          <w:lang w:val="en-US" w:eastAsia="zh-CN" w:bidi="ar-SA"/>
        </w:rPr>
        <w:t xml:space="preserve">  </w:t>
      </w: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641" w:firstLineChars="0"/>
        <w:jc w:val="both"/>
        <w:rPr>
          <w:rFonts w:hint="default" w:ascii="Times New Roman" w:hAnsi="Times New Roman" w:eastAsia="仿宋_GB2312" w:cs="Times New Roman"/>
          <w:b w:val="0"/>
          <w:bCs w:val="0"/>
          <w:snapToGrid/>
          <w:spacing w:val="0"/>
          <w:kern w:val="0"/>
          <w:sz w:val="32"/>
          <w:szCs w:val="32"/>
          <w:highlight w:val="none"/>
          <w:lang w:val="en-US" w:eastAsia="zh-CN" w:bidi="ar-SA"/>
        </w:rPr>
      </w:pPr>
      <w:r>
        <w:rPr>
          <w:rFonts w:hint="default" w:ascii="Times New Roman" w:hAnsi="Times New Roman" w:eastAsia="仿宋_GB2312" w:cs="Times New Roman"/>
          <w:b w:val="0"/>
          <w:bCs w:val="0"/>
          <w:snapToGrid/>
          <w:spacing w:val="0"/>
          <w:kern w:val="0"/>
          <w:sz w:val="32"/>
          <w:szCs w:val="32"/>
          <w:highlight w:val="none"/>
          <w:lang w:val="en-US" w:eastAsia="zh-CN" w:bidi="ar-SA"/>
        </w:rPr>
        <w:t xml:space="preserve">                                                          </w:t>
      </w:r>
      <w:r>
        <w:rPr>
          <w:rFonts w:hint="default" w:ascii="Times New Roman" w:hAnsi="Times New Roman" w:eastAsia="仿宋_GB2312" w:cs="Times New Roman"/>
          <w:b w:val="0"/>
          <w:bCs w:val="0"/>
          <w:snapToGrid/>
          <w:spacing w:val="0"/>
          <w:kern w:val="0"/>
          <w:sz w:val="32"/>
          <w:szCs w:val="32"/>
          <w:highlight w:val="none"/>
          <w:lang w:val="en-US" w:eastAsia="zh-CN" w:bidi="ar-SA"/>
        </w:rPr>
        <w:t>2024年</w:t>
      </w:r>
      <w:r>
        <w:rPr>
          <w:rFonts w:hint="default" w:ascii="Times New Roman" w:hAnsi="Times New Roman" w:eastAsia="仿宋_GB2312" w:cs="Times New Roman"/>
          <w:b w:val="0"/>
          <w:bCs w:val="0"/>
          <w:snapToGrid/>
          <w:spacing w:val="0"/>
          <w:kern w:val="0"/>
          <w:sz w:val="32"/>
          <w:szCs w:val="32"/>
          <w:highlight w:val="none"/>
          <w:lang w:val="en-US" w:eastAsia="zh-CN" w:bidi="ar-SA"/>
        </w:rPr>
        <w:t>7</w:t>
      </w:r>
      <w:r>
        <w:rPr>
          <w:rFonts w:hint="default" w:ascii="Times New Roman" w:hAnsi="Times New Roman" w:eastAsia="仿宋_GB2312" w:cs="Times New Roman"/>
          <w:b w:val="0"/>
          <w:bCs w:val="0"/>
          <w:snapToGrid/>
          <w:spacing w:val="0"/>
          <w:kern w:val="0"/>
          <w:sz w:val="32"/>
          <w:szCs w:val="32"/>
          <w:highlight w:val="none"/>
          <w:lang w:val="en-US" w:eastAsia="zh-CN" w:bidi="ar-SA"/>
        </w:rPr>
        <w:t>月</w:t>
      </w:r>
      <w:r>
        <w:rPr>
          <w:rFonts w:hint="default" w:ascii="Times New Roman" w:hAnsi="Times New Roman" w:eastAsia="仿宋_GB2312" w:cs="Times New Roman"/>
          <w:b w:val="0"/>
          <w:bCs w:val="0"/>
          <w:snapToGrid/>
          <w:spacing w:val="0"/>
          <w:kern w:val="0"/>
          <w:sz w:val="32"/>
          <w:szCs w:val="32"/>
          <w:highlight w:val="none"/>
          <w:lang w:val="en-US" w:eastAsia="zh-CN" w:bidi="ar-SA"/>
        </w:rPr>
        <w:t xml:space="preserve">    </w:t>
      </w:r>
      <w:r>
        <w:rPr>
          <w:rFonts w:hint="default" w:ascii="Times New Roman" w:hAnsi="Times New Roman" w:eastAsia="仿宋_GB2312" w:cs="Times New Roman"/>
          <w:b w:val="0"/>
          <w:bCs w:val="0"/>
          <w:snapToGrid/>
          <w:spacing w:val="0"/>
          <w:kern w:val="0"/>
          <w:sz w:val="32"/>
          <w:szCs w:val="32"/>
          <w:highlight w:val="none"/>
          <w:lang w:val="en-US" w:eastAsia="zh-CN" w:bidi="ar-SA"/>
        </w:rPr>
        <w:t xml:space="preserve">日 </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方正小标宋简体" w:cs="Times New Roman"/>
          <w:b w:val="0"/>
          <w:bCs w:val="0"/>
          <w:spacing w:val="0"/>
          <w:kern w:val="0"/>
          <w:sz w:val="14"/>
        </w:rPr>
      </w:pP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641" w:firstLineChars="0"/>
        <w:jc w:val="both"/>
        <w:rPr>
          <w:rFonts w:hint="default" w:ascii="Times New Roman" w:hAnsi="Times New Roman" w:eastAsia="方正小标宋简体" w:cs="Times New Roman"/>
          <w:b w:val="0"/>
          <w:bCs w:val="0"/>
          <w:spacing w:val="0"/>
          <w:kern w:val="0"/>
          <w:sz w:val="14"/>
        </w:rPr>
      </w:pP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641" w:firstLineChars="0"/>
        <w:jc w:val="both"/>
        <w:rPr>
          <w:rFonts w:hint="default" w:ascii="Times New Roman" w:hAnsi="Times New Roman" w:eastAsia="方正小标宋简体" w:cs="Times New Roman"/>
          <w:b w:val="0"/>
          <w:bCs w:val="0"/>
          <w:spacing w:val="0"/>
          <w:kern w:val="0"/>
          <w:sz w:val="14"/>
        </w:rPr>
      </w:pP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641" w:firstLineChars="0"/>
        <w:jc w:val="both"/>
        <w:rPr>
          <w:rFonts w:hint="default" w:ascii="Times New Roman" w:hAnsi="Times New Roman" w:eastAsia="方正小标宋简体" w:cs="Times New Roman"/>
          <w:b w:val="0"/>
          <w:bCs w:val="0"/>
          <w:spacing w:val="0"/>
          <w:kern w:val="0"/>
          <w:sz w:val="14"/>
        </w:rPr>
      </w:pPr>
    </w:p>
    <w:p>
      <w:pPr>
        <w:pStyle w:val="8"/>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right="0" w:rightChars="0" w:firstLine="641" w:firstLineChars="0"/>
        <w:jc w:val="both"/>
        <w:rPr>
          <w:rFonts w:hint="default" w:ascii="Times New Roman" w:hAnsi="Times New Roman" w:eastAsia="方正小标宋简体" w:cs="Times New Roman"/>
          <w:b w:val="0"/>
          <w:bCs w:val="0"/>
          <w:spacing w:val="0"/>
          <w:kern w:val="0"/>
          <w:sz w:val="14"/>
        </w:rPr>
      </w:pPr>
    </w:p>
    <w:p>
      <w:pPr>
        <w:keepNext w:val="0"/>
        <w:keepLines w:val="0"/>
        <w:pageBreakBefore w:val="0"/>
        <w:widowControl w:val="0"/>
        <w:kinsoku/>
        <w:wordWrap/>
        <w:topLinePunct w:val="0"/>
        <w:autoSpaceDE/>
        <w:autoSpaceDN/>
        <w:bidi w:val="0"/>
        <w:spacing w:line="600" w:lineRule="exact"/>
        <w:rPr>
          <w:rFonts w:hint="default" w:ascii="Times New Roman" w:hAnsi="Times New Roman" w:eastAsia="方正小标宋简体" w:cs="Times New Roman"/>
          <w:b w:val="0"/>
          <w:bCs w:val="0"/>
          <w:spacing w:val="0"/>
          <w:kern w:val="0"/>
          <w:lang w:eastAsia="zh-CN"/>
        </w:rPr>
      </w:pPr>
      <w:r>
        <w:rPr>
          <w:rFonts w:hint="default" w:ascii="Times New Roman" w:hAnsi="Times New Roman" w:eastAsia="方正小标宋简体" w:cs="Times New Roman"/>
          <w:b w:val="0"/>
          <w:bCs w:val="0"/>
          <w:spacing w:val="0"/>
          <w:kern w:val="0"/>
          <w:lang w:eastAsia="zh-CN"/>
        </w:rPr>
        <w:br w:type="page"/>
      </w:r>
    </w:p>
    <w:p>
      <w:pPr>
        <w:pStyle w:val="4"/>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0"/>
        </w:rPr>
      </w:pPr>
      <w:r>
        <w:rPr>
          <w:rFonts w:hint="default" w:ascii="Times New Roman" w:hAnsi="Times New Roman" w:eastAsia="方正小标宋简体" w:cs="Times New Roman"/>
          <w:b w:val="0"/>
          <w:bCs w:val="0"/>
          <w:spacing w:val="0"/>
          <w:kern w:val="0"/>
          <w:lang w:eastAsia="zh-CN"/>
        </w:rPr>
        <w:t>茶陵县</w:t>
      </w:r>
      <w:r>
        <w:rPr>
          <w:rFonts w:hint="default" w:ascii="Times New Roman" w:hAnsi="Times New Roman" w:eastAsia="方正小标宋简体" w:cs="Times New Roman"/>
          <w:b w:val="0"/>
          <w:bCs w:val="0"/>
          <w:spacing w:val="0"/>
          <w:kern w:val="0"/>
        </w:rPr>
        <w:t>现代物流业发展三年行动方案</w:t>
      </w:r>
    </w:p>
    <w:p>
      <w:pPr>
        <w:pStyle w:val="4"/>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0"/>
        </w:rPr>
      </w:pPr>
      <w:r>
        <w:rPr>
          <w:rFonts w:hint="default" w:ascii="Times New Roman" w:hAnsi="Times New Roman" w:eastAsia="方正小标宋简体" w:cs="Times New Roman"/>
          <w:b w:val="0"/>
          <w:bCs w:val="0"/>
          <w:spacing w:val="0"/>
          <w:kern w:val="0"/>
          <w:lang w:eastAsia="zh-CN"/>
        </w:rPr>
        <w:t>（</w:t>
      </w:r>
      <w:r>
        <w:rPr>
          <w:rFonts w:hint="default" w:ascii="Times New Roman" w:hAnsi="Times New Roman" w:eastAsia="方正小标宋简体" w:cs="Times New Roman"/>
          <w:b w:val="0"/>
          <w:bCs w:val="0"/>
          <w:spacing w:val="0"/>
          <w:kern w:val="0"/>
        </w:rPr>
        <w:t>2024–2026年</w:t>
      </w:r>
      <w:r>
        <w:rPr>
          <w:rFonts w:hint="default" w:ascii="Times New Roman" w:hAnsi="Times New Roman" w:eastAsia="方正小标宋简体" w:cs="Times New Roman"/>
          <w:b w:val="0"/>
          <w:bCs w:val="0"/>
          <w:spacing w:val="0"/>
          <w:kern w:val="0"/>
          <w:lang w:eastAsia="zh-CN"/>
        </w:rPr>
        <w:t>）</w:t>
      </w:r>
    </w:p>
    <w:p>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jc w:val="both"/>
        <w:textAlignment w:val="auto"/>
        <w:rPr>
          <w:rFonts w:hint="default" w:ascii="Times New Roman" w:hAnsi="Times New Roman" w:eastAsia="仿宋_GB2312" w:cs="Times New Roman"/>
          <w:b w:val="0"/>
          <w:bCs w:val="0"/>
          <w:i w:val="0"/>
          <w:strike w:val="0"/>
          <w:color w:val="000000"/>
          <w:spacing w:val="0"/>
          <w:kern w:val="0"/>
          <w:sz w:val="32"/>
          <w:szCs w:val="32"/>
        </w:rPr>
      </w:pP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rPr>
        <w:t>为切实降低物流成本，提高物流运行效率，增强物流企业活力，加快推动物流业高质量发展，制定本行动方案。</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黑体" w:cs="Times New Roman"/>
          <w:b w:val="0"/>
          <w:bCs w:val="0"/>
          <w:i w:val="0"/>
          <w:strike w:val="0"/>
          <w:color w:val="000000"/>
          <w:spacing w:val="0"/>
          <w:kern w:val="0"/>
          <w:sz w:val="32"/>
          <w:szCs w:val="32"/>
        </w:rPr>
      </w:pPr>
      <w:r>
        <w:rPr>
          <w:rFonts w:hint="default" w:ascii="Times New Roman" w:hAnsi="Times New Roman" w:eastAsia="黑体" w:cs="Times New Roman"/>
          <w:b w:val="0"/>
          <w:bCs w:val="0"/>
          <w:i w:val="0"/>
          <w:strike w:val="0"/>
          <w:color w:val="000000"/>
          <w:spacing w:val="0"/>
          <w:kern w:val="0"/>
          <w:sz w:val="32"/>
          <w:szCs w:val="32"/>
        </w:rPr>
        <w:t>一、总体思路</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rPr>
        <w:t>坚持以习近平新时代中国特色社会主义思想为指导，加快落实实现“三高四新”美好蓝图总要求，</w:t>
      </w:r>
      <w:r>
        <w:rPr>
          <w:rFonts w:hint="default" w:ascii="Times New Roman" w:hAnsi="Times New Roman" w:eastAsia="仿宋_GB2312" w:cs="Times New Roman"/>
          <w:b w:val="0"/>
          <w:bCs w:val="0"/>
          <w:i w:val="0"/>
          <w:strike w:val="0"/>
          <w:color w:val="000000"/>
          <w:spacing w:val="0"/>
          <w:kern w:val="0"/>
          <w:sz w:val="32"/>
          <w:szCs w:val="32"/>
          <w:lang w:eastAsia="zh-CN"/>
        </w:rPr>
        <w:t>紧紧围绕“湘赣边界中心县”战略定位</w:t>
      </w:r>
      <w:r>
        <w:rPr>
          <w:rFonts w:hint="default" w:ascii="Times New Roman" w:hAnsi="Times New Roman" w:eastAsia="仿宋_GB2312" w:cs="Times New Roman"/>
          <w:b w:val="0"/>
          <w:bCs w:val="0"/>
          <w:i w:val="0"/>
          <w:strike w:val="0"/>
          <w:color w:val="000000"/>
          <w:spacing w:val="0"/>
          <w:kern w:val="0"/>
          <w:sz w:val="32"/>
          <w:szCs w:val="32"/>
        </w:rPr>
        <w:t>，坚持新发展理念，坚持聚焦、裂变、创新、升级、品牌工作思路，坚持市场化、信息化、标准化、智能化、绿色化，聚焦影响物流业健康发展的突出矛盾和瓶颈制约，以创新发展为动力、降本增效为重点，打通物流通道“大动脉”、畅通物流“微循环”，补齐物流基础设施短板，调整优化物流运输结构，大力推进物流绿色低碳化，培优育强物流产业，加快构建“通道﹢枢纽﹢网络﹢平台”的现代物流运行体系，推动现代物流业实现高质量发展。</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黑体" w:cs="Times New Roman"/>
          <w:b w:val="0"/>
          <w:bCs w:val="0"/>
          <w:i w:val="0"/>
          <w:strike w:val="0"/>
          <w:color w:val="000000"/>
          <w:spacing w:val="0"/>
          <w:kern w:val="0"/>
          <w:sz w:val="32"/>
          <w:szCs w:val="32"/>
        </w:rPr>
      </w:pPr>
      <w:r>
        <w:rPr>
          <w:rFonts w:hint="default" w:ascii="Times New Roman" w:hAnsi="Times New Roman" w:eastAsia="黑体" w:cs="Times New Roman"/>
          <w:b w:val="0"/>
          <w:bCs w:val="0"/>
          <w:i w:val="0"/>
          <w:strike w:val="0"/>
          <w:color w:val="000000"/>
          <w:spacing w:val="0"/>
          <w:kern w:val="0"/>
          <w:sz w:val="32"/>
          <w:szCs w:val="32"/>
        </w:rPr>
        <w:t>二、主要目标</w:t>
      </w:r>
    </w:p>
    <w:p>
      <w:pPr>
        <w:keepNext w:val="0"/>
        <w:keepLines w:val="0"/>
        <w:pageBreakBefore w:val="0"/>
        <w:widowControl w:val="0"/>
        <w:tabs>
          <w:tab w:val="left" w:pos="8820"/>
          <w:tab w:val="left" w:pos="904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lang w:eastAsia="zh-CN"/>
        </w:rPr>
      </w:pPr>
      <w:r>
        <w:rPr>
          <w:rFonts w:hint="default" w:ascii="Times New Roman" w:hAnsi="Times New Roman" w:eastAsia="仿宋_GB2312" w:cs="Times New Roman"/>
          <w:b w:val="0"/>
          <w:bCs w:val="0"/>
          <w:i w:val="0"/>
          <w:strike w:val="0"/>
          <w:color w:val="000000"/>
          <w:spacing w:val="0"/>
          <w:kern w:val="0"/>
          <w:sz w:val="32"/>
          <w:szCs w:val="32"/>
        </w:rPr>
        <w:t>力争到2026年，全</w:t>
      </w:r>
      <w:r>
        <w:rPr>
          <w:rFonts w:hint="default" w:ascii="Times New Roman" w:hAnsi="Times New Roman" w:eastAsia="仿宋_GB2312" w:cs="Times New Roman"/>
          <w:b w:val="0"/>
          <w:bCs w:val="0"/>
          <w:i w:val="0"/>
          <w:strike w:val="0"/>
          <w:color w:val="000000"/>
          <w:spacing w:val="0"/>
          <w:kern w:val="0"/>
          <w:sz w:val="32"/>
          <w:szCs w:val="32"/>
          <w:lang w:eastAsia="zh-CN"/>
        </w:rPr>
        <w:t>县</w:t>
      </w:r>
      <w:r>
        <w:rPr>
          <w:rFonts w:hint="default" w:ascii="Times New Roman" w:hAnsi="Times New Roman" w:eastAsia="仿宋_GB2312" w:cs="Times New Roman"/>
          <w:b w:val="0"/>
          <w:bCs w:val="0"/>
          <w:i w:val="0"/>
          <w:strike w:val="0"/>
          <w:color w:val="000000"/>
          <w:spacing w:val="0"/>
          <w:kern w:val="0"/>
          <w:sz w:val="32"/>
          <w:szCs w:val="32"/>
        </w:rPr>
        <w:t>物流基础设施衔接更加顺畅，物流通道更加畅通；重要物流网络节点服务功能更加完备，城乡配送体系更加健全；物流业态、模式创新取得突破，市场化、信息化、标准化、智能化、绿色化水平显著提升；物流业发展环境进一步培优，物流市场主体不断壮大，培育一批具有区域竞争力的骨干物流企业；加快构建多式联运物流通道，加强物流服务与移动互联网深度融合、与关联产业密切联动，将茶陵县打造成为辐射湘赣边地区的</w:t>
      </w:r>
      <w:r>
        <w:rPr>
          <w:rFonts w:hint="default" w:ascii="Times New Roman" w:hAnsi="Times New Roman" w:eastAsia="仿宋_GB2312" w:cs="Times New Roman"/>
          <w:b w:val="0"/>
          <w:bCs w:val="0"/>
          <w:i w:val="0"/>
          <w:strike w:val="0"/>
          <w:color w:val="000000"/>
          <w:spacing w:val="0"/>
          <w:kern w:val="0"/>
          <w:sz w:val="32"/>
          <w:szCs w:val="32"/>
          <w:lang w:eastAsia="zh-CN"/>
        </w:rPr>
        <w:t>区域性</w:t>
      </w:r>
      <w:r>
        <w:rPr>
          <w:rFonts w:hint="default" w:ascii="Times New Roman" w:hAnsi="Times New Roman" w:eastAsia="仿宋_GB2312" w:cs="Times New Roman"/>
          <w:b w:val="0"/>
          <w:bCs w:val="0"/>
          <w:i w:val="0"/>
          <w:strike w:val="0"/>
          <w:color w:val="000000"/>
          <w:spacing w:val="0"/>
          <w:kern w:val="0"/>
          <w:sz w:val="32"/>
          <w:szCs w:val="32"/>
        </w:rPr>
        <w:t>物流枢纽</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实现现代物流业快速发展，增强物流业的支撑产业地位，为将现代物流业打造成茶陵县发展的支柱产业奠定基础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黑体" w:cs="Times New Roman"/>
          <w:b w:val="0"/>
          <w:bCs w:val="0"/>
          <w:i w:val="0"/>
          <w:strike w:val="0"/>
          <w:color w:val="000000"/>
          <w:spacing w:val="0"/>
          <w:kern w:val="0"/>
          <w:sz w:val="32"/>
          <w:szCs w:val="32"/>
        </w:rPr>
      </w:pPr>
      <w:r>
        <w:rPr>
          <w:rFonts w:hint="default" w:ascii="Times New Roman" w:hAnsi="Times New Roman" w:eastAsia="黑体" w:cs="Times New Roman"/>
          <w:b w:val="0"/>
          <w:bCs w:val="0"/>
          <w:i w:val="0"/>
          <w:strike w:val="0"/>
          <w:color w:val="000000"/>
          <w:spacing w:val="0"/>
          <w:kern w:val="0"/>
          <w:sz w:val="32"/>
          <w:szCs w:val="32"/>
        </w:rPr>
        <w:t>三、重点行动</w:t>
      </w:r>
    </w:p>
    <w:p>
      <w:pPr>
        <w:keepNext w:val="0"/>
        <w:keepLines w:val="0"/>
        <w:pageBreakBefore w:val="0"/>
        <w:widowControl w:val="0"/>
        <w:tabs>
          <w:tab w:val="left" w:pos="8820"/>
          <w:tab w:val="left" w:pos="924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lang w:val="en-US" w:eastAsia="zh-CN"/>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一</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大通道提质行动。</w:t>
      </w:r>
      <w:r>
        <w:rPr>
          <w:rFonts w:hint="default" w:ascii="Times New Roman" w:hAnsi="Times New Roman" w:eastAsia="仿宋_GB2312" w:cs="Times New Roman"/>
          <w:b w:val="0"/>
          <w:bCs w:val="0"/>
          <w:i w:val="0"/>
          <w:strike w:val="0"/>
          <w:color w:val="000000"/>
          <w:spacing w:val="0"/>
          <w:kern w:val="0"/>
          <w:sz w:val="32"/>
          <w:szCs w:val="32"/>
        </w:rPr>
        <w:t>以“交通强</w:t>
      </w:r>
      <w:r>
        <w:rPr>
          <w:rFonts w:hint="default" w:ascii="Times New Roman" w:hAnsi="Times New Roman" w:eastAsia="仿宋_GB2312" w:cs="Times New Roman"/>
          <w:b w:val="0"/>
          <w:bCs w:val="0"/>
          <w:i w:val="0"/>
          <w:strike w:val="0"/>
          <w:color w:val="000000"/>
          <w:spacing w:val="0"/>
          <w:kern w:val="0"/>
          <w:sz w:val="32"/>
          <w:szCs w:val="32"/>
          <w:lang w:eastAsia="zh-CN"/>
        </w:rPr>
        <w:t>县</w:t>
      </w:r>
      <w:r>
        <w:rPr>
          <w:rFonts w:hint="default" w:ascii="Times New Roman" w:hAnsi="Times New Roman" w:eastAsia="仿宋_GB2312" w:cs="Times New Roman"/>
          <w:b w:val="0"/>
          <w:bCs w:val="0"/>
          <w:i w:val="0"/>
          <w:strike w:val="0"/>
          <w:color w:val="000000"/>
          <w:spacing w:val="0"/>
          <w:kern w:val="0"/>
          <w:sz w:val="32"/>
          <w:szCs w:val="32"/>
        </w:rPr>
        <w:t>”建设为抓手，进一步加强通道基础设施建设，持续完善综合交通运输体系，推动打通物流“大动脉”。</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1</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完善公路运输网络。</w:t>
      </w:r>
      <w:r>
        <w:rPr>
          <w:rFonts w:hint="default" w:ascii="Times New Roman" w:hAnsi="Times New Roman" w:eastAsia="仿宋_GB2312" w:cs="Times New Roman"/>
          <w:b w:val="0"/>
          <w:bCs w:val="0"/>
          <w:i w:val="0"/>
          <w:strike w:val="0"/>
          <w:color w:val="000000"/>
          <w:spacing w:val="0"/>
          <w:kern w:val="0"/>
          <w:sz w:val="32"/>
          <w:szCs w:val="32"/>
        </w:rPr>
        <w:t>按照构建环网、增加密度、提升等级、建设通道、拓展腹地的思路，加快建设茶常高速公路，形成“一纵一横”高速公路布局；规划好云洮公路旅游专线，助力全县旅游发展；升级改造</w:t>
      </w:r>
      <w:r>
        <w:rPr>
          <w:rFonts w:hint="default" w:ascii="Times New Roman" w:hAnsi="Times New Roman" w:eastAsia="仿宋_GB2312" w:cs="Times New Roman"/>
          <w:b w:val="0"/>
          <w:bCs w:val="0"/>
          <w:i w:val="0"/>
          <w:strike w:val="0"/>
          <w:color w:val="000000"/>
          <w:spacing w:val="0"/>
          <w:kern w:val="0"/>
          <w:sz w:val="32"/>
          <w:szCs w:val="32"/>
          <w:lang w:val="en-US" w:eastAsia="zh-CN"/>
        </w:rPr>
        <w:t>G322、S204、S347、S333、S558、S205</w:t>
      </w:r>
      <w:r>
        <w:rPr>
          <w:rFonts w:hint="default" w:ascii="Times New Roman" w:hAnsi="Times New Roman" w:eastAsia="仿宋_GB2312" w:cs="Times New Roman"/>
          <w:b w:val="0"/>
          <w:bCs w:val="0"/>
          <w:i w:val="0"/>
          <w:strike w:val="0"/>
          <w:color w:val="000000"/>
          <w:spacing w:val="0"/>
          <w:kern w:val="0"/>
          <w:sz w:val="32"/>
          <w:szCs w:val="32"/>
        </w:rPr>
        <w:t>；做好道路互联互通建设，实现每个行政村均有乡道或以上行政等级道路连接；开展道路提质改造，所有县乡道公路网最低技术等级达到四级标准，路面100%硬化为水泥砼或沥青砼；优化道路网络，建设纵横成网农村公路体系，实现100%行政村、80%自然村通水泥路，100%村组通公路，提高农村和行政边界地区交通通达深度。继续推进危桥改造、渡改桥、新建桥梁工程，强化公路日常养护、大中修建设和公路安保工程。</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责任单位：交通运输局、发展</w:t>
      </w:r>
      <w:r>
        <w:rPr>
          <w:rFonts w:hint="default" w:ascii="Times New Roman" w:hAnsi="Times New Roman" w:eastAsia="仿宋_GB2312" w:cs="Times New Roman"/>
          <w:b w:val="0"/>
          <w:bCs w:val="0"/>
          <w:i w:val="0"/>
          <w:strike w:val="0"/>
          <w:color w:val="000000"/>
          <w:spacing w:val="0"/>
          <w:kern w:val="0"/>
          <w:sz w:val="32"/>
          <w:szCs w:val="32"/>
          <w:lang w:eastAsia="zh-CN"/>
        </w:rPr>
        <w:t>和</w:t>
      </w:r>
      <w:r>
        <w:rPr>
          <w:rFonts w:hint="default" w:ascii="Times New Roman" w:hAnsi="Times New Roman" w:eastAsia="仿宋_GB2312" w:cs="Times New Roman"/>
          <w:b w:val="0"/>
          <w:bCs w:val="0"/>
          <w:i w:val="0"/>
          <w:strike w:val="0"/>
          <w:color w:val="000000"/>
          <w:spacing w:val="0"/>
          <w:kern w:val="0"/>
          <w:sz w:val="32"/>
          <w:szCs w:val="32"/>
        </w:rPr>
        <w:t>改革</w:t>
      </w:r>
      <w:r>
        <w:rPr>
          <w:rFonts w:hint="default" w:ascii="Times New Roman" w:hAnsi="Times New Roman" w:eastAsia="仿宋_GB2312" w:cs="Times New Roman"/>
          <w:b w:val="0"/>
          <w:bCs w:val="0"/>
          <w:i w:val="0"/>
          <w:strike w:val="0"/>
          <w:color w:val="000000"/>
          <w:spacing w:val="0"/>
          <w:kern w:val="0"/>
          <w:sz w:val="32"/>
          <w:szCs w:val="32"/>
          <w:lang w:eastAsia="zh-CN"/>
        </w:rPr>
        <w:t>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文旅广体局、农业农村局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2.完善铁路运输网络。</w:t>
      </w:r>
      <w:r>
        <w:rPr>
          <w:rFonts w:hint="default" w:ascii="Times New Roman" w:hAnsi="Times New Roman" w:eastAsia="仿宋_GB2312" w:cs="Times New Roman"/>
          <w:b w:val="0"/>
          <w:bCs w:val="0"/>
          <w:i w:val="0"/>
          <w:strike w:val="0"/>
          <w:color w:val="000000"/>
          <w:spacing w:val="0"/>
          <w:kern w:val="0"/>
          <w:sz w:val="32"/>
          <w:szCs w:val="32"/>
          <w:lang w:eastAsia="zh-CN"/>
        </w:rPr>
        <w:t>围绕建设茶陵客货兼备的区域性铁路枢纽，积极推进畅通南北、拓展东西的大运力铁路通道建设，全面推动“过境铁路”向“枢纽铁路”的跨越发展，重点争取茶陵火车</w:t>
      </w:r>
      <w:r>
        <w:rPr>
          <w:rFonts w:hint="default" w:ascii="Times New Roman" w:hAnsi="Times New Roman" w:eastAsia="仿宋_GB2312" w:cs="Times New Roman"/>
          <w:b w:val="0"/>
          <w:bCs w:val="0"/>
          <w:i w:val="0"/>
          <w:strike w:val="0"/>
          <w:color w:val="000000"/>
          <w:spacing w:val="0"/>
          <w:kern w:val="0"/>
          <w:sz w:val="32"/>
          <w:szCs w:val="32"/>
          <w:lang w:eastAsia="zh-CN"/>
        </w:rPr>
        <w:t>站</w:t>
      </w:r>
      <w:r>
        <w:rPr>
          <w:rFonts w:hint="default" w:ascii="Times New Roman" w:hAnsi="Times New Roman" w:eastAsia="仿宋_GB2312" w:cs="Times New Roman"/>
          <w:b w:val="0"/>
          <w:bCs w:val="0"/>
          <w:i w:val="0"/>
          <w:strike w:val="0"/>
          <w:color w:val="000000"/>
          <w:spacing w:val="0"/>
          <w:kern w:val="0"/>
          <w:sz w:val="32"/>
          <w:szCs w:val="32"/>
          <w:lang w:eastAsia="zh-CN"/>
        </w:rPr>
        <w:t>开通客运线路，开展醴茶铁路全程电气化提质改造，往南接入吉衡铁路，往北从株洲、浏阳接入长株潭城际铁路。加快建设</w:t>
      </w:r>
      <w:r>
        <w:rPr>
          <w:rFonts w:hint="default" w:ascii="Times New Roman" w:hAnsi="Times New Roman" w:eastAsia="仿宋_GB2312" w:cs="Times New Roman"/>
          <w:b w:val="0"/>
          <w:bCs w:val="0"/>
          <w:i w:val="0"/>
          <w:strike w:val="0"/>
          <w:color w:val="000000"/>
          <w:spacing w:val="0"/>
          <w:kern w:val="0"/>
          <w:sz w:val="32"/>
          <w:szCs w:val="32"/>
          <w:lang w:eastAsia="zh-CN"/>
        </w:rPr>
        <w:t>火车南站</w:t>
      </w:r>
      <w:r>
        <w:rPr>
          <w:rFonts w:hint="default" w:ascii="Times New Roman" w:hAnsi="Times New Roman" w:eastAsia="仿宋_GB2312" w:cs="Times New Roman"/>
          <w:b w:val="0"/>
          <w:bCs w:val="0"/>
          <w:i w:val="0"/>
          <w:strike w:val="0"/>
          <w:color w:val="000000"/>
          <w:spacing w:val="0"/>
          <w:kern w:val="0"/>
          <w:sz w:val="32"/>
          <w:szCs w:val="32"/>
          <w:lang w:eastAsia="zh-CN"/>
        </w:rPr>
        <w:t>周边配套设施，做好物流配套服务。</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lang w:eastAsia="zh-CN"/>
        </w:rPr>
        <w:t>责任单位：交通运输局、</w:t>
      </w:r>
      <w:r>
        <w:rPr>
          <w:rFonts w:hint="default" w:ascii="Times New Roman" w:hAnsi="Times New Roman" w:eastAsia="仿宋_GB2312" w:cs="Times New Roman"/>
          <w:b w:val="0"/>
          <w:bCs w:val="0"/>
          <w:i w:val="0"/>
          <w:strike w:val="0"/>
          <w:color w:val="000000"/>
          <w:spacing w:val="0"/>
          <w:kern w:val="0"/>
          <w:sz w:val="32"/>
          <w:szCs w:val="32"/>
        </w:rPr>
        <w:t>发展</w:t>
      </w:r>
      <w:r>
        <w:rPr>
          <w:rFonts w:hint="default" w:ascii="Times New Roman" w:hAnsi="Times New Roman" w:eastAsia="仿宋_GB2312" w:cs="Times New Roman"/>
          <w:b w:val="0"/>
          <w:bCs w:val="0"/>
          <w:i w:val="0"/>
          <w:strike w:val="0"/>
          <w:color w:val="000000"/>
          <w:spacing w:val="0"/>
          <w:kern w:val="0"/>
          <w:sz w:val="32"/>
          <w:szCs w:val="32"/>
          <w:lang w:eastAsia="zh-CN"/>
        </w:rPr>
        <w:t>和改革局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二</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基础设施建设补短板行动。</w:t>
      </w:r>
      <w:r>
        <w:rPr>
          <w:rFonts w:hint="default" w:ascii="Times New Roman" w:hAnsi="Times New Roman" w:eastAsia="仿宋_GB2312" w:cs="Times New Roman"/>
          <w:b w:val="0"/>
          <w:bCs w:val="0"/>
          <w:i w:val="0"/>
          <w:strike w:val="0"/>
          <w:color w:val="000000"/>
          <w:spacing w:val="0"/>
          <w:kern w:val="0"/>
          <w:sz w:val="32"/>
          <w:szCs w:val="32"/>
        </w:rPr>
        <w:t>以</w:t>
      </w:r>
      <w:r>
        <w:rPr>
          <w:rFonts w:hint="default" w:ascii="Times New Roman" w:hAnsi="Times New Roman" w:eastAsia="仿宋_GB2312" w:cs="Times New Roman"/>
          <w:b w:val="0"/>
          <w:bCs w:val="0"/>
          <w:i w:val="0"/>
          <w:strike w:val="0"/>
          <w:color w:val="000000"/>
          <w:spacing w:val="0"/>
          <w:kern w:val="0"/>
          <w:sz w:val="32"/>
          <w:szCs w:val="32"/>
          <w:lang w:eastAsia="zh-CN"/>
        </w:rPr>
        <w:t>茶陵湘赣多式联运物流港项目</w:t>
      </w:r>
      <w:r>
        <w:rPr>
          <w:rFonts w:hint="default" w:ascii="Times New Roman" w:hAnsi="Times New Roman" w:eastAsia="仿宋_GB2312" w:cs="Times New Roman"/>
          <w:b w:val="0"/>
          <w:bCs w:val="0"/>
          <w:i w:val="0"/>
          <w:strike w:val="0"/>
          <w:color w:val="000000"/>
          <w:spacing w:val="0"/>
          <w:kern w:val="0"/>
          <w:sz w:val="32"/>
          <w:szCs w:val="32"/>
        </w:rPr>
        <w:t>为抓手，加快完善物流基础设施建设，持续健全现代物流运行体系，推动物流业提质增效“加速跑”。</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3.加快补齐物流节点建设短板。</w:t>
      </w:r>
      <w:r>
        <w:rPr>
          <w:rFonts w:hint="default" w:ascii="Times New Roman" w:hAnsi="Times New Roman" w:eastAsia="仿宋_GB2312" w:cs="Times New Roman"/>
          <w:b w:val="0"/>
          <w:bCs w:val="0"/>
          <w:i w:val="0"/>
          <w:strike w:val="0"/>
          <w:color w:val="000000"/>
          <w:spacing w:val="0"/>
          <w:kern w:val="0"/>
          <w:sz w:val="32"/>
          <w:szCs w:val="32"/>
          <w:highlight w:val="none"/>
        </w:rPr>
        <w:t>大力实施物流发展“强基补链”工程。</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rPr>
        <w:t>积极</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lang w:eastAsia="zh-CN"/>
        </w:rPr>
        <w:t>规划</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rPr>
        <w:t>创建</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lang w:eastAsia="zh-CN"/>
        </w:rPr>
        <w:t>县</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rPr>
        <w:t>示范物流园。</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lang w:eastAsia="zh-CN"/>
        </w:rPr>
        <w:t>制定创建方案，分期加快推进</w:t>
      </w:r>
      <w:r>
        <w:rPr>
          <w:rFonts w:hint="default" w:ascii="Times New Roman" w:hAnsi="Times New Roman" w:eastAsia="仿宋_GB2312" w:cs="Times New Roman"/>
          <w:b w:val="0"/>
          <w:bCs w:val="0"/>
          <w:i w:val="0"/>
          <w:strike w:val="0"/>
          <w:color w:val="000000"/>
          <w:spacing w:val="0"/>
          <w:kern w:val="0"/>
          <w:sz w:val="32"/>
          <w:szCs w:val="32"/>
          <w:highlight w:val="none"/>
          <w:shd w:val="clear" w:color="auto" w:fill="auto"/>
        </w:rPr>
        <w:t>支持</w:t>
      </w:r>
      <w:r>
        <w:rPr>
          <w:rFonts w:hint="default" w:ascii="Times New Roman" w:hAnsi="Times New Roman" w:eastAsia="仿宋_GB2312" w:cs="Times New Roman"/>
          <w:b w:val="0"/>
          <w:bCs w:val="0"/>
          <w:i w:val="0"/>
          <w:strike w:val="0"/>
          <w:color w:val="000000"/>
          <w:spacing w:val="0"/>
          <w:kern w:val="0"/>
          <w:sz w:val="32"/>
          <w:szCs w:val="32"/>
          <w:highlight w:val="none"/>
        </w:rPr>
        <w:t>入园企业申报享受各级各类产业引导</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w:t>
      </w:r>
      <w:r>
        <w:rPr>
          <w:rFonts w:hint="default" w:ascii="Times New Roman" w:hAnsi="Times New Roman" w:eastAsia="仿宋_GB2312" w:cs="Times New Roman"/>
          <w:b w:val="0"/>
          <w:bCs w:val="0"/>
          <w:i w:val="0"/>
          <w:strike w:val="0"/>
          <w:color w:val="000000"/>
          <w:spacing w:val="0"/>
          <w:kern w:val="0"/>
          <w:sz w:val="32"/>
          <w:szCs w:val="32"/>
          <w:highlight w:val="none"/>
        </w:rPr>
        <w:t>专项</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w:t>
      </w:r>
      <w:r>
        <w:rPr>
          <w:rFonts w:hint="default" w:ascii="Times New Roman" w:hAnsi="Times New Roman" w:eastAsia="仿宋_GB2312" w:cs="Times New Roman"/>
          <w:b w:val="0"/>
          <w:bCs w:val="0"/>
          <w:i w:val="0"/>
          <w:strike w:val="0"/>
          <w:color w:val="000000"/>
          <w:spacing w:val="0"/>
          <w:kern w:val="0"/>
          <w:sz w:val="32"/>
          <w:szCs w:val="32"/>
          <w:highlight w:val="none"/>
        </w:rPr>
        <w:t>资</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金和</w:t>
      </w:r>
      <w:r>
        <w:rPr>
          <w:rFonts w:hint="default" w:ascii="Times New Roman" w:hAnsi="Times New Roman" w:eastAsia="仿宋_GB2312" w:cs="Times New Roman"/>
          <w:b w:val="0"/>
          <w:bCs w:val="0"/>
          <w:i w:val="0"/>
          <w:strike w:val="0"/>
          <w:color w:val="000000"/>
          <w:spacing w:val="0"/>
          <w:kern w:val="0"/>
          <w:sz w:val="32"/>
          <w:szCs w:val="32"/>
          <w:highlight w:val="none"/>
        </w:rPr>
        <w:t>产业发展基金以及其他扶持政策，推荐物流基础设施建设项目纳入国家和省相关专项规划。支持按照“多规合一”“一区多园”“园中园”等模式建设物流区，鼓励社会资本参与铁路货运站场、仓储等物流设施建设和运营。</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发挥邮政普遍服务的优势，推动邮政网点、邮件处理中心等作为物流配送的重要节点，构建覆盖城乡的物流配送网络。（</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经开区、</w:t>
      </w:r>
      <w:r>
        <w:rPr>
          <w:rFonts w:hint="default" w:ascii="Times New Roman" w:hAnsi="Times New Roman" w:eastAsia="仿宋_GB2312" w:cs="Times New Roman"/>
          <w:b w:val="0"/>
          <w:bCs w:val="0"/>
          <w:i w:val="0"/>
          <w:strike w:val="0"/>
          <w:color w:val="000000"/>
          <w:spacing w:val="0"/>
          <w:kern w:val="0"/>
          <w:sz w:val="32"/>
          <w:szCs w:val="32"/>
        </w:rPr>
        <w:t>交通运输局、商务局、</w:t>
      </w:r>
      <w:r>
        <w:rPr>
          <w:rFonts w:hint="default" w:ascii="Times New Roman" w:hAnsi="Times New Roman" w:eastAsia="仿宋_GB2312" w:cs="Times New Roman"/>
          <w:b w:val="0"/>
          <w:bCs w:val="0"/>
          <w:i w:val="0"/>
          <w:strike w:val="0"/>
          <w:color w:val="000000"/>
          <w:spacing w:val="0"/>
          <w:kern w:val="0"/>
          <w:sz w:val="32"/>
          <w:szCs w:val="32"/>
          <w:lang w:eastAsia="zh-CN"/>
        </w:rPr>
        <w:t>科工</w:t>
      </w:r>
      <w:r>
        <w:rPr>
          <w:rFonts w:hint="default" w:ascii="Times New Roman" w:hAnsi="Times New Roman" w:eastAsia="仿宋_GB2312" w:cs="Times New Roman"/>
          <w:b w:val="0"/>
          <w:bCs w:val="0"/>
          <w:i w:val="0"/>
          <w:strike w:val="0"/>
          <w:color w:val="000000"/>
          <w:spacing w:val="0"/>
          <w:kern w:val="0"/>
          <w:sz w:val="32"/>
          <w:szCs w:val="32"/>
        </w:rPr>
        <w:t>局、财政局、自然资源和规划局，</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邮政公司）</w:t>
      </w:r>
    </w:p>
    <w:p>
      <w:pPr>
        <w:keepNext w:val="0"/>
        <w:keepLines w:val="0"/>
        <w:pageBreakBefore w:val="0"/>
        <w:widowControl w:val="0"/>
        <w:tabs>
          <w:tab w:val="left" w:pos="8610"/>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6"/>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4.加快补齐农村冷链物流短板。</w:t>
      </w:r>
      <w:r>
        <w:rPr>
          <w:rFonts w:hint="default" w:ascii="Times New Roman" w:hAnsi="Times New Roman" w:eastAsia="仿宋_GB2312" w:cs="Times New Roman"/>
          <w:b w:val="0"/>
          <w:bCs w:val="0"/>
          <w:i w:val="0"/>
          <w:strike w:val="0"/>
          <w:color w:val="000000"/>
          <w:spacing w:val="0"/>
          <w:kern w:val="0"/>
          <w:sz w:val="32"/>
          <w:szCs w:val="32"/>
        </w:rPr>
        <w:t>积极推进茶陵湘赣边区域物流枢纽等项目建设，全面提升全</w:t>
      </w:r>
      <w:r>
        <w:rPr>
          <w:rFonts w:hint="default" w:ascii="Times New Roman" w:hAnsi="Times New Roman" w:eastAsia="仿宋_GB2312" w:cs="Times New Roman"/>
          <w:b w:val="0"/>
          <w:bCs w:val="0"/>
          <w:i w:val="0"/>
          <w:strike w:val="0"/>
          <w:color w:val="000000"/>
          <w:spacing w:val="0"/>
          <w:kern w:val="0"/>
          <w:sz w:val="32"/>
          <w:szCs w:val="32"/>
          <w:lang w:eastAsia="zh-CN"/>
        </w:rPr>
        <w:t>县</w:t>
      </w:r>
      <w:r>
        <w:rPr>
          <w:rFonts w:hint="default" w:ascii="Times New Roman" w:hAnsi="Times New Roman" w:eastAsia="仿宋_GB2312" w:cs="Times New Roman"/>
          <w:b w:val="0"/>
          <w:bCs w:val="0"/>
          <w:i w:val="0"/>
          <w:strike w:val="0"/>
          <w:color w:val="000000"/>
          <w:spacing w:val="0"/>
          <w:kern w:val="0"/>
          <w:sz w:val="32"/>
          <w:szCs w:val="32"/>
        </w:rPr>
        <w:t>农产品区域集散能力。有序推进茶陵湘赣边冷链及现代化智慧物流园</w:t>
      </w:r>
      <w:r>
        <w:rPr>
          <w:rFonts w:hint="default" w:ascii="Times New Roman" w:hAnsi="Times New Roman" w:eastAsia="仿宋_GB2312" w:cs="Times New Roman"/>
          <w:b w:val="0"/>
          <w:bCs w:val="0"/>
          <w:i w:val="0"/>
          <w:strike w:val="0"/>
          <w:color w:val="000000"/>
          <w:spacing w:val="0"/>
          <w:kern w:val="0"/>
          <w:sz w:val="32"/>
          <w:szCs w:val="32"/>
          <w:lang w:eastAsia="zh-CN"/>
        </w:rPr>
        <w:t>、茶陵县鲜肉供应中心（湘赣边区鲜肉供应中心冷链物流项目）、湖南金森智能冷链物流扩建项目、湖南众森农林产品冷链物流园建设项目</w:t>
      </w:r>
      <w:r>
        <w:rPr>
          <w:rFonts w:hint="default" w:ascii="Times New Roman" w:hAnsi="Times New Roman" w:eastAsia="仿宋_GB2312" w:cs="Times New Roman"/>
          <w:b w:val="0"/>
          <w:bCs w:val="0"/>
          <w:i w:val="0"/>
          <w:strike w:val="0"/>
          <w:color w:val="000000"/>
          <w:spacing w:val="0"/>
          <w:kern w:val="0"/>
          <w:sz w:val="32"/>
          <w:szCs w:val="32"/>
        </w:rPr>
        <w:t>等项目实施，推动农产品冷链技术装备标准化，推广应用移动冷库</w:t>
      </w:r>
      <w:r>
        <w:rPr>
          <w:rFonts w:hint="default" w:ascii="Times New Roman" w:hAnsi="Times New Roman" w:eastAsia="仿宋_GB2312" w:cs="Times New Roman"/>
          <w:b w:val="0"/>
          <w:bCs w:val="0"/>
          <w:i w:val="0"/>
          <w:strike w:val="0"/>
          <w:color w:val="000000"/>
          <w:spacing w:val="-6"/>
          <w:kern w:val="0"/>
          <w:sz w:val="32"/>
          <w:szCs w:val="32"/>
        </w:rPr>
        <w:t>等新型冷链物流设施设备，促进农产品冷链各环节有序衔接。</w:t>
      </w:r>
      <w:r>
        <w:rPr>
          <w:rFonts w:hint="default" w:ascii="Times New Roman" w:hAnsi="Times New Roman" w:eastAsia="仿宋_GB2312" w:cs="Times New Roman"/>
          <w:b w:val="0"/>
          <w:bCs w:val="0"/>
          <w:i w:val="0"/>
          <w:strike w:val="0"/>
          <w:color w:val="000000"/>
          <w:spacing w:val="-6"/>
          <w:kern w:val="0"/>
          <w:sz w:val="32"/>
          <w:szCs w:val="32"/>
          <w:lang w:val="en-US" w:eastAsia="zh-CN"/>
        </w:rPr>
        <w:t>加大田间地头冷库主体与县城冷链物流集配中心的有效合作，促推我县农副产品向红星农批市场接轨，加大产销对接力度。（</w:t>
      </w:r>
      <w:r>
        <w:rPr>
          <w:rFonts w:hint="default" w:ascii="Times New Roman" w:hAnsi="Times New Roman" w:eastAsia="仿宋_GB2312" w:cs="Times New Roman"/>
          <w:b w:val="0"/>
          <w:bCs w:val="0"/>
          <w:i w:val="0"/>
          <w:strike w:val="0"/>
          <w:color w:val="000000"/>
          <w:spacing w:val="-6"/>
          <w:kern w:val="0"/>
          <w:sz w:val="32"/>
          <w:szCs w:val="32"/>
        </w:rPr>
        <w:t>责任单位：</w:t>
      </w:r>
      <w:r>
        <w:rPr>
          <w:rFonts w:hint="default" w:ascii="Times New Roman" w:hAnsi="Times New Roman" w:eastAsia="仿宋_GB2312" w:cs="Times New Roman"/>
          <w:b w:val="0"/>
          <w:bCs w:val="0"/>
          <w:i w:val="0"/>
          <w:strike w:val="0"/>
          <w:color w:val="000000"/>
          <w:spacing w:val="-6"/>
          <w:kern w:val="0"/>
          <w:sz w:val="32"/>
          <w:szCs w:val="32"/>
          <w:lang w:eastAsia="zh-CN"/>
        </w:rPr>
        <w:t>经开区、</w:t>
      </w:r>
      <w:r>
        <w:rPr>
          <w:rFonts w:hint="default" w:ascii="Times New Roman" w:hAnsi="Times New Roman" w:eastAsia="仿宋_GB2312" w:cs="Times New Roman"/>
          <w:b w:val="0"/>
          <w:bCs w:val="0"/>
          <w:i w:val="0"/>
          <w:strike w:val="0"/>
          <w:color w:val="000000"/>
          <w:spacing w:val="-6"/>
          <w:kern w:val="0"/>
          <w:sz w:val="32"/>
          <w:szCs w:val="32"/>
        </w:rPr>
        <w:t>农业农村局、商务局、发展</w:t>
      </w:r>
      <w:r>
        <w:rPr>
          <w:rFonts w:hint="default" w:ascii="Times New Roman" w:hAnsi="Times New Roman" w:eastAsia="仿宋_GB2312" w:cs="Times New Roman"/>
          <w:b w:val="0"/>
          <w:bCs w:val="0"/>
          <w:i w:val="0"/>
          <w:strike w:val="0"/>
          <w:color w:val="000000"/>
          <w:spacing w:val="-6"/>
          <w:kern w:val="0"/>
          <w:sz w:val="32"/>
          <w:szCs w:val="32"/>
          <w:lang w:eastAsia="zh-CN"/>
        </w:rPr>
        <w:t>和</w:t>
      </w:r>
      <w:r>
        <w:rPr>
          <w:rFonts w:hint="default" w:ascii="Times New Roman" w:hAnsi="Times New Roman" w:eastAsia="仿宋_GB2312" w:cs="Times New Roman"/>
          <w:b w:val="0"/>
          <w:bCs w:val="0"/>
          <w:i w:val="0"/>
          <w:strike w:val="0"/>
          <w:color w:val="000000"/>
          <w:spacing w:val="-6"/>
          <w:kern w:val="0"/>
          <w:sz w:val="32"/>
          <w:szCs w:val="32"/>
        </w:rPr>
        <w:t>改革</w:t>
      </w:r>
      <w:r>
        <w:rPr>
          <w:rFonts w:hint="default" w:ascii="Times New Roman" w:hAnsi="Times New Roman" w:eastAsia="仿宋_GB2312" w:cs="Times New Roman"/>
          <w:b w:val="0"/>
          <w:bCs w:val="0"/>
          <w:i w:val="0"/>
          <w:strike w:val="0"/>
          <w:color w:val="000000"/>
          <w:spacing w:val="-6"/>
          <w:kern w:val="0"/>
          <w:sz w:val="32"/>
          <w:szCs w:val="32"/>
          <w:lang w:eastAsia="zh-CN"/>
        </w:rPr>
        <w:t>局）</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6"/>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5.加快补齐物流信息化短板。</w:t>
      </w:r>
      <w:r>
        <w:rPr>
          <w:rFonts w:hint="default" w:ascii="Times New Roman" w:hAnsi="Times New Roman" w:eastAsia="仿宋_GB2312" w:cs="Times New Roman"/>
          <w:b w:val="0"/>
          <w:bCs w:val="0"/>
          <w:i w:val="0"/>
          <w:strike w:val="0"/>
          <w:color w:val="000000"/>
          <w:spacing w:val="0"/>
          <w:kern w:val="0"/>
          <w:sz w:val="32"/>
          <w:szCs w:val="32"/>
        </w:rPr>
        <w:t>推动茶陵县建设现代物流大数据分析中心，引进数据分析企业、数据解决方案提供商进驻建设统一、集成的数据仓库，引导电子商务企业运用云计算大数据、移动互联网等新一代信息技术，加强数据分析和价值挖掘</w:t>
      </w:r>
      <w:r>
        <w:rPr>
          <w:rFonts w:hint="default" w:ascii="Times New Roman" w:hAnsi="Times New Roman" w:eastAsia="仿宋_GB2312" w:cs="Times New Roman"/>
          <w:b w:val="0"/>
          <w:bCs w:val="0"/>
          <w:i w:val="0"/>
          <w:strike w:val="0"/>
          <w:color w:val="000000"/>
          <w:spacing w:val="-6"/>
          <w:kern w:val="0"/>
          <w:sz w:val="32"/>
          <w:szCs w:val="32"/>
        </w:rPr>
        <w:t>。加快建设和培育汇集全县物流资源及沟通国内外其他物流信息平台的本土智慧物流公共信息平台，深度挖掘物流大数据价值。加强关键信息基础设施的信息安全等级保护工作，落实数据库安全管理等各项网络安全保障措施，保障数据信息安全。</w:t>
      </w:r>
      <w:r>
        <w:rPr>
          <w:rFonts w:hint="default" w:ascii="Times New Roman" w:hAnsi="Times New Roman" w:eastAsia="仿宋_GB2312" w:cs="Times New Roman"/>
          <w:b w:val="0"/>
          <w:bCs w:val="0"/>
          <w:i w:val="0"/>
          <w:strike w:val="0"/>
          <w:color w:val="000000"/>
          <w:spacing w:val="-6"/>
          <w:kern w:val="0"/>
          <w:sz w:val="32"/>
          <w:szCs w:val="32"/>
          <w:lang w:eastAsia="zh-CN"/>
        </w:rPr>
        <w:t>（</w:t>
      </w:r>
      <w:r>
        <w:rPr>
          <w:rFonts w:hint="default" w:ascii="Times New Roman" w:hAnsi="Times New Roman" w:eastAsia="仿宋_GB2312" w:cs="Times New Roman"/>
          <w:b w:val="0"/>
          <w:bCs w:val="0"/>
          <w:i w:val="0"/>
          <w:strike w:val="0"/>
          <w:color w:val="000000"/>
          <w:spacing w:val="-6"/>
          <w:kern w:val="0"/>
          <w:sz w:val="32"/>
          <w:szCs w:val="32"/>
        </w:rPr>
        <w:t>责任单位：</w:t>
      </w:r>
      <w:r>
        <w:rPr>
          <w:rFonts w:hint="default" w:ascii="Times New Roman" w:hAnsi="Times New Roman" w:eastAsia="仿宋_GB2312" w:cs="Times New Roman"/>
          <w:b w:val="0"/>
          <w:bCs w:val="0"/>
          <w:i w:val="0"/>
          <w:strike w:val="0"/>
          <w:color w:val="000000"/>
          <w:spacing w:val="-6"/>
          <w:kern w:val="0"/>
          <w:sz w:val="32"/>
          <w:szCs w:val="32"/>
          <w:highlight w:val="none"/>
        </w:rPr>
        <w:t>发展</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和</w:t>
      </w:r>
      <w:r>
        <w:rPr>
          <w:rFonts w:hint="default" w:ascii="Times New Roman" w:hAnsi="Times New Roman" w:eastAsia="仿宋_GB2312" w:cs="Times New Roman"/>
          <w:b w:val="0"/>
          <w:bCs w:val="0"/>
          <w:i w:val="0"/>
          <w:strike w:val="0"/>
          <w:color w:val="000000"/>
          <w:spacing w:val="-6"/>
          <w:kern w:val="0"/>
          <w:sz w:val="32"/>
          <w:szCs w:val="32"/>
          <w:highlight w:val="none"/>
        </w:rPr>
        <w:t>改革</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局</w:t>
      </w:r>
      <w:r>
        <w:rPr>
          <w:rFonts w:hint="default" w:ascii="Times New Roman" w:hAnsi="Times New Roman" w:eastAsia="仿宋_GB2312" w:cs="Times New Roman"/>
          <w:b w:val="0"/>
          <w:bCs w:val="0"/>
          <w:i w:val="0"/>
          <w:strike w:val="0"/>
          <w:color w:val="000000"/>
          <w:spacing w:val="-6"/>
          <w:kern w:val="0"/>
          <w:sz w:val="32"/>
          <w:szCs w:val="32"/>
          <w:highlight w:val="none"/>
        </w:rPr>
        <w:t>、</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交通运输局</w:t>
      </w:r>
      <w:r>
        <w:rPr>
          <w:rFonts w:hint="default" w:ascii="Times New Roman" w:hAnsi="Times New Roman" w:eastAsia="仿宋_GB2312" w:cs="Times New Roman"/>
          <w:b w:val="0"/>
          <w:bCs w:val="0"/>
          <w:i w:val="0"/>
          <w:strike w:val="0"/>
          <w:color w:val="000000"/>
          <w:spacing w:val="-6"/>
          <w:kern w:val="0"/>
          <w:sz w:val="32"/>
          <w:szCs w:val="32"/>
          <w:highlight w:val="none"/>
        </w:rPr>
        <w:t>、</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科工</w:t>
      </w:r>
      <w:r>
        <w:rPr>
          <w:rFonts w:hint="default" w:ascii="Times New Roman" w:hAnsi="Times New Roman" w:eastAsia="仿宋_GB2312" w:cs="Times New Roman"/>
          <w:b w:val="0"/>
          <w:bCs w:val="0"/>
          <w:i w:val="0"/>
          <w:strike w:val="0"/>
          <w:color w:val="000000"/>
          <w:spacing w:val="-6"/>
          <w:kern w:val="0"/>
          <w:sz w:val="32"/>
          <w:szCs w:val="32"/>
          <w:highlight w:val="none"/>
        </w:rPr>
        <w:t>局</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、数据局）</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三</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微循环畅通行动。</w:t>
      </w:r>
      <w:r>
        <w:rPr>
          <w:rFonts w:hint="default" w:ascii="Times New Roman" w:hAnsi="Times New Roman" w:eastAsia="仿宋_GB2312" w:cs="Times New Roman"/>
          <w:b w:val="0"/>
          <w:bCs w:val="0"/>
          <w:i w:val="0"/>
          <w:strike w:val="0"/>
          <w:color w:val="000000"/>
          <w:spacing w:val="0"/>
          <w:kern w:val="0"/>
          <w:sz w:val="32"/>
          <w:szCs w:val="32"/>
        </w:rPr>
        <w:t>加快畅联城乡流通网络，持续完善物流服务网络节点规划布局，推动畅通物流“微循环”。</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6.加强农村物流服务网络节点体系建设。</w:t>
      </w:r>
      <w:r>
        <w:rPr>
          <w:rFonts w:hint="default" w:ascii="Times New Roman" w:hAnsi="Times New Roman" w:eastAsia="仿宋_GB2312" w:cs="Times New Roman"/>
          <w:b w:val="0"/>
          <w:bCs w:val="0"/>
          <w:i w:val="0"/>
          <w:strike w:val="0"/>
          <w:color w:val="000000"/>
          <w:spacing w:val="0"/>
          <w:kern w:val="0"/>
          <w:sz w:val="32"/>
          <w:szCs w:val="32"/>
        </w:rPr>
        <w:t>结合县域商业体系建设，持续推进县城补短板强弱项，完善县域商圈配套，加快一体建设以县城为重要载体的城乡融合流通网络节点中心和物流集散中心。发挥乡镇承上启下、紧靠农村居民生活圈、服务农村的区域商业中心优势，依托乡镇连锁超市、邮政网点、客货运站场、快递末端网点等网络资源，建设一批乡镇农村物流服务站，加快打通上接县、下联村的物流服务网络节点。新建改造一批村级连锁商店，加强对夫妻店、小卖部等村级现有商业网点改造提升，布局建设村级农村物流服务点，不断扩大村级物流服务网络覆盖面。</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责任单位：农业农村局、商务局、</w:t>
      </w:r>
      <w:r>
        <w:rPr>
          <w:rFonts w:hint="default" w:ascii="Times New Roman" w:hAnsi="Times New Roman" w:eastAsia="仿宋_GB2312" w:cs="Times New Roman"/>
          <w:b w:val="0"/>
          <w:bCs w:val="0"/>
          <w:i w:val="0"/>
          <w:strike w:val="0"/>
          <w:color w:val="000000"/>
          <w:spacing w:val="0"/>
          <w:kern w:val="0"/>
          <w:sz w:val="32"/>
          <w:szCs w:val="32"/>
          <w:lang w:eastAsia="zh-CN"/>
        </w:rPr>
        <w:t>交通运输局</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邮政公司）</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6"/>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7</w:t>
      </w:r>
      <w:r>
        <w:rPr>
          <w:rFonts w:hint="default" w:ascii="Times New Roman" w:hAnsi="Times New Roman" w:eastAsia="仿宋_GB2312" w:cs="Times New Roman"/>
          <w:b w:val="0"/>
          <w:bCs w:val="0"/>
          <w:i w:val="0"/>
          <w:strike w:val="0"/>
          <w:color w:val="000000"/>
          <w:spacing w:val="0"/>
          <w:kern w:val="0"/>
          <w:sz w:val="32"/>
          <w:szCs w:val="32"/>
          <w:lang w:val="en-US" w:eastAsia="zh-CN"/>
        </w:rPr>
        <w:t>.加强县乡村三级物流配送体系建设。</w:t>
      </w:r>
      <w:r>
        <w:rPr>
          <w:rFonts w:hint="default" w:ascii="Times New Roman" w:hAnsi="Times New Roman" w:eastAsia="仿宋_GB2312" w:cs="Times New Roman"/>
          <w:b w:val="0"/>
          <w:bCs w:val="0"/>
          <w:i w:val="0"/>
          <w:strike w:val="0"/>
          <w:color w:val="000000"/>
          <w:spacing w:val="0"/>
          <w:kern w:val="0"/>
          <w:sz w:val="32"/>
          <w:szCs w:val="32"/>
        </w:rPr>
        <w:t>积极探索农村客货邮融合发展新模式，整合农村客运、快递、物流、电商等渠道，推动商贸流通、交通运输、邮政、供销合作社等企业服务和网络下沉，打造“一点多能、一网多用、深度融合”的城乡配送体系，持续打通工业品下乡“最后一公里”和农产品进城“最初一公里”。大力实施“快递进村”工程，深化交邮合作、邮快合作、快快合作、快商合作，推动农村商贸流通数字化转型升级</w:t>
      </w:r>
      <w:r>
        <w:rPr>
          <w:rFonts w:hint="default" w:ascii="Times New Roman" w:hAnsi="Times New Roman" w:eastAsia="仿宋_GB2312" w:cs="Times New Roman"/>
          <w:b w:val="0"/>
          <w:bCs w:val="0"/>
          <w:i w:val="0"/>
          <w:strike w:val="0"/>
          <w:color w:val="000000"/>
          <w:spacing w:val="-6"/>
          <w:kern w:val="0"/>
          <w:sz w:val="32"/>
          <w:szCs w:val="32"/>
        </w:rPr>
        <w:t>，提升电商、快递进农村综合水平，打造农村物流体系升级版。组织开展农村快递市场专项整治，依法打击农村快递未按合</w:t>
      </w:r>
      <w:r>
        <w:rPr>
          <w:rFonts w:hint="default" w:ascii="Times New Roman" w:hAnsi="Times New Roman" w:eastAsia="仿宋_GB2312" w:cs="Times New Roman"/>
          <w:b w:val="0"/>
          <w:bCs w:val="0"/>
          <w:i w:val="0"/>
          <w:strike w:val="0"/>
          <w:color w:val="000000"/>
          <w:spacing w:val="-6"/>
          <w:kern w:val="0"/>
          <w:sz w:val="32"/>
          <w:szCs w:val="32"/>
        </w:rPr>
        <w:t>同约定送达至村、“二次收费”、恶性竞争等违法违规行为。</w:t>
      </w:r>
      <w:r>
        <w:rPr>
          <w:rFonts w:hint="default" w:ascii="Times New Roman" w:hAnsi="Times New Roman" w:eastAsia="仿宋_GB2312" w:cs="Times New Roman"/>
          <w:b w:val="0"/>
          <w:bCs w:val="0"/>
          <w:i w:val="0"/>
          <w:strike w:val="0"/>
          <w:color w:val="000000"/>
          <w:spacing w:val="-6"/>
          <w:kern w:val="0"/>
          <w:sz w:val="32"/>
          <w:szCs w:val="32"/>
          <w:lang w:eastAsia="zh-CN"/>
        </w:rPr>
        <w:t>（</w:t>
      </w:r>
      <w:r>
        <w:rPr>
          <w:rFonts w:hint="default" w:ascii="Times New Roman" w:hAnsi="Times New Roman" w:eastAsia="仿宋_GB2312" w:cs="Times New Roman"/>
          <w:b w:val="0"/>
          <w:bCs w:val="0"/>
          <w:i w:val="0"/>
          <w:strike w:val="0"/>
          <w:color w:val="000000"/>
          <w:spacing w:val="-6"/>
          <w:kern w:val="0"/>
          <w:sz w:val="32"/>
          <w:szCs w:val="32"/>
        </w:rPr>
        <w:t>责任单位：</w:t>
      </w:r>
      <w:r>
        <w:rPr>
          <w:rFonts w:hint="default" w:ascii="Times New Roman" w:hAnsi="Times New Roman" w:eastAsia="仿宋_GB2312" w:cs="Times New Roman"/>
          <w:b w:val="0"/>
          <w:bCs w:val="0"/>
          <w:i w:val="0"/>
          <w:strike w:val="0"/>
          <w:color w:val="000000"/>
          <w:spacing w:val="-6"/>
          <w:kern w:val="0"/>
          <w:sz w:val="32"/>
          <w:szCs w:val="32"/>
          <w:lang w:eastAsia="zh-CN"/>
        </w:rPr>
        <w:t>交通运输局</w:t>
      </w:r>
      <w:r>
        <w:rPr>
          <w:rFonts w:hint="default" w:ascii="Times New Roman" w:hAnsi="Times New Roman" w:eastAsia="仿宋_GB2312" w:cs="Times New Roman"/>
          <w:b w:val="0"/>
          <w:bCs w:val="0"/>
          <w:i w:val="0"/>
          <w:strike w:val="0"/>
          <w:color w:val="000000"/>
          <w:spacing w:val="-6"/>
          <w:kern w:val="0"/>
          <w:sz w:val="32"/>
          <w:szCs w:val="32"/>
        </w:rPr>
        <w:t>、商务局、财政局、供销社，</w:t>
      </w:r>
      <w:r>
        <w:rPr>
          <w:rFonts w:hint="default" w:ascii="Times New Roman" w:hAnsi="Times New Roman" w:eastAsia="仿宋_GB2312" w:cs="Times New Roman"/>
          <w:b w:val="0"/>
          <w:bCs w:val="0"/>
          <w:i w:val="0"/>
          <w:strike w:val="0"/>
          <w:color w:val="000000"/>
          <w:spacing w:val="-6"/>
          <w:kern w:val="0"/>
          <w:sz w:val="32"/>
          <w:szCs w:val="32"/>
          <w:highlight w:val="none"/>
          <w:lang w:eastAsia="zh-CN"/>
        </w:rPr>
        <w:t>邮政公司）</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四</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运输结构优化行动。</w:t>
      </w:r>
      <w:r>
        <w:rPr>
          <w:rFonts w:hint="default" w:ascii="Times New Roman" w:hAnsi="Times New Roman" w:eastAsia="仿宋_GB2312" w:cs="Times New Roman"/>
          <w:b w:val="0"/>
          <w:bCs w:val="0"/>
          <w:i w:val="0"/>
          <w:strike w:val="0"/>
          <w:color w:val="000000"/>
          <w:spacing w:val="0"/>
          <w:kern w:val="0"/>
          <w:sz w:val="32"/>
          <w:szCs w:val="32"/>
        </w:rPr>
        <w:t>加快推进多式联运</w:t>
      </w:r>
      <w:r>
        <w:rPr>
          <w:rFonts w:hint="default" w:ascii="Times New Roman" w:hAnsi="Times New Roman" w:eastAsia="仿宋_GB2312" w:cs="Times New Roman"/>
          <w:b w:val="0"/>
          <w:bCs w:val="0"/>
          <w:i w:val="0"/>
          <w:strike w:val="0"/>
          <w:color w:val="000000"/>
          <w:spacing w:val="0"/>
          <w:kern w:val="0"/>
          <w:sz w:val="32"/>
          <w:szCs w:val="32"/>
          <w:lang w:eastAsia="zh-CN"/>
        </w:rPr>
        <w:t>工程</w:t>
      </w:r>
      <w:r>
        <w:rPr>
          <w:rFonts w:hint="default" w:ascii="Times New Roman" w:hAnsi="Times New Roman" w:eastAsia="仿宋_GB2312" w:cs="Times New Roman"/>
          <w:b w:val="0"/>
          <w:bCs w:val="0"/>
          <w:i w:val="0"/>
          <w:strike w:val="0"/>
          <w:color w:val="000000"/>
          <w:spacing w:val="0"/>
          <w:kern w:val="0"/>
          <w:sz w:val="32"/>
          <w:szCs w:val="32"/>
        </w:rPr>
        <w:t>，推动物流运输结构调整优化，</w:t>
      </w:r>
      <w:r>
        <w:rPr>
          <w:rFonts w:hint="default" w:ascii="Times New Roman" w:hAnsi="Times New Roman" w:eastAsia="仿宋_GB2312" w:cs="Times New Roman"/>
          <w:b w:val="0"/>
          <w:bCs w:val="0"/>
          <w:i w:val="0"/>
          <w:strike w:val="0"/>
          <w:color w:val="000000"/>
          <w:spacing w:val="0"/>
          <w:kern w:val="0"/>
          <w:sz w:val="32"/>
          <w:szCs w:val="32"/>
          <w:lang w:eastAsia="zh-CN"/>
        </w:rPr>
        <w:t>更好地服务</w:t>
      </w:r>
      <w:r>
        <w:rPr>
          <w:rFonts w:hint="default" w:ascii="Times New Roman" w:hAnsi="Times New Roman" w:eastAsia="仿宋_GB2312" w:cs="Times New Roman"/>
          <w:b w:val="0"/>
          <w:bCs w:val="0"/>
          <w:i w:val="0"/>
          <w:strike w:val="0"/>
          <w:color w:val="000000"/>
          <w:spacing w:val="0"/>
          <w:kern w:val="0"/>
          <w:sz w:val="32"/>
          <w:szCs w:val="32"/>
        </w:rPr>
        <w:t>支撑实现“物畅其流”。</w:t>
      </w:r>
    </w:p>
    <w:p>
      <w:pPr>
        <w:pStyle w:val="14"/>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8</w:t>
      </w:r>
      <w:r>
        <w:rPr>
          <w:rFonts w:hint="default" w:ascii="Times New Roman" w:hAnsi="Times New Roman" w:eastAsia="仿宋_GB2312" w:cs="Times New Roman"/>
          <w:b w:val="0"/>
          <w:bCs w:val="0"/>
          <w:i w:val="0"/>
          <w:strike w:val="0"/>
          <w:color w:val="000000"/>
          <w:spacing w:val="0"/>
          <w:kern w:val="0"/>
          <w:sz w:val="32"/>
          <w:szCs w:val="32"/>
          <w:lang w:val="en-US" w:eastAsia="zh-CN"/>
        </w:rPr>
        <w:t>.大力推进多式联运体系建设。</w:t>
      </w:r>
      <w:r>
        <w:rPr>
          <w:rFonts w:hint="default" w:ascii="Times New Roman" w:hAnsi="Times New Roman" w:eastAsia="仿宋_GB2312" w:cs="Times New Roman"/>
          <w:b w:val="0"/>
          <w:bCs w:val="0"/>
          <w:i w:val="0"/>
          <w:strike w:val="0"/>
          <w:color w:val="000000"/>
          <w:spacing w:val="0"/>
          <w:kern w:val="0"/>
          <w:sz w:val="32"/>
          <w:szCs w:val="32"/>
        </w:rPr>
        <w:t>依托物流枢纽节点和集疏运网络，建设连接两种以上运输方式的多式联运、转运设施和口岸信息共享平台，提升通关区域一体化水平，提高中转联运能力，</w:t>
      </w:r>
      <w:r>
        <w:rPr>
          <w:rFonts w:hint="default" w:ascii="Times New Roman" w:hAnsi="Times New Roman" w:eastAsia="仿宋_GB2312" w:cs="Times New Roman"/>
          <w:b w:val="0"/>
          <w:bCs w:val="0"/>
          <w:i w:val="0"/>
          <w:strike w:val="0"/>
          <w:color w:val="000000"/>
          <w:spacing w:val="0"/>
          <w:kern w:val="0"/>
          <w:sz w:val="32"/>
          <w:szCs w:val="32"/>
          <w:lang w:eastAsia="zh-CN"/>
        </w:rPr>
        <w:t>提高</w:t>
      </w:r>
      <w:r>
        <w:rPr>
          <w:rFonts w:hint="default" w:ascii="Times New Roman" w:hAnsi="Times New Roman" w:eastAsia="仿宋_GB2312" w:cs="Times New Roman"/>
          <w:b w:val="0"/>
          <w:bCs w:val="0"/>
          <w:i w:val="0"/>
          <w:strike w:val="0"/>
          <w:color w:val="000000"/>
          <w:spacing w:val="0"/>
          <w:kern w:val="0"/>
          <w:sz w:val="32"/>
          <w:szCs w:val="32"/>
        </w:rPr>
        <w:t>公铁多式联运的运作效率，促进物流基础设施协调配套运行，实现运输资源的高效整合和运输组织的无缝衔接，加快形成便捷联系周边地区的综合运输通道。加强茶陵</w:t>
      </w:r>
      <w:r>
        <w:rPr>
          <w:rFonts w:hint="default" w:ascii="Times New Roman" w:hAnsi="Times New Roman" w:eastAsia="仿宋_GB2312" w:cs="Times New Roman"/>
          <w:b w:val="0"/>
          <w:bCs w:val="0"/>
          <w:i w:val="0"/>
          <w:strike w:val="0"/>
          <w:color w:val="000000"/>
          <w:spacing w:val="0"/>
          <w:kern w:val="0"/>
          <w:sz w:val="32"/>
          <w:szCs w:val="32"/>
          <w:lang w:eastAsia="zh-CN"/>
        </w:rPr>
        <w:t>与周边县市</w:t>
      </w:r>
      <w:r>
        <w:rPr>
          <w:rFonts w:hint="default" w:ascii="Times New Roman" w:hAnsi="Times New Roman" w:eastAsia="仿宋_GB2312" w:cs="Times New Roman"/>
          <w:b w:val="0"/>
          <w:bCs w:val="0"/>
          <w:i w:val="0"/>
          <w:strike w:val="0"/>
          <w:color w:val="000000"/>
          <w:spacing w:val="0"/>
          <w:kern w:val="0"/>
          <w:sz w:val="32"/>
          <w:szCs w:val="32"/>
        </w:rPr>
        <w:t>港口、铁路、公路</w:t>
      </w:r>
      <w:r>
        <w:rPr>
          <w:rFonts w:hint="default" w:ascii="Times New Roman" w:hAnsi="Times New Roman" w:eastAsia="仿宋_GB2312" w:cs="Times New Roman"/>
          <w:b w:val="0"/>
          <w:bCs w:val="0"/>
          <w:i w:val="0"/>
          <w:strike w:val="0"/>
          <w:color w:val="000000"/>
          <w:spacing w:val="0"/>
          <w:kern w:val="0"/>
          <w:sz w:val="32"/>
          <w:szCs w:val="32"/>
          <w:lang w:eastAsia="zh-CN"/>
        </w:rPr>
        <w:t>、机场</w:t>
      </w:r>
      <w:r>
        <w:rPr>
          <w:rFonts w:hint="default" w:ascii="Times New Roman" w:hAnsi="Times New Roman" w:eastAsia="仿宋_GB2312" w:cs="Times New Roman"/>
          <w:b w:val="0"/>
          <w:bCs w:val="0"/>
          <w:i w:val="0"/>
          <w:strike w:val="0"/>
          <w:color w:val="000000"/>
          <w:spacing w:val="0"/>
          <w:kern w:val="0"/>
          <w:sz w:val="32"/>
          <w:szCs w:val="32"/>
        </w:rPr>
        <w:t>等物流基础设施之间的衔接，提升综合交通运输效率。加强物流园区与交通运输等部门之间的协调配合，推动物流园区与铁路货场、港口等交通基础设施的统筹。</w:t>
      </w:r>
      <w:r>
        <w:rPr>
          <w:rFonts w:hint="default" w:ascii="Times New Roman" w:hAnsi="Times New Roman" w:eastAsia="仿宋_GB2312" w:cs="Times New Roman"/>
          <w:b w:val="0"/>
          <w:bCs w:val="0"/>
          <w:i w:val="0"/>
          <w:strike w:val="0"/>
          <w:color w:val="000000"/>
          <w:spacing w:val="0"/>
          <w:kern w:val="0"/>
          <w:sz w:val="32"/>
          <w:szCs w:val="32"/>
          <w:lang w:eastAsia="zh-CN"/>
        </w:rPr>
        <w:t>推动邮政与其他物流企业共享基础设施，提高资源利用效率，促进邮政与其他物流企业的协同合作，推动共同配送、联收联投，降低物流成本。（</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经开区、交通运输局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、商务局</w:t>
      </w:r>
      <w:r>
        <w:rPr>
          <w:rFonts w:hint="default" w:ascii="Times New Roman" w:hAnsi="Times New Roman" w:eastAsia="仿宋_GB2312" w:cs="Times New Roman"/>
          <w:b w:val="0"/>
          <w:bCs w:val="0"/>
          <w:i w:val="0"/>
          <w:strike w:val="0"/>
          <w:color w:val="000000"/>
          <w:spacing w:val="0"/>
          <w:kern w:val="0"/>
          <w:sz w:val="32"/>
          <w:szCs w:val="32"/>
          <w:lang w:eastAsia="zh-CN"/>
        </w:rPr>
        <w:t>、邮政公司）</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五</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产业培优育强行动。</w:t>
      </w:r>
      <w:r>
        <w:rPr>
          <w:rFonts w:hint="default" w:ascii="Times New Roman" w:hAnsi="Times New Roman" w:eastAsia="仿宋_GB2312" w:cs="Times New Roman"/>
          <w:b w:val="0"/>
          <w:bCs w:val="0"/>
          <w:i w:val="0"/>
          <w:strike w:val="0"/>
          <w:color w:val="000000"/>
          <w:spacing w:val="0"/>
          <w:kern w:val="0"/>
          <w:sz w:val="32"/>
          <w:szCs w:val="32"/>
        </w:rPr>
        <w:t>以“建链补链延链强链”行动为抓手，加快物流产业链锻长板、补短板、扬优势，持续促进物流业创新升级，推动物流产业加快发展壮大。</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9</w:t>
      </w:r>
      <w:r>
        <w:rPr>
          <w:rFonts w:hint="default" w:ascii="Times New Roman" w:hAnsi="Times New Roman" w:eastAsia="仿宋_GB2312" w:cs="Times New Roman"/>
          <w:b w:val="0"/>
          <w:bCs w:val="0"/>
          <w:i w:val="0"/>
          <w:strike w:val="0"/>
          <w:color w:val="000000"/>
          <w:spacing w:val="0"/>
          <w:kern w:val="0"/>
          <w:sz w:val="32"/>
          <w:szCs w:val="32"/>
          <w:lang w:val="en-US" w:eastAsia="zh-CN"/>
        </w:rPr>
        <w:t>.加大物流市场主体培育力度。</w:t>
      </w:r>
      <w:r>
        <w:rPr>
          <w:rFonts w:hint="default" w:ascii="Times New Roman" w:hAnsi="Times New Roman" w:eastAsia="仿宋_GB2312" w:cs="Times New Roman"/>
          <w:b w:val="0"/>
          <w:bCs w:val="0"/>
          <w:i w:val="0"/>
          <w:strike w:val="0"/>
          <w:color w:val="000000"/>
          <w:spacing w:val="0"/>
          <w:kern w:val="0"/>
          <w:sz w:val="32"/>
          <w:szCs w:val="32"/>
        </w:rPr>
        <w:t>建立重点物流企业联系制度，鼓励支持骨干物流企业加大投入，做大做强，壮大企业规模，形成物流企业集团。培养支持本土物流龙头企业，充分发挥龙头企业带动作用。培育一批成长型物流企业成为新的规上企业，夯实产业基础。</w:t>
      </w:r>
      <w:r>
        <w:rPr>
          <w:rFonts w:hint="default" w:ascii="Times New Roman" w:hAnsi="Times New Roman" w:eastAsia="仿宋_GB2312" w:cs="Times New Roman"/>
          <w:b w:val="0"/>
          <w:bCs w:val="0"/>
          <w:i w:val="0"/>
          <w:strike w:val="0"/>
          <w:color w:val="000000"/>
          <w:spacing w:val="0"/>
          <w:kern w:val="0"/>
          <w:sz w:val="32"/>
          <w:szCs w:val="32"/>
          <w:highlight w:val="none"/>
        </w:rPr>
        <w:t>支持符合条件的重点</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物流</w:t>
      </w:r>
      <w:r>
        <w:rPr>
          <w:rFonts w:hint="default" w:ascii="Times New Roman" w:hAnsi="Times New Roman" w:eastAsia="仿宋_GB2312" w:cs="Times New Roman"/>
          <w:b w:val="0"/>
          <w:bCs w:val="0"/>
          <w:i w:val="0"/>
          <w:strike w:val="0"/>
          <w:color w:val="000000"/>
          <w:spacing w:val="0"/>
          <w:kern w:val="0"/>
          <w:sz w:val="32"/>
          <w:szCs w:val="32"/>
          <w:highlight w:val="none"/>
        </w:rPr>
        <w:t>项目申报国省政策资金支持。推动开展物流企业分级分类管理，对信用评价良好以上的物流企业，依法依规减少监管抽查频次，推荐申报湖南省诚信经营企业。</w:t>
      </w:r>
      <w:r>
        <w:rPr>
          <w:rFonts w:hint="default" w:ascii="Times New Roman" w:hAnsi="Times New Roman" w:eastAsia="仿宋_GB2312" w:cs="Times New Roman"/>
          <w:b w:val="0"/>
          <w:bCs w:val="0"/>
          <w:i w:val="0"/>
          <w:strike w:val="0"/>
          <w:color w:val="000000"/>
          <w:spacing w:val="0"/>
          <w:kern w:val="0"/>
          <w:sz w:val="32"/>
          <w:szCs w:val="32"/>
        </w:rPr>
        <w:t>以物流项目招商为重中之重，加大物流项目引进力度，积极引进国内外知名的快递企业、专业物流服务企业落户茶陵，鼓励本县企业与国内外物流企业合作，相关扶持或奖励按照茶陵县现有招商引资等相关政策执行，激发各类市场主体活力。</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交通运输局</w:t>
      </w:r>
      <w:r>
        <w:rPr>
          <w:rFonts w:hint="default" w:ascii="Times New Roman" w:hAnsi="Times New Roman" w:eastAsia="仿宋_GB2312" w:cs="Times New Roman"/>
          <w:b w:val="0"/>
          <w:bCs w:val="0"/>
          <w:i w:val="0"/>
          <w:strike w:val="0"/>
          <w:color w:val="000000"/>
          <w:spacing w:val="0"/>
          <w:kern w:val="0"/>
          <w:sz w:val="32"/>
          <w:szCs w:val="32"/>
        </w:rPr>
        <w:t>、商务局、财政局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6"/>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10</w:t>
      </w:r>
      <w:r>
        <w:rPr>
          <w:rFonts w:hint="default" w:ascii="Times New Roman" w:hAnsi="Times New Roman" w:eastAsia="仿宋_GB2312" w:cs="Times New Roman"/>
          <w:b w:val="0"/>
          <w:bCs w:val="0"/>
          <w:i w:val="0"/>
          <w:strike w:val="0"/>
          <w:color w:val="000000"/>
          <w:spacing w:val="0"/>
          <w:kern w:val="0"/>
          <w:sz w:val="32"/>
          <w:szCs w:val="32"/>
          <w:lang w:val="en-US" w:eastAsia="zh-CN"/>
        </w:rPr>
        <w:t>.加大优势产业与物流业融合创新发展推广力度。</w:t>
      </w:r>
      <w:r>
        <w:rPr>
          <w:rFonts w:hint="default" w:ascii="Times New Roman" w:hAnsi="Times New Roman" w:eastAsia="仿宋_GB2312" w:cs="Times New Roman"/>
          <w:b w:val="0"/>
          <w:bCs w:val="0"/>
          <w:i w:val="0"/>
          <w:strike w:val="0"/>
          <w:color w:val="000000"/>
          <w:spacing w:val="0"/>
          <w:kern w:val="0"/>
          <w:sz w:val="32"/>
          <w:szCs w:val="32"/>
        </w:rPr>
        <w:t>支持物流企业与制造</w:t>
      </w:r>
      <w:r>
        <w:rPr>
          <w:rFonts w:hint="default" w:ascii="Times New Roman" w:hAnsi="Times New Roman" w:eastAsia="仿宋_GB2312" w:cs="Times New Roman"/>
          <w:b w:val="0"/>
          <w:bCs w:val="0"/>
          <w:i w:val="0"/>
          <w:strike w:val="0"/>
          <w:color w:val="000000"/>
          <w:spacing w:val="0"/>
          <w:kern w:val="0"/>
          <w:sz w:val="32"/>
          <w:szCs w:val="32"/>
          <w:lang w:eastAsia="zh-CN"/>
        </w:rPr>
        <w:t>业</w:t>
      </w:r>
      <w:r>
        <w:rPr>
          <w:rFonts w:hint="default" w:ascii="Times New Roman" w:hAnsi="Times New Roman" w:eastAsia="仿宋_GB2312" w:cs="Times New Roman"/>
          <w:b w:val="0"/>
          <w:bCs w:val="0"/>
          <w:i w:val="0"/>
          <w:strike w:val="0"/>
          <w:color w:val="000000"/>
          <w:spacing w:val="0"/>
          <w:kern w:val="0"/>
          <w:sz w:val="32"/>
          <w:szCs w:val="32"/>
        </w:rPr>
        <w:t>企业通过市场化方式创新供应链协同共建模式，提高生产制造和物流一体化运作水平，加快发展供应链物流。鼓励发展与平台经济、低空经济、无人驾驶等结合的物流新模式；鼓励传统物流信息平台向物流供应链平台转型。通过开展优势产业尤其是推动商贸业和农业企业整合优化业务流程，分离物流业业务，进一步释放物流需求外包的业务范围，提高物流需求外包的功能层次。加强农业、农产品加工业与物流业的联动，运用供应链管理和智慧物流等先进理念和技术，重点推动大蒜、黄牛、</w:t>
      </w:r>
      <w:r>
        <w:rPr>
          <w:rFonts w:hint="default" w:ascii="Times New Roman" w:hAnsi="Times New Roman" w:eastAsia="仿宋_GB2312" w:cs="Times New Roman"/>
          <w:b w:val="0"/>
          <w:bCs w:val="0"/>
          <w:i w:val="0"/>
          <w:strike w:val="0"/>
          <w:color w:val="000000"/>
          <w:spacing w:val="0"/>
          <w:kern w:val="0"/>
          <w:sz w:val="32"/>
          <w:szCs w:val="32"/>
          <w:lang w:eastAsia="zh-CN"/>
        </w:rPr>
        <w:t>生猪</w:t>
      </w:r>
      <w:r>
        <w:rPr>
          <w:rFonts w:hint="default" w:ascii="Times New Roman" w:hAnsi="Times New Roman" w:eastAsia="仿宋_GB2312" w:cs="Times New Roman"/>
          <w:b w:val="0"/>
          <w:bCs w:val="0"/>
          <w:i w:val="0"/>
          <w:strike w:val="0"/>
          <w:color w:val="000000"/>
          <w:spacing w:val="0"/>
          <w:kern w:val="0"/>
          <w:sz w:val="32"/>
          <w:szCs w:val="32"/>
        </w:rPr>
        <w:t>、茶叶、脐橙、油茶等特色优势产业物流的创新发展，以物流集约及服务优势促进产业链资源要素</w:t>
      </w:r>
      <w:r>
        <w:rPr>
          <w:rFonts w:hint="default" w:ascii="Times New Roman" w:hAnsi="Times New Roman" w:eastAsia="仿宋_GB2312" w:cs="Times New Roman"/>
          <w:b w:val="0"/>
          <w:bCs w:val="0"/>
          <w:i w:val="0"/>
          <w:strike w:val="0"/>
          <w:color w:val="000000"/>
          <w:spacing w:val="-6"/>
          <w:kern w:val="0"/>
          <w:sz w:val="32"/>
          <w:szCs w:val="32"/>
        </w:rPr>
        <w:t>聚集，通过物流资源，不断吸引湘赣边和粤港澳大湾区相关优势产业转移到本地，提升茶陵县物流中转能力。</w:t>
      </w:r>
      <w:r>
        <w:rPr>
          <w:rFonts w:hint="default" w:ascii="Times New Roman" w:hAnsi="Times New Roman" w:eastAsia="仿宋_GB2312" w:cs="Times New Roman"/>
          <w:b w:val="0"/>
          <w:bCs w:val="0"/>
          <w:i w:val="0"/>
          <w:strike w:val="0"/>
          <w:color w:val="000000"/>
          <w:spacing w:val="-6"/>
          <w:kern w:val="0"/>
          <w:sz w:val="32"/>
          <w:szCs w:val="32"/>
          <w:lang w:eastAsia="zh-CN"/>
        </w:rPr>
        <w:t>（</w:t>
      </w:r>
      <w:r>
        <w:rPr>
          <w:rFonts w:hint="default" w:ascii="Times New Roman" w:hAnsi="Times New Roman" w:eastAsia="仿宋_GB2312" w:cs="Times New Roman"/>
          <w:b w:val="0"/>
          <w:bCs w:val="0"/>
          <w:i w:val="0"/>
          <w:strike w:val="0"/>
          <w:color w:val="000000"/>
          <w:spacing w:val="-6"/>
          <w:kern w:val="0"/>
          <w:sz w:val="32"/>
          <w:szCs w:val="32"/>
        </w:rPr>
        <w:t>责任单位：</w:t>
      </w:r>
      <w:r>
        <w:rPr>
          <w:rFonts w:hint="default" w:ascii="Times New Roman" w:hAnsi="Times New Roman" w:eastAsia="仿宋_GB2312" w:cs="Times New Roman"/>
          <w:b w:val="0"/>
          <w:bCs w:val="0"/>
          <w:i w:val="0"/>
          <w:strike w:val="0"/>
          <w:color w:val="000000"/>
          <w:spacing w:val="-6"/>
          <w:kern w:val="0"/>
          <w:sz w:val="32"/>
          <w:szCs w:val="32"/>
          <w:lang w:eastAsia="zh-CN"/>
        </w:rPr>
        <w:t>发展和改革局</w:t>
      </w:r>
      <w:r>
        <w:rPr>
          <w:rFonts w:hint="default" w:ascii="Times New Roman" w:hAnsi="Times New Roman" w:eastAsia="仿宋_GB2312" w:cs="Times New Roman"/>
          <w:b w:val="0"/>
          <w:bCs w:val="0"/>
          <w:i w:val="0"/>
          <w:strike w:val="0"/>
          <w:color w:val="000000"/>
          <w:spacing w:val="-6"/>
          <w:kern w:val="0"/>
          <w:sz w:val="32"/>
          <w:szCs w:val="32"/>
        </w:rPr>
        <w:t>、</w:t>
      </w:r>
      <w:r>
        <w:rPr>
          <w:rFonts w:hint="default" w:ascii="Times New Roman" w:hAnsi="Times New Roman" w:eastAsia="仿宋_GB2312" w:cs="Times New Roman"/>
          <w:b w:val="0"/>
          <w:bCs w:val="0"/>
          <w:i w:val="0"/>
          <w:strike w:val="0"/>
          <w:color w:val="000000"/>
          <w:spacing w:val="-6"/>
          <w:kern w:val="0"/>
          <w:sz w:val="32"/>
          <w:szCs w:val="32"/>
          <w:lang w:eastAsia="zh-CN"/>
        </w:rPr>
        <w:t>科工</w:t>
      </w:r>
      <w:r>
        <w:rPr>
          <w:rFonts w:hint="default" w:ascii="Times New Roman" w:hAnsi="Times New Roman" w:eastAsia="仿宋_GB2312" w:cs="Times New Roman"/>
          <w:b w:val="0"/>
          <w:bCs w:val="0"/>
          <w:i w:val="0"/>
          <w:strike w:val="0"/>
          <w:color w:val="000000"/>
          <w:spacing w:val="-6"/>
          <w:kern w:val="0"/>
          <w:sz w:val="32"/>
          <w:szCs w:val="32"/>
        </w:rPr>
        <w:t>局、</w:t>
      </w:r>
      <w:r>
        <w:rPr>
          <w:rFonts w:hint="default" w:ascii="Times New Roman" w:hAnsi="Times New Roman" w:eastAsia="仿宋_GB2312" w:cs="Times New Roman"/>
          <w:b w:val="0"/>
          <w:bCs w:val="0"/>
          <w:i w:val="0"/>
          <w:strike w:val="0"/>
          <w:color w:val="000000"/>
          <w:spacing w:val="-6"/>
          <w:kern w:val="0"/>
          <w:sz w:val="32"/>
          <w:szCs w:val="32"/>
          <w:lang w:eastAsia="zh-CN"/>
        </w:rPr>
        <w:t>交通运输局</w:t>
      </w:r>
      <w:r>
        <w:rPr>
          <w:rFonts w:hint="default" w:ascii="Times New Roman" w:hAnsi="Times New Roman" w:eastAsia="仿宋_GB2312" w:cs="Times New Roman"/>
          <w:b w:val="0"/>
          <w:bCs w:val="0"/>
          <w:i w:val="0"/>
          <w:strike w:val="0"/>
          <w:color w:val="000000"/>
          <w:spacing w:val="-6"/>
          <w:kern w:val="0"/>
          <w:sz w:val="32"/>
          <w:szCs w:val="32"/>
        </w:rPr>
        <w:t>、商务局</w:t>
      </w:r>
      <w:r>
        <w:rPr>
          <w:rFonts w:hint="default" w:ascii="Times New Roman" w:hAnsi="Times New Roman" w:eastAsia="仿宋_GB2312" w:cs="Times New Roman"/>
          <w:b w:val="0"/>
          <w:bCs w:val="0"/>
          <w:i w:val="0"/>
          <w:strike w:val="0"/>
          <w:color w:val="000000"/>
          <w:spacing w:val="-6"/>
          <w:kern w:val="0"/>
          <w:sz w:val="32"/>
          <w:szCs w:val="32"/>
          <w:lang w:eastAsia="zh-CN"/>
        </w:rPr>
        <w:t>、农业农村局）</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57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六</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绿色低碳行动。</w:t>
      </w:r>
      <w:r>
        <w:rPr>
          <w:rFonts w:hint="default" w:ascii="Times New Roman" w:hAnsi="Times New Roman" w:eastAsia="仿宋_GB2312" w:cs="Times New Roman"/>
          <w:b w:val="0"/>
          <w:bCs w:val="0"/>
          <w:i w:val="0"/>
          <w:strike w:val="0"/>
          <w:color w:val="000000"/>
          <w:spacing w:val="0"/>
          <w:kern w:val="0"/>
          <w:sz w:val="32"/>
          <w:szCs w:val="32"/>
        </w:rPr>
        <w:t>以碳达峰行动为抓手，加快推进物流产业绿色化、现代化，持续提升物流可持续发展能力，推动现代物流业高质量发展。</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57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1</w:t>
      </w:r>
      <w:r>
        <w:rPr>
          <w:rFonts w:hint="default" w:ascii="Times New Roman" w:hAnsi="Times New Roman" w:eastAsia="仿宋_GB2312" w:cs="Times New Roman"/>
          <w:b w:val="0"/>
          <w:bCs w:val="0"/>
          <w:i w:val="0"/>
          <w:strike w:val="0"/>
          <w:color w:val="000000"/>
          <w:spacing w:val="0"/>
          <w:kern w:val="0"/>
          <w:sz w:val="32"/>
          <w:szCs w:val="32"/>
          <w:lang w:val="en-US" w:eastAsia="zh-CN"/>
        </w:rPr>
        <w:t>1</w:t>
      </w:r>
      <w:r>
        <w:rPr>
          <w:rFonts w:hint="default" w:ascii="Times New Roman" w:hAnsi="Times New Roman" w:eastAsia="仿宋_GB2312" w:cs="Times New Roman"/>
          <w:b w:val="0"/>
          <w:bCs w:val="0"/>
          <w:i w:val="0"/>
          <w:strike w:val="0"/>
          <w:color w:val="000000"/>
          <w:spacing w:val="0"/>
          <w:kern w:val="0"/>
          <w:sz w:val="32"/>
          <w:szCs w:val="32"/>
          <w:lang w:val="en-US" w:eastAsia="zh-CN"/>
        </w:rPr>
        <w:t>.积极发展绿色物流。</w:t>
      </w:r>
      <w:r>
        <w:rPr>
          <w:rFonts w:hint="default" w:ascii="Times New Roman" w:hAnsi="Times New Roman" w:eastAsia="仿宋_GB2312" w:cs="Times New Roman"/>
          <w:b w:val="0"/>
          <w:bCs w:val="0"/>
          <w:i w:val="0"/>
          <w:strike w:val="0"/>
          <w:color w:val="000000"/>
          <w:spacing w:val="0"/>
          <w:kern w:val="0"/>
          <w:sz w:val="32"/>
          <w:szCs w:val="32"/>
          <w:lang w:eastAsia="zh-CN"/>
        </w:rPr>
        <w:t>加大</w:t>
      </w:r>
      <w:r>
        <w:rPr>
          <w:rFonts w:hint="default" w:ascii="Times New Roman" w:hAnsi="Times New Roman" w:eastAsia="仿宋_GB2312" w:cs="Times New Roman"/>
          <w:b w:val="0"/>
          <w:bCs w:val="0"/>
          <w:i w:val="0"/>
          <w:strike w:val="0"/>
          <w:color w:val="000000"/>
          <w:spacing w:val="0"/>
          <w:kern w:val="0"/>
          <w:sz w:val="32"/>
          <w:szCs w:val="32"/>
        </w:rPr>
        <w:t>新能源、清洁能源的运用，鼓励采用新能源动力的物流车辆，加大交通配套电力网络的建设，沿高速公路、物流枢纽（园区）以及配送中心规划建设新能源充电站（桩）、加气站，完善新能源车辆充电基础设施，加大新能源城市配送车辆推广应用力度</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采用节能环保的技术、装备和设施，降低物流业的总体能耗和污染物排放水平。支持研发机构与企业合作，加强绿色货运配送技术标准研发和推广使用；引导企业按规划建设绿色货运分拨、配送中心，开展集中配送、共享配送等绿色货运配送组织模式；鼓励物流园区</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企业</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实施绿色低碳技术改造，研发使用可循环绿色包装和可降解绿色包材，推动货物包装和物流器具绿色化、减量化、循环利用。</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交通运输局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科工</w:t>
      </w:r>
      <w:r>
        <w:rPr>
          <w:rFonts w:hint="default" w:ascii="Times New Roman" w:hAnsi="Times New Roman" w:eastAsia="仿宋_GB2312" w:cs="Times New Roman"/>
          <w:b w:val="0"/>
          <w:bCs w:val="0"/>
          <w:i w:val="0"/>
          <w:strike w:val="0"/>
          <w:color w:val="000000"/>
          <w:spacing w:val="0"/>
          <w:kern w:val="0"/>
          <w:sz w:val="32"/>
          <w:szCs w:val="32"/>
        </w:rPr>
        <w:t>局、商务局、生态环境局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仿宋_GB2312" w:cs="Times New Roman"/>
          <w:b w:val="0"/>
          <w:bCs w:val="0"/>
          <w:i w:val="0"/>
          <w:strike w:val="0"/>
          <w:color w:val="000000"/>
          <w:spacing w:val="0"/>
          <w:kern w:val="0"/>
          <w:sz w:val="32"/>
          <w:szCs w:val="32"/>
          <w:lang w:val="en-US" w:eastAsia="zh-CN"/>
        </w:rPr>
        <w:t>1</w:t>
      </w:r>
      <w:r>
        <w:rPr>
          <w:rFonts w:hint="default" w:ascii="Times New Roman" w:hAnsi="Times New Roman" w:eastAsia="仿宋_GB2312" w:cs="Times New Roman"/>
          <w:b w:val="0"/>
          <w:bCs w:val="0"/>
          <w:i w:val="0"/>
          <w:strike w:val="0"/>
          <w:color w:val="000000"/>
          <w:spacing w:val="0"/>
          <w:kern w:val="0"/>
          <w:sz w:val="32"/>
          <w:szCs w:val="32"/>
          <w:lang w:val="en-US" w:eastAsia="zh-CN"/>
        </w:rPr>
        <w:t>2</w:t>
      </w:r>
      <w:r>
        <w:rPr>
          <w:rFonts w:hint="default" w:ascii="Times New Roman" w:hAnsi="Times New Roman" w:eastAsia="仿宋_GB2312" w:cs="Times New Roman"/>
          <w:b w:val="0"/>
          <w:bCs w:val="0"/>
          <w:i w:val="0"/>
          <w:strike w:val="0"/>
          <w:color w:val="000000"/>
          <w:spacing w:val="0"/>
          <w:kern w:val="0"/>
          <w:sz w:val="32"/>
          <w:szCs w:val="32"/>
          <w:lang w:val="en-US" w:eastAsia="zh-CN"/>
        </w:rPr>
        <w:t>.积极发展智慧物流。</w:t>
      </w:r>
      <w:r>
        <w:rPr>
          <w:rFonts w:hint="default" w:ascii="Times New Roman" w:hAnsi="Times New Roman" w:eastAsia="仿宋_GB2312" w:cs="Times New Roman"/>
          <w:b w:val="0"/>
          <w:bCs w:val="0"/>
          <w:i w:val="0"/>
          <w:strike w:val="0"/>
          <w:color w:val="000000"/>
          <w:spacing w:val="0"/>
          <w:kern w:val="0"/>
          <w:sz w:val="32"/>
          <w:szCs w:val="32"/>
        </w:rPr>
        <w:t>加快物联网、云计算、移动互联、智能终端、GIS、GPS等现代信息技术在物流领域的应用推广。完善园区物流信息基础设施建设，实现物流园区、配送中心货运站等物流</w:t>
      </w:r>
      <w:r>
        <w:rPr>
          <w:rFonts w:hint="default" w:ascii="Times New Roman" w:hAnsi="Times New Roman" w:eastAsia="仿宋_GB2312" w:cs="Times New Roman"/>
          <w:b w:val="0"/>
          <w:bCs w:val="0"/>
          <w:i w:val="0"/>
          <w:strike w:val="0"/>
          <w:color w:val="000000"/>
          <w:spacing w:val="0"/>
          <w:kern w:val="0"/>
          <w:sz w:val="32"/>
          <w:szCs w:val="32"/>
          <w:lang w:eastAsia="zh-CN"/>
        </w:rPr>
        <w:t>节</w:t>
      </w:r>
      <w:r>
        <w:rPr>
          <w:rFonts w:hint="default" w:ascii="Times New Roman" w:hAnsi="Times New Roman" w:eastAsia="仿宋_GB2312" w:cs="Times New Roman"/>
          <w:b w:val="0"/>
          <w:bCs w:val="0"/>
          <w:i w:val="0"/>
          <w:strike w:val="0"/>
          <w:color w:val="000000"/>
          <w:spacing w:val="0"/>
          <w:kern w:val="0"/>
          <w:sz w:val="32"/>
          <w:szCs w:val="32"/>
        </w:rPr>
        <w:t>点的设施数字化，形成可感知、可视可控的智慧物流设施体系。持续开展物流标准化建设，引导和支持物流企业进行物流设施设备标准化改造。支持符合条件的物流企业拓展追踪溯源、数据分析、担保结算、融资保险、信用评价等增值服务。支持物流园区和大型仓储设施等应用物联网技术，鼓励货运车辆、站场设施加装智能设备，加快数字化终端设备的普及应用，实现物流信息采集标准化、处理电子化、交互自动化。</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经开区、</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科工</w:t>
      </w:r>
      <w:r>
        <w:rPr>
          <w:rFonts w:hint="default" w:ascii="Times New Roman" w:hAnsi="Times New Roman" w:eastAsia="仿宋_GB2312" w:cs="Times New Roman"/>
          <w:b w:val="0"/>
          <w:bCs w:val="0"/>
          <w:i w:val="0"/>
          <w:strike w:val="0"/>
          <w:color w:val="000000"/>
          <w:spacing w:val="0"/>
          <w:kern w:val="0"/>
          <w:sz w:val="32"/>
          <w:szCs w:val="32"/>
        </w:rPr>
        <w:t>局、</w:t>
      </w:r>
      <w:r>
        <w:rPr>
          <w:rFonts w:hint="default" w:ascii="Times New Roman" w:hAnsi="Times New Roman" w:eastAsia="仿宋_GB2312" w:cs="Times New Roman"/>
          <w:b w:val="0"/>
          <w:bCs w:val="0"/>
          <w:i w:val="0"/>
          <w:strike w:val="0"/>
          <w:color w:val="000000"/>
          <w:spacing w:val="0"/>
          <w:kern w:val="0"/>
          <w:sz w:val="32"/>
          <w:szCs w:val="32"/>
          <w:lang w:eastAsia="zh-CN"/>
        </w:rPr>
        <w:t>交通运输局</w:t>
      </w:r>
      <w:r>
        <w:rPr>
          <w:rFonts w:hint="default" w:ascii="Times New Roman" w:hAnsi="Times New Roman" w:eastAsia="仿宋_GB2312" w:cs="Times New Roman"/>
          <w:b w:val="0"/>
          <w:bCs w:val="0"/>
          <w:i w:val="0"/>
          <w:strike w:val="0"/>
          <w:color w:val="000000"/>
          <w:spacing w:val="0"/>
          <w:kern w:val="0"/>
          <w:sz w:val="32"/>
          <w:szCs w:val="32"/>
        </w:rPr>
        <w:t>、商务局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黑体" w:cs="Times New Roman"/>
          <w:b w:val="0"/>
          <w:bCs w:val="0"/>
          <w:i w:val="0"/>
          <w:strike w:val="0"/>
          <w:color w:val="000000"/>
          <w:spacing w:val="0"/>
          <w:kern w:val="0"/>
          <w:sz w:val="32"/>
          <w:szCs w:val="32"/>
        </w:rPr>
      </w:pPr>
      <w:r>
        <w:rPr>
          <w:rFonts w:hint="default" w:ascii="Times New Roman" w:hAnsi="Times New Roman" w:eastAsia="黑体" w:cs="Times New Roman"/>
          <w:b w:val="0"/>
          <w:bCs w:val="0"/>
          <w:i w:val="0"/>
          <w:strike w:val="0"/>
          <w:color w:val="000000"/>
          <w:spacing w:val="0"/>
          <w:kern w:val="0"/>
          <w:sz w:val="32"/>
          <w:szCs w:val="32"/>
        </w:rPr>
        <w:t>四、保障措施</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一</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强化统筹协调。</w:t>
      </w:r>
      <w:r>
        <w:rPr>
          <w:rFonts w:hint="default" w:ascii="Times New Roman" w:hAnsi="Times New Roman" w:eastAsia="仿宋_GB2312" w:cs="Times New Roman"/>
          <w:b w:val="0"/>
          <w:bCs w:val="0"/>
          <w:i w:val="0"/>
          <w:strike w:val="0"/>
          <w:color w:val="000000"/>
          <w:spacing w:val="0"/>
          <w:kern w:val="0"/>
          <w:sz w:val="32"/>
          <w:szCs w:val="32"/>
        </w:rPr>
        <w:t>积极构建物流业运行监测体系，定期协调研究解决行动实施过程中的具体困难和问题。各责任单位要建立协调推进机制，细化要求、量化指标，明确任务和年度计划；同时，加强指导、分工负责，紧密配合、共同发力，形成整体作战合力，突破性开展工作。</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茶陵县</w:t>
      </w:r>
      <w:r>
        <w:rPr>
          <w:rFonts w:hint="default" w:ascii="Times New Roman" w:hAnsi="Times New Roman" w:eastAsia="仿宋_GB2312" w:cs="Times New Roman"/>
          <w:b w:val="0"/>
          <w:bCs w:val="0"/>
          <w:i w:val="0"/>
          <w:strike w:val="0"/>
          <w:color w:val="000000"/>
          <w:spacing w:val="0"/>
          <w:kern w:val="0"/>
          <w:sz w:val="32"/>
          <w:szCs w:val="32"/>
        </w:rPr>
        <w:t>物流</w:t>
      </w:r>
      <w:r>
        <w:rPr>
          <w:rFonts w:hint="default" w:ascii="Times New Roman" w:hAnsi="Times New Roman" w:eastAsia="仿宋_GB2312" w:cs="Times New Roman"/>
          <w:b w:val="0"/>
          <w:bCs w:val="0"/>
          <w:i w:val="0"/>
          <w:strike w:val="0"/>
          <w:color w:val="000000"/>
          <w:spacing w:val="0"/>
          <w:kern w:val="0"/>
          <w:sz w:val="32"/>
          <w:szCs w:val="32"/>
          <w:lang w:eastAsia="zh-CN"/>
        </w:rPr>
        <w:t>业高质量领导小组成员</w:t>
      </w:r>
      <w:r>
        <w:rPr>
          <w:rFonts w:hint="default" w:ascii="Times New Roman" w:hAnsi="Times New Roman" w:eastAsia="仿宋_GB2312" w:cs="Times New Roman"/>
          <w:b w:val="0"/>
          <w:bCs w:val="0"/>
          <w:i w:val="0"/>
          <w:strike w:val="0"/>
          <w:color w:val="000000"/>
          <w:spacing w:val="0"/>
          <w:kern w:val="0"/>
          <w:sz w:val="32"/>
          <w:szCs w:val="32"/>
        </w:rPr>
        <w:t>单位</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 w:val="left" w:pos="924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二</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强化环境创优。</w:t>
      </w:r>
      <w:r>
        <w:rPr>
          <w:rFonts w:hint="default" w:ascii="Times New Roman" w:hAnsi="Times New Roman" w:eastAsia="仿宋_GB2312" w:cs="Times New Roman"/>
          <w:b w:val="0"/>
          <w:bCs w:val="0"/>
          <w:i w:val="0"/>
          <w:strike w:val="0"/>
          <w:color w:val="000000"/>
          <w:spacing w:val="0"/>
          <w:kern w:val="0"/>
          <w:sz w:val="32"/>
          <w:szCs w:val="32"/>
        </w:rPr>
        <w:t>持续深化“五证合一、一照一码”“先照后证”改革，全面落实货运车辆“三检合一”，推动普通货运车辆运输证审验业务全程网办，推进跨省及省内大件运输“网上办”“一次办”。进一步深入落实公路治超联合执法模式，严格执行统一的执法标准。加强物流领域收费行为监管，清理规范各类涉企收费。扎实落实高速公路差异化收费政策和鲜活农产品运输“绿色通道”政策。科学调整货运车辆禁限行路段、时段，加快制定配送车辆通行便利管理办法，</w:t>
      </w:r>
      <w:r>
        <w:rPr>
          <w:rFonts w:hint="default" w:ascii="Times New Roman" w:hAnsi="Times New Roman" w:eastAsia="仿宋_GB2312" w:cs="Times New Roman"/>
          <w:b w:val="0"/>
          <w:bCs w:val="0"/>
          <w:i w:val="0"/>
          <w:strike w:val="0"/>
          <w:color w:val="000000"/>
          <w:spacing w:val="0"/>
          <w:kern w:val="0"/>
          <w:sz w:val="32"/>
          <w:szCs w:val="32"/>
          <w:highlight w:val="none"/>
        </w:rPr>
        <w:t>合理规划城市配送车辆临时停车位。</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责任单位：交通运输局、市场监管局</w:t>
      </w:r>
      <w:r>
        <w:rPr>
          <w:rFonts w:hint="default" w:ascii="Times New Roman" w:hAnsi="Times New Roman" w:eastAsia="仿宋_GB2312" w:cs="Times New Roman"/>
          <w:b w:val="0"/>
          <w:bCs w:val="0"/>
          <w:i w:val="0"/>
          <w:strike w:val="0"/>
          <w:color w:val="000000"/>
          <w:spacing w:val="0"/>
          <w:kern w:val="0"/>
          <w:sz w:val="32"/>
          <w:szCs w:val="32"/>
          <w:highlight w:val="none"/>
        </w:rPr>
        <w:t>、</w:t>
      </w:r>
      <w:r>
        <w:rPr>
          <w:rFonts w:hint="default" w:ascii="Times New Roman" w:hAnsi="Times New Roman" w:eastAsia="仿宋_GB2312" w:cs="Times New Roman"/>
          <w:b w:val="0"/>
          <w:bCs w:val="0"/>
          <w:i w:val="0"/>
          <w:strike w:val="0"/>
          <w:color w:val="000000"/>
          <w:spacing w:val="0"/>
          <w:kern w:val="0"/>
          <w:sz w:val="32"/>
          <w:szCs w:val="32"/>
          <w:highlight w:val="none"/>
          <w:lang w:eastAsia="zh-CN"/>
        </w:rPr>
        <w:t>城管局、</w:t>
      </w:r>
      <w:r>
        <w:rPr>
          <w:rFonts w:hint="default" w:ascii="Times New Roman" w:hAnsi="Times New Roman" w:eastAsia="仿宋_GB2312" w:cs="Times New Roman"/>
          <w:b w:val="0"/>
          <w:bCs w:val="0"/>
          <w:i w:val="0"/>
          <w:strike w:val="0"/>
          <w:color w:val="000000"/>
          <w:spacing w:val="0"/>
          <w:kern w:val="0"/>
          <w:sz w:val="32"/>
          <w:szCs w:val="32"/>
        </w:rPr>
        <w:t>行政审批局、优化营商环境中心</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 w:val="left" w:pos="924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三</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强化要素保障。</w:t>
      </w:r>
      <w:r>
        <w:rPr>
          <w:rFonts w:hint="default" w:ascii="Times New Roman" w:hAnsi="Times New Roman" w:eastAsia="仿宋_GB2312" w:cs="Times New Roman"/>
          <w:b w:val="0"/>
          <w:bCs w:val="0"/>
          <w:i w:val="0"/>
          <w:strike w:val="0"/>
          <w:color w:val="000000"/>
          <w:spacing w:val="0"/>
          <w:kern w:val="0"/>
          <w:sz w:val="32"/>
          <w:szCs w:val="32"/>
        </w:rPr>
        <w:t>积极争取国省预算内资金、地方政府专项债券及各类财政专项资金，加大对降本增效突出的物流项目支持力度。鼓励金融机构借助科技手段，为物流企业精准画像，提升金融产品的适配性；积极支持物流基础设施开展REITs</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基础设施不动产投资信托基金</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试点，大力推广“信易贷”模式。探索实行产业链供地，优先保障列入省重点建设项目的物流项目用地需求，灵活运用“租让结合”“整体规划分期供应”等多种方式保障土地供应；完善“亩产论英雄”考评机制，加大全</w:t>
      </w:r>
      <w:r>
        <w:rPr>
          <w:rFonts w:hint="default" w:ascii="Times New Roman" w:hAnsi="Times New Roman" w:eastAsia="仿宋_GB2312" w:cs="Times New Roman"/>
          <w:b w:val="0"/>
          <w:bCs w:val="0"/>
          <w:i w:val="0"/>
          <w:strike w:val="0"/>
          <w:color w:val="000000"/>
          <w:spacing w:val="0"/>
          <w:kern w:val="0"/>
          <w:sz w:val="32"/>
          <w:szCs w:val="32"/>
          <w:lang w:eastAsia="zh-CN"/>
        </w:rPr>
        <w:t>县</w:t>
      </w:r>
      <w:r>
        <w:rPr>
          <w:rFonts w:hint="default" w:ascii="Times New Roman" w:hAnsi="Times New Roman" w:eastAsia="仿宋_GB2312" w:cs="Times New Roman"/>
          <w:b w:val="0"/>
          <w:bCs w:val="0"/>
          <w:i w:val="0"/>
          <w:strike w:val="0"/>
          <w:color w:val="000000"/>
          <w:spacing w:val="0"/>
          <w:kern w:val="0"/>
          <w:sz w:val="32"/>
          <w:szCs w:val="32"/>
        </w:rPr>
        <w:t>批而未供和闲置仓储物流用地盘活力度；充分利用存量资源，盘活闲置用地；物流站点建设有效结合公共停车场及公共充电场所，提高土地集约化利用水平。推动招商引资物流项目纳入项目全生命周期管理平台，协调解决征拆、用地、用能等问题，在前期评估、手续办理、工程建设等环节开展“保姆式服务”、全方位帮办代办工作，推进重大物流设施、产业项目加快落地实施、形成投资实物量。</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责任单位：财政局、</w:t>
      </w:r>
      <w:r>
        <w:rPr>
          <w:rFonts w:hint="default" w:ascii="Times New Roman" w:hAnsi="Times New Roman" w:eastAsia="仿宋_GB2312" w:cs="Times New Roman"/>
          <w:b w:val="0"/>
          <w:bCs w:val="0"/>
          <w:i w:val="0"/>
          <w:strike w:val="0"/>
          <w:color w:val="000000"/>
          <w:spacing w:val="0"/>
          <w:kern w:val="0"/>
          <w:sz w:val="32"/>
          <w:szCs w:val="32"/>
          <w:lang w:eastAsia="zh-CN"/>
        </w:rPr>
        <w:t>商务局、</w:t>
      </w:r>
      <w:r>
        <w:rPr>
          <w:rFonts w:hint="default" w:ascii="Times New Roman" w:hAnsi="Times New Roman" w:eastAsia="仿宋_GB2312" w:cs="Times New Roman"/>
          <w:b w:val="0"/>
          <w:bCs w:val="0"/>
          <w:i w:val="0"/>
          <w:strike w:val="0"/>
          <w:color w:val="000000"/>
          <w:spacing w:val="0"/>
          <w:kern w:val="0"/>
          <w:sz w:val="32"/>
          <w:szCs w:val="32"/>
        </w:rPr>
        <w:t>发展</w:t>
      </w:r>
      <w:r>
        <w:rPr>
          <w:rFonts w:hint="default" w:ascii="Times New Roman" w:hAnsi="Times New Roman" w:eastAsia="仿宋_GB2312" w:cs="Times New Roman"/>
          <w:b w:val="0"/>
          <w:bCs w:val="0"/>
          <w:i w:val="0"/>
          <w:strike w:val="0"/>
          <w:color w:val="000000"/>
          <w:spacing w:val="0"/>
          <w:kern w:val="0"/>
          <w:sz w:val="32"/>
          <w:szCs w:val="32"/>
          <w:lang w:eastAsia="zh-CN"/>
        </w:rPr>
        <w:t>和</w:t>
      </w:r>
      <w:r>
        <w:rPr>
          <w:rFonts w:hint="default" w:ascii="Times New Roman" w:hAnsi="Times New Roman" w:eastAsia="仿宋_GB2312" w:cs="Times New Roman"/>
          <w:b w:val="0"/>
          <w:bCs w:val="0"/>
          <w:i w:val="0"/>
          <w:strike w:val="0"/>
          <w:color w:val="000000"/>
          <w:spacing w:val="0"/>
          <w:kern w:val="0"/>
          <w:sz w:val="32"/>
          <w:szCs w:val="32"/>
        </w:rPr>
        <w:t>改革</w:t>
      </w:r>
      <w:r>
        <w:rPr>
          <w:rFonts w:hint="default" w:ascii="Times New Roman" w:hAnsi="Times New Roman" w:eastAsia="仿宋_GB2312" w:cs="Times New Roman"/>
          <w:b w:val="0"/>
          <w:bCs w:val="0"/>
          <w:i w:val="0"/>
          <w:strike w:val="0"/>
          <w:color w:val="000000"/>
          <w:spacing w:val="0"/>
          <w:kern w:val="0"/>
          <w:sz w:val="32"/>
          <w:szCs w:val="32"/>
          <w:lang w:eastAsia="zh-CN"/>
        </w:rPr>
        <w:t>局</w:t>
      </w:r>
      <w:r>
        <w:rPr>
          <w:rFonts w:hint="default" w:ascii="Times New Roman" w:hAnsi="Times New Roman" w:eastAsia="仿宋_GB2312" w:cs="Times New Roman"/>
          <w:b w:val="0"/>
          <w:bCs w:val="0"/>
          <w:i w:val="0"/>
          <w:strike w:val="0"/>
          <w:color w:val="000000"/>
          <w:spacing w:val="0"/>
          <w:kern w:val="0"/>
          <w:sz w:val="32"/>
          <w:szCs w:val="32"/>
        </w:rPr>
        <w:t>、金融办、自然资源局、</w:t>
      </w:r>
      <w:r>
        <w:rPr>
          <w:rFonts w:hint="default" w:ascii="Times New Roman" w:hAnsi="Times New Roman" w:eastAsia="仿宋_GB2312" w:cs="Times New Roman"/>
          <w:b w:val="0"/>
          <w:bCs w:val="0"/>
          <w:i w:val="0"/>
          <w:strike w:val="0"/>
          <w:color w:val="000000"/>
          <w:spacing w:val="0"/>
          <w:kern w:val="0"/>
          <w:sz w:val="32"/>
          <w:szCs w:val="32"/>
          <w:lang w:eastAsia="zh-CN"/>
        </w:rPr>
        <w:t>科工局</w:t>
      </w:r>
      <w:r>
        <w:rPr>
          <w:rFonts w:hint="default" w:ascii="Times New Roman" w:hAnsi="Times New Roman" w:eastAsia="仿宋_GB2312" w:cs="Times New Roman"/>
          <w:b w:val="0"/>
          <w:bCs w:val="0"/>
          <w:i w:val="0"/>
          <w:strike w:val="0"/>
          <w:color w:val="000000"/>
          <w:spacing w:val="0"/>
          <w:kern w:val="0"/>
          <w:sz w:val="32"/>
          <w:szCs w:val="32"/>
        </w:rPr>
        <w:t>、住建局、行政审批局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四</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强化人才引培。</w:t>
      </w:r>
      <w:r>
        <w:rPr>
          <w:rFonts w:hint="default" w:ascii="Times New Roman" w:hAnsi="Times New Roman" w:eastAsia="仿宋_GB2312" w:cs="Times New Roman"/>
          <w:b w:val="0"/>
          <w:bCs w:val="0"/>
          <w:i w:val="0"/>
          <w:strike w:val="0"/>
          <w:color w:val="000000"/>
          <w:spacing w:val="0"/>
          <w:kern w:val="0"/>
          <w:sz w:val="32"/>
          <w:szCs w:val="32"/>
        </w:rPr>
        <w:t>根据茶陵县的实际情况，重点培训储存管理、运输组织、货运代理、系统管理等物流管理人才。将高级物流专业人才列入茶陵县紧缺急需人才引进目录，对引进的高级物流专业人才，享受引进人才政策规定的相关待遇。依托院校、相关培训机构</w:t>
      </w:r>
      <w:r>
        <w:rPr>
          <w:rFonts w:hint="default" w:ascii="Times New Roman" w:hAnsi="Times New Roman" w:eastAsia="仿宋_GB2312" w:cs="Times New Roman"/>
          <w:b w:val="0"/>
          <w:bCs w:val="0"/>
          <w:i w:val="0"/>
          <w:strike w:val="0"/>
          <w:color w:val="000000"/>
          <w:spacing w:val="0"/>
          <w:kern w:val="0"/>
          <w:sz w:val="32"/>
          <w:szCs w:val="32"/>
          <w:lang w:eastAsia="zh-CN"/>
        </w:rPr>
        <w:t>组织物流相关工种职业技能培训，鼓励引导在茶陵县参保的工商企业、物流企业在职人员参加物流行业技能提升培训，对获得相关职业资格证书或职业技能等级证书且符合相应条件人员发放技能提升补贴</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w:t>
      </w:r>
      <w:r>
        <w:rPr>
          <w:rFonts w:hint="default" w:ascii="Times New Roman" w:hAnsi="Times New Roman" w:eastAsia="仿宋_GB2312" w:cs="Times New Roman"/>
          <w:b w:val="0"/>
          <w:bCs w:val="0"/>
          <w:i w:val="0"/>
          <w:strike w:val="0"/>
          <w:color w:val="000000"/>
          <w:spacing w:val="0"/>
          <w:kern w:val="0"/>
          <w:sz w:val="32"/>
          <w:szCs w:val="32"/>
          <w:lang w:eastAsia="zh-CN"/>
        </w:rPr>
        <w:t>组织部、</w:t>
      </w:r>
      <w:r>
        <w:rPr>
          <w:rFonts w:hint="default" w:ascii="Times New Roman" w:hAnsi="Times New Roman" w:eastAsia="仿宋_GB2312" w:cs="Times New Roman"/>
          <w:b w:val="0"/>
          <w:bCs w:val="0"/>
          <w:i w:val="0"/>
          <w:strike w:val="0"/>
          <w:color w:val="000000"/>
          <w:spacing w:val="0"/>
          <w:kern w:val="0"/>
          <w:sz w:val="32"/>
          <w:szCs w:val="32"/>
        </w:rPr>
        <w:t>教育局、人社局</w:t>
      </w:r>
      <w:r>
        <w:rPr>
          <w:rFonts w:hint="default" w:ascii="Times New Roman" w:hAnsi="Times New Roman" w:eastAsia="仿宋_GB2312" w:cs="Times New Roman"/>
          <w:b w:val="0"/>
          <w:bCs w:val="0"/>
          <w:i w:val="0"/>
          <w:strike w:val="0"/>
          <w:color w:val="000000"/>
          <w:spacing w:val="0"/>
          <w:kern w:val="0"/>
          <w:sz w:val="32"/>
          <w:szCs w:val="32"/>
          <w:lang w:eastAsia="zh-CN"/>
        </w:rPr>
        <w:t>）</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i w:val="0"/>
          <w:strike w:val="0"/>
          <w:color w:val="000000"/>
          <w:spacing w:val="0"/>
          <w:kern w:val="0"/>
          <w:sz w:val="32"/>
          <w:szCs w:val="32"/>
          <w:lang w:eastAsia="zh-CN"/>
        </w:rPr>
      </w:pP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五</w:t>
      </w:r>
      <w:r>
        <w:rPr>
          <w:rFonts w:hint="default" w:ascii="Times New Roman" w:hAnsi="Times New Roman" w:eastAsia="楷体" w:cs="Times New Roman"/>
          <w:b w:val="0"/>
          <w:bCs w:val="0"/>
          <w:i w:val="0"/>
          <w:strike w:val="0"/>
          <w:color w:val="000000"/>
          <w:spacing w:val="0"/>
          <w:kern w:val="0"/>
          <w:sz w:val="32"/>
          <w:szCs w:val="32"/>
          <w:lang w:eastAsia="zh-CN"/>
        </w:rPr>
        <w:t>）</w:t>
      </w:r>
      <w:r>
        <w:rPr>
          <w:rFonts w:hint="default" w:ascii="Times New Roman" w:hAnsi="Times New Roman" w:eastAsia="楷体" w:cs="Times New Roman"/>
          <w:b w:val="0"/>
          <w:bCs w:val="0"/>
          <w:i w:val="0"/>
          <w:strike w:val="0"/>
          <w:color w:val="000000"/>
          <w:spacing w:val="0"/>
          <w:kern w:val="0"/>
          <w:sz w:val="32"/>
          <w:szCs w:val="32"/>
        </w:rPr>
        <w:t>强化基础工作。</w:t>
      </w:r>
      <w:r>
        <w:rPr>
          <w:rFonts w:hint="default" w:ascii="Times New Roman" w:hAnsi="Times New Roman" w:eastAsia="仿宋_GB2312" w:cs="Times New Roman"/>
          <w:b w:val="0"/>
          <w:bCs w:val="0"/>
          <w:i w:val="0"/>
          <w:strike w:val="0"/>
          <w:color w:val="000000"/>
          <w:spacing w:val="0"/>
          <w:kern w:val="0"/>
          <w:sz w:val="32"/>
          <w:szCs w:val="32"/>
        </w:rPr>
        <w:t>严格落实社会物流统计调查制度，加快构建物流业发展科学评估体系，确保物流业数据应统尽统，真实反映</w:t>
      </w:r>
      <w:r>
        <w:rPr>
          <w:rFonts w:hint="default" w:ascii="Times New Roman" w:hAnsi="Times New Roman" w:eastAsia="仿宋_GB2312" w:cs="Times New Roman"/>
          <w:b w:val="0"/>
          <w:bCs w:val="0"/>
          <w:i w:val="0"/>
          <w:strike w:val="0"/>
          <w:color w:val="000000"/>
          <w:spacing w:val="0"/>
          <w:kern w:val="0"/>
          <w:sz w:val="32"/>
          <w:szCs w:val="32"/>
          <w:lang w:eastAsia="zh-CN"/>
        </w:rPr>
        <w:t>茶陵县</w:t>
      </w:r>
      <w:r>
        <w:rPr>
          <w:rFonts w:hint="default" w:ascii="Times New Roman" w:hAnsi="Times New Roman" w:eastAsia="仿宋_GB2312" w:cs="Times New Roman"/>
          <w:b w:val="0"/>
          <w:bCs w:val="0"/>
          <w:i w:val="0"/>
          <w:strike w:val="0"/>
          <w:color w:val="000000"/>
          <w:spacing w:val="0"/>
          <w:kern w:val="0"/>
          <w:sz w:val="32"/>
          <w:szCs w:val="32"/>
        </w:rPr>
        <w:t>物流业发展水平。健全物流诚信体系，完善物流企业及相关责任主体守信激励和失信惩戒机制，强化物流信用记录应用，培育物流信用服务机构。引导支持企业加快技术创新和服务创新，加强内部管理，提升物流服务水平，共同推动物流业健康有序发展。</w:t>
      </w:r>
      <w:r>
        <w:rPr>
          <w:rFonts w:hint="default" w:ascii="Times New Roman" w:hAnsi="Times New Roman" w:eastAsia="仿宋_GB2312" w:cs="Times New Roman"/>
          <w:b w:val="0"/>
          <w:bCs w:val="0"/>
          <w:i w:val="0"/>
          <w:strike w:val="0"/>
          <w:color w:val="000000"/>
          <w:spacing w:val="0"/>
          <w:kern w:val="0"/>
          <w:sz w:val="32"/>
          <w:szCs w:val="32"/>
          <w:lang w:eastAsia="zh-CN"/>
        </w:rPr>
        <w:t>（</w:t>
      </w:r>
      <w:r>
        <w:rPr>
          <w:rFonts w:hint="default" w:ascii="Times New Roman" w:hAnsi="Times New Roman" w:eastAsia="仿宋_GB2312" w:cs="Times New Roman"/>
          <w:b w:val="0"/>
          <w:bCs w:val="0"/>
          <w:i w:val="0"/>
          <w:strike w:val="0"/>
          <w:color w:val="000000"/>
          <w:spacing w:val="0"/>
          <w:kern w:val="0"/>
          <w:sz w:val="32"/>
          <w:szCs w:val="32"/>
        </w:rPr>
        <w:t>责任单位：统计局、</w:t>
      </w:r>
      <w:r>
        <w:rPr>
          <w:rFonts w:hint="default" w:ascii="Times New Roman" w:hAnsi="Times New Roman" w:eastAsia="仿宋_GB2312" w:cs="Times New Roman"/>
          <w:b w:val="0"/>
          <w:bCs w:val="0"/>
          <w:i w:val="0"/>
          <w:strike w:val="0"/>
          <w:color w:val="000000"/>
          <w:spacing w:val="0"/>
          <w:kern w:val="0"/>
          <w:sz w:val="32"/>
          <w:szCs w:val="32"/>
          <w:lang w:eastAsia="zh-CN"/>
        </w:rPr>
        <w:t>发展和改革局</w:t>
      </w:r>
      <w:r>
        <w:rPr>
          <w:rFonts w:hint="default" w:ascii="Times New Roman" w:hAnsi="Times New Roman" w:eastAsia="仿宋_GB2312" w:cs="Times New Roman"/>
          <w:b w:val="0"/>
          <w:bCs w:val="0"/>
          <w:i w:val="0"/>
          <w:strike w:val="0"/>
          <w:color w:val="000000"/>
          <w:spacing w:val="0"/>
          <w:kern w:val="0"/>
          <w:sz w:val="32"/>
          <w:szCs w:val="32"/>
        </w:rPr>
        <w:t>，</w:t>
      </w:r>
      <w:r>
        <w:rPr>
          <w:rFonts w:hint="default" w:ascii="Times New Roman" w:hAnsi="Times New Roman" w:eastAsia="仿宋_GB2312" w:cs="Times New Roman"/>
          <w:b w:val="0"/>
          <w:bCs w:val="0"/>
          <w:i w:val="0"/>
          <w:strike w:val="0"/>
          <w:color w:val="000000"/>
          <w:spacing w:val="0"/>
          <w:kern w:val="0"/>
          <w:sz w:val="32"/>
          <w:szCs w:val="32"/>
          <w:lang w:eastAsia="zh-CN"/>
        </w:rPr>
        <w:t>商务局，交通局）</w:t>
      </w:r>
    </w:p>
    <w:p>
      <w:pPr>
        <w:keepNext w:val="0"/>
        <w:keepLines w:val="0"/>
        <w:pageBreakBefore w:val="0"/>
        <w:widowControl w:val="0"/>
        <w:tabs>
          <w:tab w:val="left" w:pos="8820"/>
        </w:tabs>
        <w:kinsoku/>
        <w:wordWrap/>
        <w:overflowPunct w:val="0"/>
        <w:topLinePunct w:val="0"/>
        <w:autoSpaceDE/>
        <w:autoSpaceDN/>
        <w:bidi w:val="0"/>
        <w:adjustRightInd w:val="0"/>
        <w:snapToGrid w:val="0"/>
        <w:spacing w:line="600" w:lineRule="exact"/>
        <w:ind w:left="0" w:leftChars="0" w:right="0" w:rightChars="0" w:firstLine="641" w:firstLineChars="0"/>
        <w:jc w:val="both"/>
        <w:textAlignment w:val="auto"/>
        <w:rPr>
          <w:rFonts w:hint="default" w:ascii="Times New Roman" w:hAnsi="Times New Roman" w:eastAsia="仿宋_GB2312" w:cs="Times New Roman"/>
          <w:b w:val="0"/>
          <w:bCs w:val="0"/>
          <w:spacing w:val="-6"/>
          <w:kern w:val="0"/>
          <w:sz w:val="32"/>
          <w:szCs w:val="32"/>
        </w:rPr>
      </w:pPr>
      <w:r>
        <w:rPr>
          <w:rFonts w:hint="default" w:ascii="Times New Roman" w:hAnsi="Times New Roman" w:eastAsia="楷体" w:cs="Times New Roman"/>
          <w:b w:val="0"/>
          <w:bCs w:val="0"/>
          <w:i w:val="0"/>
          <w:strike w:val="0"/>
          <w:color w:val="000000"/>
          <w:spacing w:val="0"/>
          <w:kern w:val="0"/>
          <w:sz w:val="32"/>
          <w:szCs w:val="32"/>
          <w:lang w:eastAsia="zh-CN"/>
        </w:rPr>
        <w:t>（六）</w:t>
      </w:r>
      <w:r>
        <w:rPr>
          <w:rFonts w:hint="default" w:ascii="Times New Roman" w:hAnsi="Times New Roman" w:eastAsia="楷体" w:cs="Times New Roman"/>
          <w:b w:val="0"/>
          <w:bCs w:val="0"/>
          <w:i w:val="0"/>
          <w:strike w:val="0"/>
          <w:color w:val="000000"/>
          <w:spacing w:val="0"/>
          <w:kern w:val="0"/>
          <w:sz w:val="32"/>
          <w:szCs w:val="32"/>
        </w:rPr>
        <w:t>强化宣传引导。</w:t>
      </w:r>
      <w:r>
        <w:rPr>
          <w:rFonts w:hint="default" w:ascii="Times New Roman" w:hAnsi="Times New Roman" w:eastAsia="仿宋_GB2312" w:cs="Times New Roman"/>
          <w:b w:val="0"/>
          <w:bCs w:val="0"/>
          <w:i w:val="0"/>
          <w:strike w:val="0"/>
          <w:color w:val="000000"/>
          <w:spacing w:val="0"/>
          <w:kern w:val="0"/>
          <w:sz w:val="32"/>
          <w:szCs w:val="32"/>
        </w:rPr>
        <w:t>各责任单位要充分运用</w:t>
      </w:r>
      <w:r>
        <w:rPr>
          <w:rFonts w:hint="default" w:ascii="Times New Roman" w:hAnsi="Times New Roman" w:eastAsia="仿宋_GB2312" w:cs="Times New Roman"/>
          <w:b w:val="0"/>
          <w:bCs w:val="0"/>
          <w:i w:val="0"/>
          <w:strike w:val="0"/>
          <w:color w:val="000000"/>
          <w:spacing w:val="0"/>
          <w:kern w:val="0"/>
          <w:sz w:val="32"/>
          <w:szCs w:val="32"/>
          <w:lang w:eastAsia="zh-CN"/>
        </w:rPr>
        <w:t>报刊</w:t>
      </w:r>
      <w:r>
        <w:rPr>
          <w:rFonts w:hint="default" w:ascii="Times New Roman" w:hAnsi="Times New Roman" w:eastAsia="仿宋_GB2312" w:cs="Times New Roman"/>
          <w:b w:val="0"/>
          <w:bCs w:val="0"/>
          <w:i w:val="0"/>
          <w:strike w:val="0"/>
          <w:color w:val="000000"/>
          <w:spacing w:val="0"/>
          <w:kern w:val="0"/>
          <w:sz w:val="32"/>
          <w:szCs w:val="32"/>
        </w:rPr>
        <w:t>、电视广播等传统媒体和网络平台、自媒体视频等新媒体，加快</w:t>
      </w:r>
      <w:r>
        <w:rPr>
          <w:rFonts w:hint="default" w:ascii="Times New Roman" w:hAnsi="Times New Roman" w:eastAsia="仿宋_GB2312" w:cs="Times New Roman"/>
          <w:b w:val="0"/>
          <w:bCs w:val="0"/>
          <w:i w:val="0"/>
          <w:strike w:val="0"/>
          <w:color w:val="000000"/>
          <w:spacing w:val="0"/>
          <w:kern w:val="0"/>
          <w:sz w:val="32"/>
          <w:szCs w:val="32"/>
          <w:lang w:eastAsia="zh-CN"/>
        </w:rPr>
        <w:t>构建</w:t>
      </w:r>
      <w:r>
        <w:rPr>
          <w:rFonts w:hint="default" w:ascii="Times New Roman" w:hAnsi="Times New Roman" w:eastAsia="仿宋_GB2312" w:cs="Times New Roman"/>
          <w:b w:val="0"/>
          <w:bCs w:val="0"/>
          <w:i w:val="0"/>
          <w:strike w:val="0"/>
          <w:color w:val="000000"/>
          <w:spacing w:val="0"/>
          <w:kern w:val="0"/>
          <w:sz w:val="32"/>
          <w:szCs w:val="32"/>
        </w:rPr>
        <w:t>多元化、多级化宣传网络架构。同时，采用典型宣传、主题宣传、标</w:t>
      </w:r>
      <w:r>
        <w:rPr>
          <w:rFonts w:hint="default" w:ascii="Times New Roman" w:hAnsi="Times New Roman" w:eastAsia="仿宋_GB2312" w:cs="Times New Roman"/>
          <w:b w:val="0"/>
          <w:bCs w:val="0"/>
          <w:i w:val="0"/>
          <w:strike w:val="0"/>
          <w:color w:val="000000"/>
          <w:spacing w:val="-6"/>
          <w:kern w:val="0"/>
          <w:sz w:val="32"/>
          <w:szCs w:val="32"/>
        </w:rPr>
        <w:t>志性</w:t>
      </w:r>
      <w:r>
        <w:rPr>
          <w:rFonts w:hint="default" w:ascii="Times New Roman" w:hAnsi="Times New Roman" w:eastAsia="仿宋_GB2312" w:cs="Times New Roman"/>
          <w:b w:val="0"/>
          <w:bCs w:val="0"/>
          <w:i w:val="0"/>
          <w:strike w:val="0"/>
          <w:color w:val="000000"/>
          <w:spacing w:val="-6"/>
          <w:kern w:val="0"/>
          <w:sz w:val="32"/>
          <w:szCs w:val="32"/>
          <w:lang w:eastAsia="zh-CN"/>
        </w:rPr>
        <w:t>（</w:t>
      </w:r>
      <w:r>
        <w:rPr>
          <w:rFonts w:hint="default" w:ascii="Times New Roman" w:hAnsi="Times New Roman" w:eastAsia="仿宋_GB2312" w:cs="Times New Roman"/>
          <w:b w:val="0"/>
          <w:bCs w:val="0"/>
          <w:i w:val="0"/>
          <w:strike w:val="0"/>
          <w:color w:val="000000"/>
          <w:spacing w:val="-6"/>
          <w:kern w:val="0"/>
          <w:sz w:val="32"/>
          <w:szCs w:val="32"/>
        </w:rPr>
        <w:t>事件、工程项目</w:t>
      </w:r>
      <w:r>
        <w:rPr>
          <w:rFonts w:hint="default" w:ascii="Times New Roman" w:hAnsi="Times New Roman" w:eastAsia="仿宋_GB2312" w:cs="Times New Roman"/>
          <w:b w:val="0"/>
          <w:bCs w:val="0"/>
          <w:i w:val="0"/>
          <w:strike w:val="0"/>
          <w:color w:val="000000"/>
          <w:spacing w:val="-6"/>
          <w:kern w:val="0"/>
          <w:sz w:val="32"/>
          <w:szCs w:val="32"/>
          <w:lang w:eastAsia="zh-CN"/>
        </w:rPr>
        <w:t>）</w:t>
      </w:r>
      <w:r>
        <w:rPr>
          <w:rFonts w:hint="default" w:ascii="Times New Roman" w:hAnsi="Times New Roman" w:eastAsia="仿宋_GB2312" w:cs="Times New Roman"/>
          <w:b w:val="0"/>
          <w:bCs w:val="0"/>
          <w:i w:val="0"/>
          <w:strike w:val="0"/>
          <w:color w:val="000000"/>
          <w:spacing w:val="-6"/>
          <w:kern w:val="0"/>
          <w:sz w:val="32"/>
          <w:szCs w:val="32"/>
        </w:rPr>
        <w:t>宣传等多形式，推动宣传有力度、有声势、有创新，让氛围营造更浓厚、示范作用更突出、</w:t>
      </w:r>
      <w:r>
        <w:rPr>
          <w:rFonts w:hint="default" w:ascii="Times New Roman" w:hAnsi="Times New Roman" w:eastAsia="仿宋_GB2312" w:cs="Times New Roman"/>
          <w:b w:val="0"/>
          <w:bCs w:val="0"/>
          <w:i w:val="0"/>
          <w:strike w:val="0"/>
          <w:color w:val="000000"/>
          <w:spacing w:val="-6"/>
          <w:kern w:val="0"/>
          <w:sz w:val="32"/>
          <w:szCs w:val="32"/>
          <w:lang w:eastAsia="zh-CN"/>
        </w:rPr>
        <w:t>茶陵</w:t>
      </w:r>
      <w:r>
        <w:rPr>
          <w:rFonts w:hint="default" w:ascii="Times New Roman" w:hAnsi="Times New Roman" w:eastAsia="仿宋_GB2312" w:cs="Times New Roman"/>
          <w:b w:val="0"/>
          <w:bCs w:val="0"/>
          <w:i w:val="0"/>
          <w:strike w:val="0"/>
          <w:color w:val="000000"/>
          <w:spacing w:val="-6"/>
          <w:kern w:val="0"/>
          <w:sz w:val="32"/>
          <w:szCs w:val="32"/>
        </w:rPr>
        <w:t>声音更响亮，促进形成各界共识、凝聚各方合力，共助</w:t>
      </w:r>
      <w:r>
        <w:rPr>
          <w:rFonts w:hint="default" w:ascii="Times New Roman" w:hAnsi="Times New Roman" w:eastAsia="仿宋_GB2312" w:cs="Times New Roman"/>
          <w:b w:val="0"/>
          <w:bCs w:val="0"/>
          <w:i w:val="0"/>
          <w:strike w:val="0"/>
          <w:color w:val="000000"/>
          <w:spacing w:val="-6"/>
          <w:kern w:val="0"/>
          <w:sz w:val="32"/>
          <w:szCs w:val="32"/>
          <w:lang w:eastAsia="zh-CN"/>
        </w:rPr>
        <w:t>茶陵县</w:t>
      </w:r>
      <w:r>
        <w:rPr>
          <w:rFonts w:hint="default" w:ascii="Times New Roman" w:hAnsi="Times New Roman" w:eastAsia="仿宋_GB2312" w:cs="Times New Roman"/>
          <w:b w:val="0"/>
          <w:bCs w:val="0"/>
          <w:i w:val="0"/>
          <w:strike w:val="0"/>
          <w:color w:val="000000"/>
          <w:spacing w:val="-6"/>
          <w:kern w:val="0"/>
          <w:sz w:val="32"/>
          <w:szCs w:val="32"/>
        </w:rPr>
        <w:t>物流业驶上高质量发展“快车道”。</w:t>
      </w:r>
      <w:r>
        <w:rPr>
          <w:rFonts w:hint="default" w:ascii="Times New Roman" w:hAnsi="Times New Roman" w:eastAsia="仿宋_GB2312" w:cs="Times New Roman"/>
          <w:b w:val="0"/>
          <w:bCs w:val="0"/>
          <w:i w:val="0"/>
          <w:strike w:val="0"/>
          <w:color w:val="000000"/>
          <w:spacing w:val="-6"/>
          <w:kern w:val="0"/>
          <w:sz w:val="32"/>
          <w:szCs w:val="32"/>
          <w:lang w:eastAsia="zh-CN"/>
        </w:rPr>
        <w:t>（</w:t>
      </w:r>
      <w:bookmarkStart w:id="0" w:name="_GoBack"/>
      <w:bookmarkEnd w:id="0"/>
      <w:r>
        <w:rPr>
          <w:rFonts w:hint="default" w:ascii="Times New Roman" w:hAnsi="Times New Roman" w:eastAsia="仿宋_GB2312" w:cs="Times New Roman"/>
          <w:b w:val="0"/>
          <w:bCs w:val="0"/>
          <w:i w:val="0"/>
          <w:strike w:val="0"/>
          <w:color w:val="000000"/>
          <w:spacing w:val="-6"/>
          <w:kern w:val="0"/>
          <w:sz w:val="32"/>
          <w:szCs w:val="32"/>
        </w:rPr>
        <w:t>责任单位：各有关单位</w:t>
      </w:r>
      <w:r>
        <w:rPr>
          <w:rFonts w:hint="default" w:ascii="Times New Roman" w:hAnsi="Times New Roman" w:eastAsia="仿宋_GB2312" w:cs="Times New Roman"/>
          <w:b w:val="0"/>
          <w:bCs w:val="0"/>
          <w:i w:val="0"/>
          <w:strike w:val="0"/>
          <w:color w:val="000000"/>
          <w:spacing w:val="-6"/>
          <w:kern w:val="0"/>
          <w:sz w:val="32"/>
          <w:szCs w:val="32"/>
          <w:lang w:eastAsia="zh-CN"/>
        </w:rPr>
        <w:t>）</w:t>
      </w:r>
    </w:p>
    <w:sectPr>
      <w:footerReference r:id="rId3" w:type="default"/>
      <w:pgSz w:w="11900" w:h="16840"/>
      <w:pgMar w:top="2098" w:right="1531" w:bottom="1984" w:left="1531" w:header="720" w:footer="1587" w:gutter="0"/>
      <w:paperSrc/>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5B52655-3C6B-4542-89A7-60F3F5DA2C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B95C612-D45F-47F6-9FBA-0CD8193104FA}"/>
  </w:font>
  <w:font w:name="楷体">
    <w:panose1 w:val="02010609060101010101"/>
    <w:charset w:val="86"/>
    <w:family w:val="auto"/>
    <w:pitch w:val="default"/>
    <w:sig w:usb0="800002BF" w:usb1="38CF7CFA" w:usb2="00000016" w:usb3="00000000" w:csb0="00040001" w:csb1="00000000"/>
    <w:embedRegular r:id="rId3" w:fontKey="{000AB4D8-06A5-424E-BCC5-CFBDAF02DE6E}"/>
  </w:font>
  <w:font w:name="等线">
    <w:panose1 w:val="02010600030101010101"/>
    <w:charset w:val="86"/>
    <w:family w:val="auto"/>
    <w:pitch w:val="default"/>
    <w:sig w:usb0="A00002BF" w:usb1="38CF7CFA" w:usb2="00000016" w:usb3="00000000" w:csb0="0004000F" w:csb1="00000000"/>
    <w:embedRegular r:id="rId4" w:fontKey="{BAE9C2DA-D52E-45F4-8642-7EB3CE947D0A}"/>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68E9051F-A27E-431B-9435-1586519687EB}"/>
  </w:font>
  <w:font w:name="仿宋_GB2312">
    <w:panose1 w:val="02010609030101010101"/>
    <w:charset w:val="86"/>
    <w:family w:val="auto"/>
    <w:pitch w:val="default"/>
    <w:sig w:usb0="00000001" w:usb1="080E0000" w:usb2="00000000" w:usb3="00000000" w:csb0="00040000" w:csb1="00000000"/>
    <w:embedRegular r:id="rId6" w:fontKey="{87EA4613-02CA-4580-817E-4CD7B8752A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Style w:val="13"/>
                              <w:rFonts w:hint="eastAsia" w:ascii="宋体" w:hAnsi="宋体" w:eastAsia="宋体"/>
                              <w:sz w:val="28"/>
                            </w:rPr>
                          </w:pPr>
                          <w:r>
                            <w:rPr>
                              <w:rStyle w:val="13"/>
                              <w:rFonts w:hint="eastAsia" w:ascii="宋体" w:hAnsi="宋体" w:eastAsia="宋体"/>
                              <w:sz w:val="28"/>
                            </w:rPr>
                            <w:t xml:space="preserve">— </w:t>
                          </w:r>
                          <w:r>
                            <w:rPr>
                              <w:rStyle w:val="13"/>
                              <w:rFonts w:ascii="宋体" w:hAnsi="宋体" w:eastAsia="宋体"/>
                              <w:sz w:val="28"/>
                            </w:rPr>
                            <w:fldChar w:fldCharType="begin"/>
                          </w:r>
                          <w:r>
                            <w:rPr>
                              <w:rStyle w:val="13"/>
                              <w:rFonts w:ascii="宋体" w:hAnsi="宋体" w:eastAsia="宋体"/>
                              <w:sz w:val="28"/>
                            </w:rPr>
                            <w:instrText xml:space="preserve">PAGE  </w:instrText>
                          </w:r>
                          <w:r>
                            <w:rPr>
                              <w:rStyle w:val="13"/>
                              <w:rFonts w:ascii="宋体" w:hAnsi="宋体" w:eastAsia="宋体"/>
                              <w:sz w:val="28"/>
                            </w:rPr>
                            <w:fldChar w:fldCharType="separate"/>
                          </w:r>
                          <w:r>
                            <w:rPr>
                              <w:rStyle w:val="13"/>
                              <w:rFonts w:ascii="宋体" w:hAnsi="宋体" w:eastAsia="宋体"/>
                              <w:sz w:val="28"/>
                            </w:rPr>
                            <w:t>1</w:t>
                          </w:r>
                          <w:r>
                            <w:rPr>
                              <w:rStyle w:val="13"/>
                              <w:rFonts w:ascii="宋体" w:hAnsi="宋体" w:eastAsia="宋体"/>
                              <w:sz w:val="28"/>
                            </w:rPr>
                            <w:fldChar w:fldCharType="end"/>
                          </w:r>
                          <w:r>
                            <w:rPr>
                              <w:rStyle w:val="13"/>
                              <w:rFonts w:hint="eastAsia"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9"/>
                      <w:rPr>
                        <w:rStyle w:val="13"/>
                        <w:rFonts w:hint="eastAsia" w:ascii="宋体" w:hAnsi="宋体" w:eastAsia="宋体"/>
                        <w:sz w:val="28"/>
                      </w:rPr>
                    </w:pPr>
                    <w:r>
                      <w:rPr>
                        <w:rStyle w:val="13"/>
                        <w:rFonts w:hint="eastAsia" w:ascii="宋体" w:hAnsi="宋体" w:eastAsia="宋体"/>
                        <w:sz w:val="28"/>
                      </w:rPr>
                      <w:t xml:space="preserve">— </w:t>
                    </w:r>
                    <w:r>
                      <w:rPr>
                        <w:rStyle w:val="13"/>
                        <w:rFonts w:ascii="宋体" w:hAnsi="宋体" w:eastAsia="宋体"/>
                        <w:sz w:val="28"/>
                      </w:rPr>
                      <w:fldChar w:fldCharType="begin"/>
                    </w:r>
                    <w:r>
                      <w:rPr>
                        <w:rStyle w:val="13"/>
                        <w:rFonts w:ascii="宋体" w:hAnsi="宋体" w:eastAsia="宋体"/>
                        <w:sz w:val="28"/>
                      </w:rPr>
                      <w:instrText xml:space="preserve">PAGE  </w:instrText>
                    </w:r>
                    <w:r>
                      <w:rPr>
                        <w:rStyle w:val="13"/>
                        <w:rFonts w:ascii="宋体" w:hAnsi="宋体" w:eastAsia="宋体"/>
                        <w:sz w:val="28"/>
                      </w:rPr>
                      <w:fldChar w:fldCharType="separate"/>
                    </w:r>
                    <w:r>
                      <w:rPr>
                        <w:rStyle w:val="13"/>
                        <w:rFonts w:ascii="宋体" w:hAnsi="宋体" w:eastAsia="宋体"/>
                        <w:sz w:val="28"/>
                      </w:rPr>
                      <w:t>1</w:t>
                    </w:r>
                    <w:r>
                      <w:rPr>
                        <w:rStyle w:val="13"/>
                        <w:rFonts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documentProtection w:enforcement="0"/>
  <w:noPunctuationKerning w:val="1"/>
  <w:compat>
    <w:ulTrailSpace/>
    <w:useFELayout/>
    <w:compatSetting w:name="compatibilityMode" w:uri="http://schemas.microsoft.com/office/word" w:val="15"/>
  </w:compat>
  <w:docVars>
    <w:docVar w:name="commondata" w:val="eyJoZGlkIjoiZGY1M2RiZmRiZDMwZjYyYmFkZTYyOTY2OTdlNzdhODAifQ=="/>
    <w:docVar w:name="KSO_WPS_MARK_KEY" w:val="797bb027-75d8-45dc-ab9a-a5f7f8f5c80d"/>
  </w:docVars>
  <w:rsids>
    <w:rsidRoot w:val="00000000"/>
    <w:rsid w:val="07577245"/>
    <w:rsid w:val="08591BE7"/>
    <w:rsid w:val="08B75927"/>
    <w:rsid w:val="08C846EA"/>
    <w:rsid w:val="0C5C77BA"/>
    <w:rsid w:val="0C7B22CA"/>
    <w:rsid w:val="10DF6ACC"/>
    <w:rsid w:val="11845948"/>
    <w:rsid w:val="1554425B"/>
    <w:rsid w:val="1CA4563B"/>
    <w:rsid w:val="1EE557F3"/>
    <w:rsid w:val="214B3EFC"/>
    <w:rsid w:val="23201794"/>
    <w:rsid w:val="25A43175"/>
    <w:rsid w:val="29637BFF"/>
    <w:rsid w:val="2A096D69"/>
    <w:rsid w:val="2A94196C"/>
    <w:rsid w:val="2CEE2508"/>
    <w:rsid w:val="33136309"/>
    <w:rsid w:val="33AD216C"/>
    <w:rsid w:val="33C34686"/>
    <w:rsid w:val="359E189B"/>
    <w:rsid w:val="39032A22"/>
    <w:rsid w:val="39D569DC"/>
    <w:rsid w:val="3C1C6364"/>
    <w:rsid w:val="3E8A41CF"/>
    <w:rsid w:val="403E6EA6"/>
    <w:rsid w:val="432619B7"/>
    <w:rsid w:val="436C0AC6"/>
    <w:rsid w:val="44CC1C8F"/>
    <w:rsid w:val="46674C99"/>
    <w:rsid w:val="476A00AC"/>
    <w:rsid w:val="47A134E8"/>
    <w:rsid w:val="4DB03AF9"/>
    <w:rsid w:val="542B25E6"/>
    <w:rsid w:val="553B4087"/>
    <w:rsid w:val="56C13D05"/>
    <w:rsid w:val="58BF7E0A"/>
    <w:rsid w:val="59486D73"/>
    <w:rsid w:val="5B936499"/>
    <w:rsid w:val="5DE6559B"/>
    <w:rsid w:val="65535CF2"/>
    <w:rsid w:val="659550EE"/>
    <w:rsid w:val="67C273C7"/>
    <w:rsid w:val="67C8720F"/>
    <w:rsid w:val="68104490"/>
    <w:rsid w:val="68E3339F"/>
    <w:rsid w:val="6BF36128"/>
    <w:rsid w:val="6E317B00"/>
    <w:rsid w:val="7394571F"/>
    <w:rsid w:val="74FF55A4"/>
    <w:rsid w:val="7A344A7F"/>
    <w:rsid w:val="7C14690F"/>
    <w:rsid w:val="7C8852D2"/>
    <w:rsid w:val="7E8516D5"/>
    <w:rsid w:val="7EC45AA9"/>
    <w:rsid w:val="7F8419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basedOn w:val="5"/>
    <w:next w:val="1"/>
    <w:qFormat/>
    <w:uiPriority w:val="0"/>
    <w:pPr>
      <w:keepNext/>
      <w:keepLines/>
      <w:spacing w:before="340" w:beforeLines="0" w:beforeAutospacing="0" w:after="330" w:afterLines="0" w:afterAutospacing="0" w:line="576" w:lineRule="auto"/>
      <w:outlineLvl w:val="0"/>
    </w:pPr>
    <w:rPr>
      <w:b w:val="0"/>
      <w:kern w:val="44"/>
      <w:sz w:val="44"/>
    </w:rPr>
  </w:style>
  <w:style w:type="paragraph" w:styleId="5">
    <w:name w:val="heading 2"/>
    <w:basedOn w:val="6"/>
    <w:next w:val="1"/>
    <w:unhideWhenUsed/>
    <w:qFormat/>
    <w:uiPriority w:val="9"/>
    <w:pPr>
      <w:jc w:val="center"/>
      <w:outlineLvl w:val="1"/>
    </w:pPr>
    <w:rPr>
      <w:sz w:val="30"/>
    </w:rPr>
  </w:style>
  <w:style w:type="paragraph" w:styleId="6">
    <w:name w:val="heading 3"/>
    <w:basedOn w:val="1"/>
    <w:next w:val="1"/>
    <w:unhideWhenUsed/>
    <w:qFormat/>
    <w:uiPriority w:val="9"/>
    <w:pPr>
      <w:keepNext/>
      <w:keepLines/>
      <w:ind w:firstLine="0" w:firstLineChars="0"/>
      <w:outlineLvl w:val="2"/>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7">
    <w:name w:val="index 5"/>
    <w:basedOn w:val="1"/>
    <w:next w:val="1"/>
    <w:qFormat/>
    <w:uiPriority w:val="0"/>
    <w:pPr>
      <w:ind w:left="1680"/>
    </w:pPr>
  </w:style>
  <w:style w:type="paragraph" w:styleId="8">
    <w:name w:val="Body Text Indent 2"/>
    <w:basedOn w:val="1"/>
    <w:qFormat/>
    <w:uiPriority w:val="0"/>
    <w:pPr>
      <w:spacing w:after="120" w:line="480" w:lineRule="auto"/>
      <w:ind w:left="420" w:leftChars="200"/>
    </w:p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style>
  <w:style w:type="paragraph" w:customStyle="1" w:styleId="14">
    <w:name w:val="专栏"/>
    <w:basedOn w:val="1"/>
    <w:qFormat/>
    <w:uiPriority w:val="0"/>
    <w:pPr>
      <w:widowControl/>
      <w:spacing w:line="340" w:lineRule="exact"/>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6096</Words>
  <Characters>6184</Characters>
  <TotalTime>2</TotalTime>
  <ScaleCrop>false</ScaleCrop>
  <LinksUpToDate>false</LinksUpToDate>
  <CharactersWithSpaces>6266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2024-05-21T00:39:00Z</dcterms:created>
  <dc:creator>Apache POI</dc:creator>
  <cp:lastModifiedBy>WPS_20074632</cp:lastModifiedBy>
  <dcterms:modified xsi:type="dcterms:W3CDTF">2024-07-03T07:54:18Z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5A025D737ED14674B442A598FAFB80C6_13</vt:lpwstr>
  </property>
</Properties>
</file>