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B9808">
      <w:pPr>
        <w:jc w:val="center"/>
        <w:rPr>
          <w:rFonts w:hint="eastAsia" w:eastAsia="方正小标宋_GBK"/>
          <w:sz w:val="48"/>
          <w:szCs w:val="48"/>
          <w:lang w:val="en-US" w:eastAsia="zh-CN"/>
        </w:rPr>
      </w:pPr>
    </w:p>
    <w:p w14:paraId="1CDA29AD">
      <w:pPr>
        <w:jc w:val="center"/>
        <w:rPr>
          <w:rFonts w:eastAsia="方正小标宋_GBK"/>
          <w:sz w:val="48"/>
          <w:szCs w:val="48"/>
        </w:rPr>
      </w:pPr>
      <w:r>
        <w:rPr>
          <w:rFonts w:hint="eastAsia" w:eastAsia="方正小标宋_GBK"/>
          <w:sz w:val="48"/>
          <w:szCs w:val="48"/>
          <w:lang w:val="en-US" w:eastAsia="zh-CN"/>
        </w:rPr>
        <w:t>2022</w:t>
      </w:r>
      <w:r>
        <w:rPr>
          <w:rFonts w:eastAsia="方正小标宋_GBK"/>
          <w:sz w:val="48"/>
          <w:szCs w:val="48"/>
        </w:rPr>
        <w:t>年度</w:t>
      </w:r>
      <w:r>
        <w:rPr>
          <w:rFonts w:hint="eastAsia" w:eastAsia="方正小标宋_GBK"/>
          <w:sz w:val="48"/>
          <w:szCs w:val="48"/>
          <w:lang w:eastAsia="zh-CN"/>
        </w:rPr>
        <w:t>芦淞区退役军人事务局</w:t>
      </w:r>
      <w:r>
        <w:rPr>
          <w:rFonts w:eastAsia="方正小标宋_GBK"/>
          <w:sz w:val="48"/>
          <w:szCs w:val="48"/>
        </w:rPr>
        <w:t>部门（单位）</w:t>
      </w:r>
      <w:r>
        <w:rPr>
          <w:rFonts w:hint="eastAsia" w:eastAsia="方正小标宋_GBK"/>
          <w:sz w:val="48"/>
          <w:szCs w:val="48"/>
          <w:lang w:eastAsia="zh-CN"/>
        </w:rPr>
        <w:t>整体</w:t>
      </w:r>
      <w:r>
        <w:rPr>
          <w:rFonts w:eastAsia="方正小标宋_GBK"/>
          <w:sz w:val="48"/>
          <w:szCs w:val="48"/>
        </w:rPr>
        <w:t>支出绩效自评报告</w:t>
      </w:r>
    </w:p>
    <w:p w14:paraId="374C93BB">
      <w:pPr>
        <w:jc w:val="center"/>
        <w:rPr>
          <w:rFonts w:eastAsia="黑体"/>
          <w:sz w:val="32"/>
          <w:szCs w:val="32"/>
        </w:rPr>
      </w:pPr>
    </w:p>
    <w:p w14:paraId="3DEAC80B">
      <w:pPr>
        <w:jc w:val="center"/>
        <w:rPr>
          <w:rFonts w:eastAsia="黑体"/>
          <w:sz w:val="32"/>
          <w:szCs w:val="32"/>
        </w:rPr>
      </w:pPr>
    </w:p>
    <w:p w14:paraId="7296D50B">
      <w:pPr>
        <w:jc w:val="center"/>
        <w:rPr>
          <w:rFonts w:eastAsia="黑体"/>
          <w:sz w:val="32"/>
          <w:szCs w:val="32"/>
        </w:rPr>
      </w:pPr>
    </w:p>
    <w:p w14:paraId="399EC40C">
      <w:pPr>
        <w:jc w:val="center"/>
        <w:rPr>
          <w:rFonts w:eastAsia="黑体"/>
          <w:sz w:val="32"/>
          <w:szCs w:val="32"/>
        </w:rPr>
      </w:pPr>
    </w:p>
    <w:p w14:paraId="6B466586">
      <w:pPr>
        <w:jc w:val="center"/>
        <w:rPr>
          <w:rFonts w:eastAsia="黑体"/>
          <w:sz w:val="32"/>
          <w:szCs w:val="32"/>
        </w:rPr>
      </w:pPr>
    </w:p>
    <w:p w14:paraId="05A4C67C">
      <w:pPr>
        <w:jc w:val="center"/>
        <w:rPr>
          <w:rFonts w:eastAsia="黑体"/>
          <w:sz w:val="32"/>
          <w:szCs w:val="32"/>
        </w:rPr>
      </w:pPr>
    </w:p>
    <w:p w14:paraId="5AE37C4A">
      <w:pPr>
        <w:jc w:val="center"/>
        <w:rPr>
          <w:rFonts w:eastAsia="黑体"/>
          <w:sz w:val="32"/>
          <w:szCs w:val="32"/>
        </w:rPr>
      </w:pPr>
    </w:p>
    <w:p w14:paraId="06C89A61">
      <w:pPr>
        <w:jc w:val="center"/>
        <w:rPr>
          <w:rFonts w:eastAsia="黑体"/>
          <w:sz w:val="32"/>
          <w:szCs w:val="32"/>
        </w:rPr>
      </w:pPr>
    </w:p>
    <w:p w14:paraId="5400A6B8">
      <w:pPr>
        <w:ind w:firstLine="880" w:firstLineChars="200"/>
        <w:jc w:val="center"/>
        <w:rPr>
          <w:rFonts w:eastAsia="黑体"/>
          <w:sz w:val="44"/>
          <w:szCs w:val="44"/>
        </w:rPr>
      </w:pPr>
    </w:p>
    <w:p w14:paraId="582DCA8C">
      <w:pPr>
        <w:ind w:firstLine="880" w:firstLineChars="200"/>
        <w:jc w:val="center"/>
        <w:rPr>
          <w:rFonts w:eastAsia="黑体"/>
          <w:sz w:val="44"/>
          <w:szCs w:val="44"/>
        </w:rPr>
      </w:pPr>
    </w:p>
    <w:p w14:paraId="69F6BF62">
      <w:pPr>
        <w:ind w:firstLine="880" w:firstLineChars="200"/>
        <w:jc w:val="center"/>
        <w:rPr>
          <w:rFonts w:eastAsia="黑体"/>
          <w:sz w:val="44"/>
          <w:szCs w:val="44"/>
        </w:rPr>
      </w:pPr>
    </w:p>
    <w:p w14:paraId="7365490C">
      <w:pPr>
        <w:ind w:firstLine="720" w:firstLineChars="200"/>
        <w:jc w:val="center"/>
        <w:rPr>
          <w:rFonts w:eastAsia="黑体"/>
          <w:sz w:val="36"/>
          <w:szCs w:val="36"/>
        </w:rPr>
      </w:pPr>
    </w:p>
    <w:p w14:paraId="43A3C98C">
      <w:pPr>
        <w:ind w:firstLine="720" w:firstLineChars="200"/>
        <w:jc w:val="center"/>
        <w:rPr>
          <w:rFonts w:eastAsia="黑体"/>
          <w:sz w:val="36"/>
          <w:szCs w:val="36"/>
        </w:rPr>
      </w:pPr>
    </w:p>
    <w:p w14:paraId="6DDF1AA5">
      <w:pPr>
        <w:ind w:firstLine="720" w:firstLineChars="200"/>
        <w:jc w:val="center"/>
        <w:rPr>
          <w:rFonts w:eastAsia="黑体"/>
          <w:sz w:val="36"/>
          <w:szCs w:val="36"/>
        </w:rPr>
      </w:pPr>
      <w:r>
        <w:rPr>
          <w:rFonts w:eastAsia="黑体"/>
          <w:sz w:val="36"/>
          <w:szCs w:val="36"/>
        </w:rPr>
        <w:t>单位名称（盖章）：</w:t>
      </w:r>
      <w:r>
        <w:rPr>
          <w:rFonts w:hint="eastAsia" w:eastAsia="黑体"/>
          <w:sz w:val="36"/>
          <w:szCs w:val="36"/>
          <w:lang w:eastAsia="zh-CN"/>
        </w:rPr>
        <w:t>株洲市芦淞区退役军人事务局</w:t>
      </w:r>
    </w:p>
    <w:p w14:paraId="472CE3F0">
      <w:pPr>
        <w:jc w:val="center"/>
        <w:rPr>
          <w:rFonts w:eastAsia="黑体"/>
          <w:sz w:val="36"/>
          <w:szCs w:val="36"/>
        </w:rPr>
      </w:pPr>
    </w:p>
    <w:p w14:paraId="2FE27333">
      <w:pPr>
        <w:jc w:val="center"/>
        <w:rPr>
          <w:rFonts w:eastAsia="黑体"/>
          <w:sz w:val="32"/>
          <w:szCs w:val="32"/>
        </w:rPr>
      </w:pPr>
    </w:p>
    <w:p w14:paraId="3AD9E3A9">
      <w:pPr>
        <w:jc w:val="center"/>
        <w:rPr>
          <w:rFonts w:eastAsia="黑体"/>
          <w:sz w:val="32"/>
          <w:szCs w:val="32"/>
        </w:rPr>
      </w:pPr>
    </w:p>
    <w:p w14:paraId="7F2DA050">
      <w:pPr>
        <w:jc w:val="center"/>
        <w:rPr>
          <w:rFonts w:eastAsia="黑体"/>
          <w:sz w:val="32"/>
          <w:szCs w:val="32"/>
        </w:rPr>
      </w:pPr>
    </w:p>
    <w:p w14:paraId="5D92E018">
      <w:pPr>
        <w:jc w:val="center"/>
        <w:rPr>
          <w:rFonts w:eastAsia="黑体"/>
          <w:sz w:val="32"/>
          <w:szCs w:val="32"/>
        </w:rPr>
      </w:pPr>
    </w:p>
    <w:p w14:paraId="724AD965">
      <w:pPr>
        <w:jc w:val="center"/>
        <w:rPr>
          <w:rFonts w:eastAsia="黑体"/>
          <w:sz w:val="32"/>
          <w:szCs w:val="32"/>
        </w:rPr>
      </w:pPr>
    </w:p>
    <w:p w14:paraId="5EAC262D">
      <w:pPr>
        <w:jc w:val="center"/>
        <w:rPr>
          <w:rFonts w:eastAsia="黑体"/>
          <w:sz w:val="32"/>
          <w:szCs w:val="32"/>
        </w:rPr>
      </w:pPr>
    </w:p>
    <w:p w14:paraId="7655DCF1">
      <w:pPr>
        <w:jc w:val="center"/>
        <w:rPr>
          <w:rFonts w:eastAsia="仿宋_GB2312"/>
          <w:sz w:val="32"/>
          <w:szCs w:val="32"/>
        </w:rPr>
      </w:pPr>
    </w:p>
    <w:p w14:paraId="5730B0B3">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eastAsia="仿宋_GB2312"/>
          <w:sz w:val="32"/>
          <w:szCs w:val="32"/>
        </w:rPr>
        <w:br w:type="page"/>
      </w:r>
      <w:r>
        <w:rPr>
          <w:rFonts w:hint="default" w:ascii="Times New Roman" w:hAnsi="Times New Roman" w:eastAsia="黑体" w:cs="Times New Roman"/>
          <w:sz w:val="32"/>
          <w:szCs w:val="32"/>
        </w:rPr>
        <w:t>一、基本情况</w:t>
      </w:r>
    </w:p>
    <w:p w14:paraId="16A27B78">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（一）部门（单位）基本情况</w:t>
      </w:r>
    </w:p>
    <w:p w14:paraId="7F9EBED1">
      <w:pPr>
        <w:keepNext w:val="0"/>
        <w:keepLines w:val="0"/>
        <w:pageBreakBefore w:val="0"/>
        <w:widowControl/>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株洲市芦淞区退役军人事务局属区一级预算单位，部门共有编制人数7人，实有人数</w:t>
      </w:r>
      <w:r>
        <w:rPr>
          <w:rFonts w:hint="default" w:ascii="Times New Roman" w:hAnsi="Times New Roman" w:eastAsia="仿宋" w:cs="Times New Roman"/>
          <w:color w:val="000000"/>
          <w:kern w:val="0"/>
          <w:sz w:val="32"/>
          <w:szCs w:val="32"/>
          <w:lang w:val="en-US" w:eastAsia="zh-CN"/>
        </w:rPr>
        <w:t>9</w:t>
      </w:r>
      <w:r>
        <w:rPr>
          <w:rFonts w:hint="default" w:ascii="Times New Roman" w:hAnsi="Times New Roman" w:eastAsia="仿宋" w:cs="Times New Roman"/>
          <w:color w:val="000000"/>
          <w:kern w:val="0"/>
          <w:sz w:val="32"/>
          <w:szCs w:val="32"/>
        </w:rPr>
        <w:t>人,其中在编人员</w:t>
      </w:r>
      <w:r>
        <w:rPr>
          <w:rFonts w:hint="default" w:ascii="Times New Roman" w:hAnsi="Times New Roman" w:eastAsia="仿宋" w:cs="Times New Roman"/>
          <w:color w:val="000000"/>
          <w:kern w:val="0"/>
          <w:sz w:val="32"/>
          <w:szCs w:val="32"/>
          <w:lang w:val="en-US" w:eastAsia="zh-CN"/>
        </w:rPr>
        <w:t>7</w:t>
      </w:r>
      <w:r>
        <w:rPr>
          <w:rFonts w:hint="default" w:ascii="Times New Roman" w:hAnsi="Times New Roman" w:eastAsia="仿宋" w:cs="Times New Roman"/>
          <w:color w:val="000000"/>
          <w:kern w:val="0"/>
          <w:sz w:val="32"/>
          <w:szCs w:val="32"/>
        </w:rPr>
        <w:t>人，无固定期限人员2人。内设股室1个，为：芦淞区退役军人服务中心。</w:t>
      </w:r>
    </w:p>
    <w:p w14:paraId="1018A3F6">
      <w:pPr>
        <w:keepNext w:val="0"/>
        <w:keepLines w:val="0"/>
        <w:pageBreakBefore w:val="0"/>
        <w:widowControl/>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主要职责：贯彻落实党和国家关于退役军人工作的方针政策、法律法规和决策部署，负责军队复员干部、军休干部、退役士兵、无军籍退休职工的移交安置工作和自主择业退役军人的服务管理、待遇保障等。同时，组织开展退役军人思想政治、职业教育和技能培训、就业创业指导帮扶等工作，指导全区拥军优属工作，负责烈士及退役军人荣誉奖励、烈士纪念设施保护及纪念活动等，负责其他优抚事业单位管理工作。</w:t>
      </w:r>
    </w:p>
    <w:p w14:paraId="1A27EA41">
      <w:pPr>
        <w:keepNext w:val="0"/>
        <w:keepLines w:val="0"/>
        <w:pageBreakBefore w:val="0"/>
        <w:numPr>
          <w:ilvl w:val="0"/>
          <w:numId w:val="1"/>
        </w:numPr>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专项资金绩效目标、其他项目支出（除省级专项资金以外）绩效目标</w:t>
      </w:r>
    </w:p>
    <w:p w14:paraId="6AF8D894">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rPr>
        <w:t>部门（单位）年度整体支出绩效目标</w:t>
      </w:r>
      <w:r>
        <w:rPr>
          <w:rFonts w:hint="default" w:ascii="Times New Roman" w:hAnsi="Times New Roman" w:eastAsia="仿宋" w:cs="Times New Roman"/>
          <w:b/>
          <w:bCs/>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贯彻落实党和国家关于退役军人工作的方针政策、法律法规和决策部署，组织实施全区退役军人服务保障、权益维护、拥军优属、退役安置等工作。</w:t>
      </w:r>
    </w:p>
    <w:p w14:paraId="54792F1C">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lang w:eastAsia="zh-CN"/>
        </w:rPr>
        <w:t>部门</w:t>
      </w:r>
      <w:r>
        <w:rPr>
          <w:rFonts w:hint="default" w:ascii="Times New Roman" w:hAnsi="Times New Roman" w:eastAsia="仿宋" w:cs="Times New Roman"/>
          <w:b/>
          <w:bCs/>
          <w:color w:val="000000"/>
          <w:kern w:val="0"/>
          <w:sz w:val="32"/>
          <w:szCs w:val="32"/>
        </w:rPr>
        <w:t>专项资金绩效目标</w:t>
      </w:r>
      <w:r>
        <w:rPr>
          <w:rFonts w:hint="default" w:ascii="Times New Roman" w:hAnsi="Times New Roman" w:eastAsia="仿宋" w:cs="Times New Roman"/>
          <w:b/>
          <w:bCs/>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及时缴纳各项物业、水电费用，保障机关工作正常开展。</w:t>
      </w:r>
    </w:p>
    <w:p w14:paraId="52D40C1B">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b/>
          <w:bCs/>
          <w:color w:val="000000"/>
          <w:kern w:val="0"/>
          <w:sz w:val="32"/>
          <w:szCs w:val="32"/>
          <w:lang w:val="en-US" w:eastAsia="zh-CN"/>
        </w:rPr>
        <w:t>其他项目绩效目标：</w:t>
      </w:r>
      <w:r>
        <w:rPr>
          <w:rFonts w:hint="default" w:ascii="Times New Roman" w:hAnsi="Times New Roman" w:eastAsia="仿宋" w:cs="Times New Roman"/>
          <w:color w:val="000000"/>
          <w:kern w:val="0"/>
          <w:sz w:val="32"/>
          <w:szCs w:val="32"/>
          <w:lang w:val="en-US" w:eastAsia="zh-CN"/>
        </w:rPr>
        <w:t>负责军队复员干部、军休干部、退役士兵、无军籍退休职工的移交安置工作和自主择业退役军人的服务管理、待遇保障等。组织开展退役军人思想政治、职业教育和技能培训、就业创业指导帮扶等工作。妥善接收安置当年度退役军人。指导全区拥军优属工作，负责烈士及退役军人荣誉奖励、烈士纪念设施保护及纪念活动等，负责其他优抚事业单位管理工作。</w:t>
      </w:r>
    </w:p>
    <w:p w14:paraId="09FAF0B7">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3494E90A">
      <w:pPr>
        <w:pStyle w:val="8"/>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4E93DA24">
      <w:pPr>
        <w:pStyle w:val="8"/>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楷体_GB2312" w:cs="Times New Roman"/>
          <w:b/>
          <w:sz w:val="32"/>
          <w:szCs w:val="32"/>
          <w:lang w:val="en-US" w:eastAsia="zh-CN"/>
        </w:rPr>
        <w:t>1</w:t>
      </w:r>
      <w:r>
        <w:rPr>
          <w:rFonts w:hint="eastAsia" w:ascii="Times New Roman" w:hAnsi="Times New Roman" w:eastAsia="楷体_GB2312" w:cs="Times New Roman"/>
          <w:b/>
          <w:sz w:val="32"/>
          <w:szCs w:val="32"/>
          <w:lang w:val="en-US" w:eastAsia="zh-CN"/>
        </w:rPr>
        <w:t>.</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年预算资金</w:t>
      </w:r>
      <w:r>
        <w:rPr>
          <w:rFonts w:hint="default" w:ascii="Times New Roman" w:hAnsi="Times New Roman" w:eastAsia="仿宋" w:cs="Times New Roman"/>
          <w:color w:val="000000"/>
          <w:sz w:val="32"/>
          <w:szCs w:val="32"/>
          <w:lang w:val="en-US" w:eastAsia="zh-CN"/>
        </w:rPr>
        <w:t>2301.6万元。</w:t>
      </w:r>
    </w:p>
    <w:p w14:paraId="1F636310">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2022年度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_GB2312" w:cs="Times New Roman"/>
          <w:sz w:val="32"/>
          <w:szCs w:val="32"/>
          <w:lang w:val="en-US" w:eastAsia="zh-CN"/>
        </w:rPr>
        <w:t>1841.82</w:t>
      </w:r>
      <w:r>
        <w:rPr>
          <w:rFonts w:hint="default" w:ascii="Times New Roman" w:hAnsi="Times New Roman" w:eastAsia="仿宋" w:cs="Times New Roman"/>
          <w:color w:val="auto"/>
          <w:sz w:val="32"/>
          <w:szCs w:val="32"/>
          <w:lang w:val="en-US" w:eastAsia="zh-CN"/>
        </w:rPr>
        <w:t>万元。</w:t>
      </w:r>
    </w:p>
    <w:p w14:paraId="0F4B456E">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2022年度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w:t>
      </w:r>
      <w:r>
        <w:rPr>
          <w:rFonts w:hint="default" w:ascii="Times New Roman" w:hAnsi="Times New Roman" w:eastAsia="仿宋" w:cs="Times New Roman"/>
          <w:color w:val="auto"/>
          <w:sz w:val="32"/>
          <w:szCs w:val="32"/>
          <w:lang w:val="en-US" w:eastAsia="zh-CN"/>
        </w:rPr>
        <w:t>1947.09</w:t>
      </w:r>
      <w:r>
        <w:rPr>
          <w:rFonts w:hint="default" w:ascii="Times New Roman" w:hAnsi="Times New Roman" w:eastAsia="仿宋" w:cs="Times New Roman"/>
          <w:color w:val="auto"/>
          <w:sz w:val="32"/>
          <w:szCs w:val="32"/>
          <w:lang w:eastAsia="zh-CN"/>
        </w:rPr>
        <w:t>万元，</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1829.33</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117.76</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105.22</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12.54万</w:t>
      </w:r>
      <w:r>
        <w:rPr>
          <w:rFonts w:hint="default" w:ascii="Times New Roman" w:hAnsi="Times New Roman" w:eastAsia="仿宋" w:cs="Times New Roman"/>
          <w:color w:val="auto"/>
          <w:sz w:val="32"/>
          <w:szCs w:val="32"/>
        </w:rPr>
        <w:t>元。</w:t>
      </w:r>
    </w:p>
    <w:p w14:paraId="549AEC1E">
      <w:pPr>
        <w:pStyle w:val="8"/>
        <w:keepNext w:val="0"/>
        <w:keepLines w:val="0"/>
        <w:pageBreakBefore w:val="0"/>
        <w:numPr>
          <w:ilvl w:val="0"/>
          <w:numId w:val="2"/>
        </w:numPr>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bCs w:val="0"/>
          <w:sz w:val="32"/>
          <w:szCs w:val="32"/>
          <w:shd w:val="clear" w:color="auto" w:fill="auto"/>
          <w:lang w:val="en-US" w:eastAsia="zh-CN"/>
        </w:rPr>
      </w:pPr>
      <w:r>
        <w:rPr>
          <w:rFonts w:hint="default" w:ascii="Times New Roman" w:hAnsi="Times New Roman" w:eastAsia="楷体_GB2312" w:cs="Times New Roman"/>
          <w:b/>
          <w:bCs w:val="0"/>
          <w:sz w:val="32"/>
          <w:szCs w:val="32"/>
          <w:shd w:val="clear" w:color="auto" w:fill="auto"/>
          <w:lang w:val="en-US" w:eastAsia="zh-CN"/>
        </w:rPr>
        <w:t>项目支出情况</w:t>
      </w:r>
    </w:p>
    <w:p w14:paraId="509AF69C">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一般公共服务（类）政府办公厅（室）及相关机构事务（款） 信访事务（项），支出决算为6.33万元。</w:t>
      </w:r>
    </w:p>
    <w:p w14:paraId="4BDFA9A2">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2"/>
          <w:sz w:val="32"/>
          <w:szCs w:val="32"/>
          <w:shd w:val="clear" w:color="auto" w:fill="auto"/>
          <w:lang w:val="en-US" w:eastAsia="zh-CN" w:bidi="ar-SA"/>
        </w:rPr>
        <w:t>2</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公共安全支出（类）其他公共安全支出（款）其他公共安全支出（项）支出决算为1.03万元。</w:t>
      </w:r>
    </w:p>
    <w:p w14:paraId="774B003F">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3</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社会保障和就业支出（类）行政事业单位养老支出（款）机关事业单位基本养老保险缴费支出（项）支出决算为80.19万元。</w:t>
      </w:r>
    </w:p>
    <w:p w14:paraId="1100A0A3">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4</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社会保障和就业支出（类）就业补助（款）其他就业补助支出（项）支出决算为0.19万元。</w:t>
      </w:r>
    </w:p>
    <w:p w14:paraId="56A8C10C">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5</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社会保障和就业支出（类）抚恤（款）死亡抚恤（项）</w:t>
      </w:r>
    </w:p>
    <w:p w14:paraId="110EC1EA">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支出决算为359.29万元。</w:t>
      </w:r>
    </w:p>
    <w:p w14:paraId="4C00CBEA">
      <w:pPr>
        <w:pStyle w:val="9"/>
        <w:keepNext w:val="0"/>
        <w:keepLines w:val="0"/>
        <w:pageBreakBefore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eastAsia" w:ascii="Times New Roman" w:hAnsi="Times New Roman" w:eastAsia="仿宋_GB2312" w:cs="Times New Roman"/>
          <w:color w:val="000000"/>
          <w:kern w:val="2"/>
          <w:sz w:val="32"/>
          <w:szCs w:val="32"/>
          <w:shd w:val="clear" w:color="auto" w:fill="auto"/>
          <w:lang w:val="en-US" w:eastAsia="zh-CN" w:bidi="ar-SA"/>
        </w:rPr>
        <w:t>6.</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社会保障和就业支出（类）抚恤（款）伤残抚恤（项）支出决算为498.20万元。</w:t>
      </w:r>
    </w:p>
    <w:p w14:paraId="347AF385">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7</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社会保障和就业支出（类）抚恤（款）在乡复员、退伍军人生活补助（项）支出决算为25.93万元。</w:t>
      </w:r>
    </w:p>
    <w:p w14:paraId="179910F2">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8</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社会保障和就业支出（类）抚恤（款）义务兵优待（项）支出决算为88.01万元。</w:t>
      </w:r>
    </w:p>
    <w:p w14:paraId="69193159">
      <w:pPr>
        <w:pStyle w:val="9"/>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9</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社会保障和就业支出（类）抚恤（款）农村籍退役士兵老年生活补助（项）支出决算为114.7万元。</w:t>
      </w:r>
    </w:p>
    <w:p w14:paraId="266D54EC">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10</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社会保障和就业支出（类）抚恤（款） 其他优抚支出（项）支出决算为397.46万元。</w:t>
      </w:r>
    </w:p>
    <w:p w14:paraId="57654FD2">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11</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社会保障和就业支出（类）退役安置（款）退役士兵安置支出（项）支出决算为</w:t>
      </w:r>
      <w:r>
        <w:rPr>
          <w:rFonts w:hint="default" w:ascii="Times New Roman" w:hAnsi="Times New Roman" w:eastAsia="仿宋_GB2312" w:cs="Times New Roman"/>
          <w:color w:val="000000"/>
          <w:kern w:val="2"/>
          <w:sz w:val="32"/>
          <w:szCs w:val="32"/>
          <w:highlight w:val="none"/>
          <w:shd w:val="clear" w:color="auto" w:fill="auto"/>
          <w:lang w:val="en-US" w:eastAsia="zh-CN" w:bidi="ar-SA"/>
        </w:rPr>
        <w:t>29.98</w:t>
      </w:r>
      <w:r>
        <w:rPr>
          <w:rFonts w:hint="default" w:ascii="Times New Roman" w:hAnsi="Times New Roman" w:eastAsia="仿宋_GB2312" w:cs="Times New Roman"/>
          <w:color w:val="000000"/>
          <w:kern w:val="2"/>
          <w:sz w:val="32"/>
          <w:szCs w:val="32"/>
          <w:shd w:val="clear" w:color="auto" w:fill="auto"/>
          <w:lang w:val="en-US" w:eastAsia="zh-CN" w:bidi="ar-SA"/>
        </w:rPr>
        <w:t>万元。</w:t>
      </w:r>
    </w:p>
    <w:p w14:paraId="19E69BA9">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12</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社会保障和就业支出（类）退役安置（款）军队移交政府的离退休人员安置（项）支出决算为74.61万元。</w:t>
      </w:r>
    </w:p>
    <w:p w14:paraId="33E282A9">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13</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社会保障和就业支出（类）退役安置（款）退役士兵管理教育（项）支出决算为6.45万元。</w:t>
      </w:r>
    </w:p>
    <w:p w14:paraId="6FDA9CD9">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14</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社会保障和就业支出（类）退役安置（款）军队转业干部安置（项）支出决算为2.62万元。</w:t>
      </w:r>
    </w:p>
    <w:p w14:paraId="0A200F9F">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15</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社会保障和就业支出（类）退役安置（款）其他退役安置支出（项）支出决算为75.46万元。</w:t>
      </w:r>
    </w:p>
    <w:p w14:paraId="278F3769">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16</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社会保障和就业支出（类）退役军人管理事务（款）机关服务（项）支出决算为1.58万元。</w:t>
      </w:r>
    </w:p>
    <w:p w14:paraId="69D29B4F">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17</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社会保障和就业支出（类）退役军人管理事务（款） 其他退役军人事务管理支出（项）支出决算为53.94万元。</w:t>
      </w:r>
    </w:p>
    <w:p w14:paraId="01B9B9DA">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18</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卫生健康支出（类）优抚对象医疗（款）优抚对象医疗补助（项）支出决算为27.46万元。</w:t>
      </w:r>
    </w:p>
    <w:p w14:paraId="2503CC23">
      <w:pPr>
        <w:pStyle w:val="9"/>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shd w:val="clear" w:color="auto" w:fill="auto"/>
          <w:lang w:val="en-US" w:eastAsia="zh-CN" w:bidi="ar-SA"/>
        </w:rPr>
      </w:pPr>
      <w:r>
        <w:rPr>
          <w:rFonts w:hint="default" w:ascii="Times New Roman" w:hAnsi="Times New Roman" w:eastAsia="仿宋_GB2312" w:cs="Times New Roman"/>
          <w:color w:val="000000"/>
          <w:kern w:val="2"/>
          <w:sz w:val="32"/>
          <w:szCs w:val="32"/>
          <w:shd w:val="clear" w:color="auto" w:fill="auto"/>
          <w:lang w:val="en-US" w:eastAsia="zh-CN" w:bidi="ar-SA"/>
        </w:rPr>
        <w:t>19</w:t>
      </w:r>
      <w:r>
        <w:rPr>
          <w:rFonts w:hint="eastAsia" w:ascii="Times New Roman" w:hAnsi="Times New Roman" w:eastAsia="仿宋_GB2312" w:cs="Times New Roman"/>
          <w:color w:val="000000"/>
          <w:kern w:val="2"/>
          <w:sz w:val="32"/>
          <w:szCs w:val="32"/>
          <w:shd w:val="clear" w:color="auto" w:fill="auto"/>
          <w:lang w:val="en-US" w:eastAsia="zh-CN" w:bidi="ar-SA"/>
        </w:rPr>
        <w:t>.</w:t>
      </w:r>
      <w:r>
        <w:rPr>
          <w:rFonts w:hint="default" w:ascii="Times New Roman" w:hAnsi="Times New Roman" w:eastAsia="仿宋_GB2312" w:cs="Times New Roman"/>
          <w:color w:val="000000"/>
          <w:kern w:val="2"/>
          <w:sz w:val="32"/>
          <w:szCs w:val="32"/>
          <w:shd w:val="clear" w:color="auto" w:fill="auto"/>
          <w:lang w:val="en-US" w:eastAsia="zh-CN" w:bidi="ar-SA"/>
        </w:rPr>
        <w:t>其他支出（类）其他支出（款）其他支出（项）支出决算为0.33万元。</w:t>
      </w:r>
    </w:p>
    <w:p w14:paraId="56783BE5">
      <w:pPr>
        <w:pStyle w:val="8"/>
        <w:keepNext w:val="0"/>
        <w:keepLines w:val="0"/>
        <w:pageBreakBefore w:val="0"/>
        <w:numPr>
          <w:ilvl w:val="0"/>
          <w:numId w:val="3"/>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499E6426">
      <w:pPr>
        <w:pStyle w:val="8"/>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3A6A420">
      <w:pPr>
        <w:pStyle w:val="8"/>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786D1C65">
      <w:pPr>
        <w:pStyle w:val="8"/>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5D28111C">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2D58F100">
      <w:pPr>
        <w:pStyle w:val="8"/>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082C4ACF">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14:paraId="2B6A2C3A">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14:paraId="772E04A0">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b/>
          <w:bCs/>
          <w:sz w:val="32"/>
          <w:szCs w:val="32"/>
          <w:lang w:val="en-US" w:eastAsia="zh-CN"/>
        </w:rPr>
        <w:t>加强政治引领，</w:t>
      </w:r>
      <w:r>
        <w:rPr>
          <w:rFonts w:hint="default" w:ascii="Times New Roman" w:hAnsi="Times New Roman" w:eastAsia="仿宋_GB2312" w:cs="Times New Roman"/>
          <w:b/>
          <w:bCs/>
          <w:sz w:val="32"/>
          <w:szCs w:val="32"/>
          <w:lang w:eastAsia="zh-CN"/>
        </w:rPr>
        <w:t>切实维护退役军人合法权益。</w:t>
      </w:r>
      <w:r>
        <w:rPr>
          <w:rFonts w:hint="default" w:ascii="Times New Roman" w:hAnsi="Times New Roman" w:eastAsia="仿宋_GB2312" w:cs="Times New Roman"/>
          <w:sz w:val="32"/>
          <w:szCs w:val="32"/>
          <w:lang w:eastAsia="zh-CN"/>
        </w:rPr>
        <w:t>做好退役军人思想政治教育工作，加强思想政治引领，引导退役军人拥护党的纲领、方针、法规、政策，维护社会稳定大局</w:t>
      </w:r>
      <w:r>
        <w:rPr>
          <w:rFonts w:hint="default" w:ascii="Times New Roman" w:hAnsi="Times New Roman" w:cs="Times New Roman"/>
          <w:sz w:val="32"/>
          <w:szCs w:val="32"/>
          <w:lang w:eastAsia="zh-CN"/>
        </w:rPr>
        <w:t>。</w:t>
      </w:r>
      <w:r>
        <w:rPr>
          <w:rFonts w:hint="default" w:ascii="Times New Roman" w:hAnsi="Times New Roman" w:eastAsia="仿宋" w:cs="Times New Roman"/>
          <w:color w:val="auto"/>
          <w:sz w:val="32"/>
          <w:szCs w:val="32"/>
        </w:rPr>
        <w:t>积极化解信访矛盾，定期梳理退役军人反映的诉求，切实帮助解决事关退役军人切身利益的重点难点问题，成功化解市“N合一”指挥长1号令交办的重点对象6人，其中包括省部级重复访1人。始终坚持把涉退役军人信访稳定工作纳入重要议事日程，坚持每季度专题分析研究涉退役军人信访稳定工作形势</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严格落实“五包一”措施，坚持领导包案，</w:t>
      </w:r>
      <w:r>
        <w:rPr>
          <w:rFonts w:hint="default" w:ascii="Times New Roman" w:hAnsi="Times New Roman" w:eastAsia="仿宋" w:cs="Times New Roman"/>
          <w:color w:val="auto"/>
          <w:sz w:val="32"/>
          <w:szCs w:val="32"/>
          <w:shd w:val="clear" w:color="auto" w:fill="FFFFFF"/>
        </w:rPr>
        <w:t>建立“一人一档”“一案一策”。</w:t>
      </w:r>
      <w:r>
        <w:rPr>
          <w:rFonts w:hint="default" w:ascii="Times New Roman" w:hAnsi="Times New Roman" w:eastAsia="仿宋" w:cs="Times New Roman"/>
          <w:color w:val="auto"/>
          <w:sz w:val="32"/>
          <w:szCs w:val="32"/>
        </w:rPr>
        <w:t>在冬奥会、全国两会</w:t>
      </w:r>
      <w:bookmarkStart w:id="0" w:name="_GoBack"/>
      <w:bookmarkEnd w:id="0"/>
      <w:r>
        <w:rPr>
          <w:rFonts w:hint="default" w:ascii="Times New Roman" w:hAnsi="Times New Roman" w:eastAsia="仿宋" w:cs="Times New Roman"/>
          <w:color w:val="auto"/>
          <w:sz w:val="32"/>
          <w:szCs w:val="32"/>
        </w:rPr>
        <w:t>、清明节、八一建军节等重点时期，坚持超前谋划，加强形势研判，深入基层开展摸排，变被动接访为主动下访。特别是进入</w:t>
      </w:r>
      <w:r>
        <w:rPr>
          <w:rFonts w:hint="eastAsia" w:eastAsia="仿宋_GB2312" w:cs="Times New Roman"/>
          <w:b w:val="0"/>
          <w:bCs w:val="0"/>
          <w:color w:val="auto"/>
          <w:sz w:val="32"/>
          <w:szCs w:val="32"/>
          <w:highlight w:val="none"/>
          <w:lang w:eastAsia="zh-CN"/>
        </w:rPr>
        <w:t>党的</w:t>
      </w:r>
      <w:r>
        <w:rPr>
          <w:rFonts w:hint="default" w:ascii="Times New Roman" w:hAnsi="Times New Roman" w:eastAsia="仿宋" w:cs="Times New Roman"/>
          <w:color w:val="auto"/>
          <w:sz w:val="32"/>
          <w:szCs w:val="32"/>
          <w:shd w:val="clear" w:color="auto" w:fill="FFFFFF"/>
        </w:rPr>
        <w:t>二十大信访维稳特护期，及时召开全区退役军人事务系统工作会议，部署涉退役群体安保维稳工作。今年以来，实现了“北京不去，省内不聚”的目标。</w:t>
      </w:r>
    </w:p>
    <w:p w14:paraId="19AB8B1B">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刚性落实政策，进一步提升保障水平</w:t>
      </w:r>
      <w:r>
        <w:rPr>
          <w:rFonts w:hint="default" w:ascii="Times New Roman" w:hAnsi="Times New Roman" w:cs="Times New Roman"/>
          <w:b/>
          <w:bCs/>
          <w:kern w:val="2"/>
          <w:sz w:val="32"/>
          <w:szCs w:val="32"/>
          <w:lang w:val="en-US" w:eastAsia="zh-CN" w:bidi="ar-SA"/>
        </w:rPr>
        <w:t>。</w:t>
      </w:r>
      <w:r>
        <w:rPr>
          <w:rFonts w:hint="default" w:ascii="Times New Roman" w:hAnsi="Times New Roman" w:eastAsia="仿宋" w:cs="Times New Roman"/>
          <w:b/>
          <w:bCs/>
          <w:color w:val="auto"/>
          <w:sz w:val="32"/>
          <w:szCs w:val="32"/>
          <w:lang w:eastAsia="zh-CN"/>
        </w:rPr>
        <w:t>一是</w:t>
      </w:r>
      <w:r>
        <w:rPr>
          <w:rFonts w:hint="default" w:ascii="Times New Roman" w:hAnsi="Times New Roman" w:eastAsia="仿宋" w:cs="Times New Roman"/>
          <w:color w:val="auto"/>
          <w:sz w:val="32"/>
          <w:szCs w:val="32"/>
        </w:rPr>
        <w:t>积极创新服务保障的模式</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充分保障优抚对象的合法权益，筹措近20万元为重点保障的优抚对象购买商业医疗护理险，受到了重点优抚对象的认同和好评。</w:t>
      </w:r>
      <w:r>
        <w:rPr>
          <w:rFonts w:hint="default" w:ascii="Times New Roman" w:hAnsi="Times New Roman" w:eastAsia="仿宋" w:cs="Times New Roman"/>
          <w:b/>
          <w:bCs/>
          <w:color w:val="auto"/>
          <w:sz w:val="32"/>
          <w:szCs w:val="32"/>
          <w:lang w:eastAsia="zh-CN"/>
        </w:rPr>
        <w:t>二是</w:t>
      </w:r>
      <w:r>
        <w:rPr>
          <w:rFonts w:hint="default" w:ascii="Times New Roman" w:hAnsi="Times New Roman" w:eastAsia="仿宋" w:cs="Times New Roman"/>
          <w:color w:val="auto"/>
          <w:sz w:val="32"/>
          <w:szCs w:val="32"/>
        </w:rPr>
        <w:t>积极开展走访慰问活动，</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春节</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八一</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期间，</w:t>
      </w:r>
      <w:r>
        <w:rPr>
          <w:rFonts w:hint="default" w:ascii="Times New Roman" w:hAnsi="Times New Roman" w:eastAsia="仿宋" w:cs="Times New Roman"/>
          <w:color w:val="auto"/>
          <w:sz w:val="32"/>
          <w:szCs w:val="32"/>
          <w:lang w:eastAsia="zh-CN"/>
        </w:rPr>
        <w:t>投入</w:t>
      </w:r>
      <w:r>
        <w:rPr>
          <w:rFonts w:hint="default" w:ascii="Times New Roman" w:hAnsi="Times New Roman" w:eastAsia="仿宋" w:cs="Times New Roman"/>
          <w:color w:val="auto"/>
          <w:sz w:val="32"/>
          <w:szCs w:val="32"/>
        </w:rPr>
        <w:t>资金近1</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0万元，对全区9</w:t>
      </w:r>
      <w:r>
        <w:rPr>
          <w:rFonts w:hint="default" w:ascii="Times New Roman" w:hAnsi="Times New Roman" w:eastAsia="仿宋" w:cs="Times New Roman"/>
          <w:color w:val="auto"/>
          <w:sz w:val="32"/>
          <w:szCs w:val="32"/>
          <w:lang w:val="en-US" w:eastAsia="zh-CN"/>
        </w:rPr>
        <w:t>42</w:t>
      </w:r>
      <w:r>
        <w:rPr>
          <w:rFonts w:hint="default" w:ascii="Times New Roman" w:hAnsi="Times New Roman" w:eastAsia="仿宋" w:cs="Times New Roman"/>
          <w:color w:val="auto"/>
          <w:sz w:val="32"/>
          <w:szCs w:val="32"/>
        </w:rPr>
        <w:t>名重点优抚优待对象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14支驻区部队</w:t>
      </w:r>
      <w:r>
        <w:rPr>
          <w:rFonts w:hint="default" w:ascii="Times New Roman" w:hAnsi="Times New Roman" w:eastAsia="仿宋" w:cs="Times New Roman"/>
          <w:color w:val="auto"/>
          <w:sz w:val="32"/>
          <w:szCs w:val="32"/>
        </w:rPr>
        <w:t>进行走访慰问</w:t>
      </w:r>
      <w:r>
        <w:rPr>
          <w:rFonts w:hint="default" w:ascii="Times New Roman" w:hAnsi="Times New Roman" w:eastAsia="仿宋" w:cs="Times New Roman"/>
          <w:color w:val="auto"/>
          <w:sz w:val="32"/>
          <w:szCs w:val="32"/>
          <w:lang w:eastAsia="zh-CN"/>
        </w:rPr>
        <w:t>，积极宣传，在全区创造拥军爱民的良好氛围</w:t>
      </w:r>
      <w:r>
        <w:rPr>
          <w:rFonts w:hint="default" w:ascii="Times New Roman" w:hAnsi="Times New Roman" w:eastAsia="仿宋" w:cs="Times New Roman"/>
          <w:color w:val="auto"/>
          <w:sz w:val="32"/>
          <w:szCs w:val="32"/>
        </w:rPr>
        <w:t>。</w:t>
      </w:r>
      <w:r>
        <w:rPr>
          <w:rFonts w:hint="default" w:ascii="Times New Roman" w:hAnsi="Times New Roman" w:eastAsia="仿宋" w:cs="Times New Roman"/>
          <w:b/>
          <w:bCs/>
          <w:color w:val="auto"/>
          <w:sz w:val="32"/>
          <w:szCs w:val="32"/>
          <w:lang w:eastAsia="zh-CN"/>
        </w:rPr>
        <w:t>三是</w:t>
      </w:r>
      <w:r>
        <w:rPr>
          <w:rFonts w:hint="default" w:ascii="Times New Roman" w:hAnsi="Times New Roman" w:eastAsia="仿宋" w:cs="Times New Roman"/>
          <w:color w:val="auto"/>
          <w:sz w:val="32"/>
          <w:szCs w:val="32"/>
        </w:rPr>
        <w:t>大力开展关爱帮扶活动，筹措资金10万余元，对50余名因身体患重大疾病，家庭生活特别困难的退役军人进行困难帮扶。</w:t>
      </w:r>
      <w:r>
        <w:rPr>
          <w:rFonts w:hint="default" w:ascii="Times New Roman" w:hAnsi="Times New Roman" w:eastAsia="仿宋" w:cs="Times New Roman"/>
          <w:b/>
          <w:bCs/>
          <w:color w:val="auto"/>
          <w:sz w:val="32"/>
          <w:szCs w:val="32"/>
          <w:lang w:eastAsia="zh-CN"/>
        </w:rPr>
        <w:t>四是</w:t>
      </w:r>
      <w:r>
        <w:rPr>
          <w:rFonts w:hint="default" w:ascii="Times New Roman" w:hAnsi="Times New Roman" w:eastAsia="仿宋" w:cs="Times New Roman"/>
          <w:kern w:val="2"/>
          <w:sz w:val="32"/>
          <w:szCs w:val="32"/>
          <w:lang w:val="en-US" w:eastAsia="zh-CN" w:bidi="ar-SA"/>
        </w:rPr>
        <w:t>全力争取上级资金、尽力沟通本级财政部门，保障两参人员、伤残军人、60周岁农村退伍老兵、其他重点优抚对象等定期优抚待遇。</w:t>
      </w:r>
    </w:p>
    <w:p w14:paraId="68E417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val="0"/>
          <w:bCs/>
          <w:sz w:val="32"/>
          <w:szCs w:val="32"/>
          <w:lang w:eastAsia="zh-CN"/>
        </w:rPr>
      </w:pPr>
      <w:r>
        <w:rPr>
          <w:rFonts w:hint="default" w:ascii="Times New Roman" w:hAnsi="Times New Roman" w:eastAsia="仿宋" w:cs="Times New Roman"/>
          <w:b/>
          <w:bCs w:val="0"/>
          <w:color w:val="auto"/>
          <w:sz w:val="32"/>
          <w:szCs w:val="32"/>
          <w:shd w:val="clear" w:color="auto" w:fill="FFFFFF"/>
          <w:lang w:val="en-US" w:eastAsia="zh-CN"/>
        </w:rPr>
        <w:t>3、</w:t>
      </w:r>
      <w:r>
        <w:rPr>
          <w:rFonts w:hint="default" w:ascii="Times New Roman" w:hAnsi="Times New Roman" w:eastAsia="仿宋_GB2312" w:cs="Times New Roman"/>
          <w:b/>
          <w:bCs w:val="0"/>
          <w:sz w:val="32"/>
          <w:szCs w:val="32"/>
          <w:lang w:val="en-US" w:eastAsia="zh-CN"/>
        </w:rPr>
        <w:t>发挥荣誉激励作用</w:t>
      </w:r>
      <w:r>
        <w:rPr>
          <w:rFonts w:hint="default" w:ascii="Times New Roman" w:hAnsi="Times New Roman" w:cs="Times New Roman"/>
          <w:b/>
          <w:bCs w:val="0"/>
          <w:sz w:val="32"/>
          <w:szCs w:val="32"/>
          <w:lang w:val="en-US" w:eastAsia="zh-CN"/>
        </w:rPr>
        <w:t>，</w:t>
      </w:r>
      <w:r>
        <w:rPr>
          <w:rFonts w:hint="default" w:ascii="Times New Roman" w:hAnsi="Times New Roman" w:eastAsia="仿宋_GB2312" w:cs="Times New Roman"/>
          <w:b/>
          <w:bCs w:val="0"/>
          <w:sz w:val="32"/>
          <w:szCs w:val="32"/>
          <w:lang w:eastAsia="zh-CN"/>
        </w:rPr>
        <w:t>弘扬</w:t>
      </w:r>
      <w:r>
        <w:rPr>
          <w:rFonts w:hint="default" w:ascii="Times New Roman" w:hAnsi="Times New Roman" w:cs="Times New Roman"/>
          <w:b/>
          <w:bCs w:val="0"/>
          <w:sz w:val="32"/>
          <w:szCs w:val="32"/>
          <w:lang w:eastAsia="zh-CN"/>
        </w:rPr>
        <w:t>退役军人正能量。</w:t>
      </w:r>
      <w:r>
        <w:rPr>
          <w:rFonts w:hint="default" w:ascii="Times New Roman" w:hAnsi="Times New Roman" w:eastAsia="仿宋_GB2312" w:cs="Times New Roman"/>
          <w:b w:val="0"/>
          <w:bCs/>
          <w:color w:val="auto"/>
          <w:sz w:val="32"/>
          <w:szCs w:val="32"/>
          <w:shd w:val="clear" w:color="auto" w:fill="FFFFFF"/>
        </w:rPr>
        <w:t>完成芦淞区零散烈士墓修缮工程。2022年2月正式启动县级以下英雄烈士纪念设施整修工程，4月底完成整修工程验收。与家属签订协议，集中迁入株洲流芳园23座；对另外12座烈士墓进行保护性修缮，清理杂草垃圾、修复碑文字迹、修复脱落墙体等，工程已完成并验收，经过市局现场考核，获得高度肯定。积极开展退役军人优待证申领工作。芦淞区在全市率先开展退役军人优待证建档立卡工作，并成为全市试点单位</w:t>
      </w:r>
      <w:r>
        <w:rPr>
          <w:rFonts w:hint="default" w:ascii="Times New Roman" w:hAnsi="Times New Roman"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lang w:val="en-US" w:eastAsia="zh-CN"/>
        </w:rPr>
        <w:t>6月底在芦淞区</w:t>
      </w:r>
      <w:r>
        <w:rPr>
          <w:rFonts w:hint="default" w:ascii="Times New Roman" w:hAnsi="Times New Roman" w:eastAsia="仿宋_GB2312" w:cs="Times New Roman"/>
          <w:b w:val="0"/>
          <w:bCs/>
          <w:color w:val="auto"/>
          <w:sz w:val="32"/>
          <w:szCs w:val="32"/>
          <w:shd w:val="clear" w:color="auto" w:fill="FFFFFF"/>
        </w:rPr>
        <w:t>举办株洲市首批优待证发放和关爱退役军人工程的签约仪式。目前退役军人优待证建档立卡信息</w:t>
      </w:r>
      <w:r>
        <w:rPr>
          <w:rFonts w:hint="default" w:ascii="Times New Roman" w:hAnsi="Times New Roman" w:eastAsia="仿宋_GB2312" w:cs="Times New Roman"/>
          <w:b w:val="0"/>
          <w:bCs/>
          <w:color w:val="auto"/>
          <w:sz w:val="32"/>
          <w:szCs w:val="32"/>
          <w:shd w:val="clear" w:color="auto" w:fill="FFFFFF"/>
          <w:lang w:val="en-US" w:eastAsia="zh-CN"/>
        </w:rPr>
        <w:t>72</w:t>
      </w:r>
      <w:r>
        <w:rPr>
          <w:rFonts w:hint="default" w:ascii="Times New Roman" w:hAnsi="Times New Roman" w:eastAsia="仿宋_GB2312" w:cs="Times New Roman"/>
          <w:b w:val="0"/>
          <w:bCs/>
          <w:color w:val="auto"/>
          <w:sz w:val="32"/>
          <w:szCs w:val="32"/>
          <w:shd w:val="clear" w:color="auto" w:fill="FFFFFF"/>
        </w:rPr>
        <w:t>00</w:t>
      </w:r>
      <w:r>
        <w:rPr>
          <w:rFonts w:hint="default" w:ascii="Times New Roman" w:hAnsi="Times New Roman" w:eastAsia="仿宋_GB2312" w:cs="Times New Roman"/>
          <w:b w:val="0"/>
          <w:bCs/>
          <w:color w:val="auto"/>
          <w:sz w:val="32"/>
          <w:szCs w:val="32"/>
          <w:shd w:val="clear" w:color="auto" w:fill="FFFFFF"/>
          <w:lang w:eastAsia="zh-CN"/>
        </w:rPr>
        <w:t>余</w:t>
      </w:r>
      <w:r>
        <w:rPr>
          <w:rFonts w:hint="default" w:ascii="Times New Roman" w:hAnsi="Times New Roman" w:eastAsia="仿宋_GB2312" w:cs="Times New Roman"/>
          <w:b w:val="0"/>
          <w:bCs/>
          <w:color w:val="auto"/>
          <w:sz w:val="32"/>
          <w:szCs w:val="32"/>
          <w:shd w:val="clear" w:color="auto" w:fill="FFFFFF"/>
        </w:rPr>
        <w:t>条，发放优待证2</w:t>
      </w:r>
      <w:r>
        <w:rPr>
          <w:rFonts w:hint="default" w:ascii="Times New Roman" w:hAnsi="Times New Roman" w:eastAsia="仿宋_GB2312" w:cs="Times New Roman"/>
          <w:b w:val="0"/>
          <w:bCs/>
          <w:color w:val="auto"/>
          <w:sz w:val="32"/>
          <w:szCs w:val="32"/>
          <w:shd w:val="clear" w:color="auto" w:fill="FFFFFF"/>
          <w:lang w:val="en-US" w:eastAsia="zh-CN"/>
        </w:rPr>
        <w:t>255</w:t>
      </w:r>
      <w:r>
        <w:rPr>
          <w:rFonts w:hint="default" w:ascii="Times New Roman" w:hAnsi="Times New Roman" w:eastAsia="仿宋_GB2312" w:cs="Times New Roman"/>
          <w:b w:val="0"/>
          <w:bCs/>
          <w:color w:val="auto"/>
          <w:sz w:val="32"/>
          <w:szCs w:val="32"/>
          <w:shd w:val="clear" w:color="auto" w:fill="FFFFFF"/>
        </w:rPr>
        <w:t>张，并继续有序推进。</w:t>
      </w:r>
      <w:r>
        <w:rPr>
          <w:rFonts w:hint="default" w:ascii="Times New Roman" w:hAnsi="Times New Roman" w:eastAsia="仿宋_GB2312" w:cs="Times New Roman"/>
          <w:b w:val="0"/>
          <w:bCs/>
          <w:sz w:val="32"/>
          <w:szCs w:val="32"/>
          <w:lang w:eastAsia="zh-CN"/>
        </w:rPr>
        <w:t>持续开展为立功受奖军人家属送喜报工作，</w:t>
      </w:r>
      <w:r>
        <w:rPr>
          <w:rFonts w:hint="default" w:ascii="Times New Roman" w:hAnsi="Times New Roman" w:eastAsia="仿宋_GB2312" w:cs="Times New Roman"/>
          <w:b w:val="0"/>
          <w:bCs/>
          <w:sz w:val="32"/>
          <w:szCs w:val="32"/>
          <w:lang w:val="en-US" w:eastAsia="zh-CN"/>
        </w:rPr>
        <w:t>2022年度</w:t>
      </w:r>
      <w:r>
        <w:rPr>
          <w:rFonts w:hint="default" w:ascii="Times New Roman" w:hAnsi="Times New Roman" w:eastAsia="仿宋_GB2312" w:cs="Times New Roman"/>
          <w:b w:val="0"/>
          <w:bCs/>
          <w:sz w:val="32"/>
          <w:szCs w:val="32"/>
          <w:lang w:eastAsia="zh-CN"/>
        </w:rPr>
        <w:t>联合武装部、各镇（街道）为</w:t>
      </w:r>
      <w:r>
        <w:rPr>
          <w:rFonts w:hint="default" w:ascii="Times New Roman" w:hAnsi="Times New Roman" w:eastAsia="仿宋_GB2312" w:cs="Times New Roman"/>
          <w:b w:val="0"/>
          <w:bCs/>
          <w:sz w:val="32"/>
          <w:szCs w:val="32"/>
          <w:lang w:val="en-US" w:eastAsia="zh-CN"/>
        </w:rPr>
        <w:t>14名获三等功及以上现役军人</w:t>
      </w:r>
      <w:r>
        <w:rPr>
          <w:rFonts w:hint="default" w:ascii="Times New Roman" w:hAnsi="Times New Roman" w:eastAsia="仿宋_GB2312" w:cs="Times New Roman"/>
          <w:b w:val="0"/>
          <w:bCs/>
          <w:sz w:val="32"/>
          <w:szCs w:val="32"/>
          <w:lang w:eastAsia="zh-CN"/>
        </w:rPr>
        <w:t>家属上门送喜报，让军属、退役军人充分感受到了社会尊崇</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eastAsia="zh-CN"/>
        </w:rPr>
        <w:t>组织开展</w:t>
      </w:r>
      <w:r>
        <w:rPr>
          <w:rFonts w:hint="default" w:ascii="Times New Roman" w:hAnsi="Times New Roman" w:eastAsia="仿宋_GB2312" w:cs="Times New Roman"/>
          <w:b w:val="0"/>
          <w:bCs/>
          <w:sz w:val="32"/>
          <w:szCs w:val="32"/>
        </w:rPr>
        <w:t>形式多样的志愿服务活动</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i w:val="0"/>
          <w:iCs w:val="0"/>
          <w:caps w:val="0"/>
          <w:color w:val="000000"/>
          <w:spacing w:val="0"/>
          <w:kern w:val="0"/>
          <w:sz w:val="32"/>
          <w:szCs w:val="32"/>
          <w:shd w:val="clear" w:color="auto" w:fill="FFFFFF"/>
          <w:lang w:val="en-US" w:eastAsia="zh-CN" w:bidi="ar"/>
        </w:rPr>
        <w:t>服务疫情防控隔离点、核酸检测、文明劝导等工作60余人次，教师节捐助贫困学生3000元，</w:t>
      </w:r>
      <w:r>
        <w:rPr>
          <w:rFonts w:hint="default" w:ascii="Times New Roman" w:hAnsi="Times New Roman" w:eastAsia="仿宋_GB2312" w:cs="Times New Roman"/>
          <w:b w:val="0"/>
          <w:bCs/>
          <w:sz w:val="32"/>
          <w:szCs w:val="32"/>
        </w:rPr>
        <w:t>打造“</w:t>
      </w:r>
      <w:r>
        <w:rPr>
          <w:rFonts w:hint="default" w:ascii="Times New Roman" w:hAnsi="Times New Roman" w:eastAsia="仿宋_GB2312" w:cs="Times New Roman"/>
          <w:b w:val="0"/>
          <w:bCs/>
          <w:sz w:val="32"/>
          <w:szCs w:val="32"/>
          <w:lang w:eastAsia="zh-CN"/>
        </w:rPr>
        <w:t>芦淞退役军人</w:t>
      </w:r>
      <w:r>
        <w:rPr>
          <w:rFonts w:hint="default" w:ascii="Times New Roman" w:hAnsi="Times New Roman" w:eastAsia="仿宋_GB2312" w:cs="Times New Roman"/>
          <w:b w:val="0"/>
          <w:bCs/>
          <w:sz w:val="32"/>
          <w:szCs w:val="32"/>
        </w:rPr>
        <w:t>”志愿服务品牌</w:t>
      </w:r>
      <w:r>
        <w:rPr>
          <w:rFonts w:hint="default" w:ascii="Times New Roman" w:hAnsi="Times New Roman" w:eastAsia="仿宋_GB2312" w:cs="Times New Roman"/>
          <w:b w:val="0"/>
          <w:bCs/>
          <w:sz w:val="32"/>
          <w:szCs w:val="32"/>
          <w:lang w:eastAsia="zh-CN"/>
        </w:rPr>
        <w:t>。</w:t>
      </w:r>
    </w:p>
    <w:p w14:paraId="5B2F1568">
      <w:pPr>
        <w:pStyle w:val="10"/>
        <w:keepNext w:val="0"/>
        <w:keepLines w:val="0"/>
        <w:pageBreakBefore w:val="0"/>
        <w:numPr>
          <w:ilvl w:val="0"/>
          <w:numId w:val="0"/>
        </w:numPr>
        <w:kinsoku/>
        <w:wordWrap/>
        <w:overflowPunct/>
        <w:topLinePunct w:val="0"/>
        <w:autoSpaceDE/>
        <w:autoSpaceDN/>
        <w:bidi w:val="0"/>
        <w:adjustRightInd w:val="0"/>
        <w:snapToGrid w:val="0"/>
        <w:spacing w:line="560" w:lineRule="exact"/>
        <w:ind w:left="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b/>
          <w:bCs/>
          <w:color w:val="auto"/>
          <w:sz w:val="32"/>
          <w:szCs w:val="32"/>
          <w:shd w:val="clear" w:color="auto" w:fill="FFFFFF"/>
          <w:lang w:val="en-US" w:eastAsia="zh-CN"/>
        </w:rPr>
        <w:t>4、汇聚各方力量，促进退役军人就业安置。一是</w:t>
      </w:r>
      <w:r>
        <w:rPr>
          <w:rFonts w:hint="default" w:ascii="Times New Roman" w:hAnsi="Times New Roman" w:eastAsia="仿宋" w:cs="Times New Roman"/>
          <w:b w:val="0"/>
          <w:bCs w:val="0"/>
          <w:color w:val="auto"/>
          <w:sz w:val="32"/>
          <w:szCs w:val="32"/>
          <w:shd w:val="clear" w:color="auto" w:fill="FFFFFF"/>
          <w:lang w:val="en-US" w:eastAsia="zh-CN"/>
        </w:rPr>
        <w:t>9月举</w:t>
      </w:r>
      <w:r>
        <w:rPr>
          <w:rFonts w:hint="default" w:ascii="Times New Roman" w:hAnsi="Times New Roman" w:eastAsia="仿宋" w:cs="Times New Roman"/>
          <w:color w:val="auto"/>
          <w:sz w:val="32"/>
          <w:szCs w:val="32"/>
          <w:shd w:val="clear" w:color="auto" w:fill="FFFFFF"/>
          <w:lang w:val="en-US" w:eastAsia="zh-CN"/>
        </w:rPr>
        <w:t>办2022年芦淞区退役军人欢迎仪式暨退役军人专场招聘会，联合区委统战部、区工商联、区人社局提供招聘岗位约180个，全年通过定向招聘、推荐就业促进</w:t>
      </w:r>
      <w:r>
        <w:rPr>
          <w:rFonts w:hint="default" w:ascii="Times New Roman" w:hAnsi="Times New Roman" w:eastAsia="仿宋" w:cs="Times New Roman"/>
          <w:color w:val="auto"/>
          <w:sz w:val="32"/>
          <w:szCs w:val="32"/>
          <w:shd w:val="clear" w:color="auto" w:fill="FFFFFF"/>
        </w:rPr>
        <w:t>退役军人就业</w:t>
      </w:r>
      <w:r>
        <w:rPr>
          <w:rFonts w:hint="default" w:ascii="Times New Roman" w:hAnsi="Times New Roman" w:eastAsia="仿宋" w:cs="Times New Roman"/>
          <w:color w:val="auto"/>
          <w:sz w:val="32"/>
          <w:szCs w:val="32"/>
          <w:shd w:val="clear" w:color="auto" w:fill="FFFFFF"/>
          <w:lang w:val="en-US" w:eastAsia="zh-CN"/>
        </w:rPr>
        <w:t>30余</w:t>
      </w:r>
      <w:r>
        <w:rPr>
          <w:rFonts w:hint="default" w:ascii="Times New Roman" w:hAnsi="Times New Roman" w:eastAsia="仿宋" w:cs="Times New Roman"/>
          <w:color w:val="auto"/>
          <w:sz w:val="32"/>
          <w:szCs w:val="32"/>
          <w:shd w:val="clear" w:color="auto" w:fill="FFFFFF"/>
        </w:rPr>
        <w:t>人</w:t>
      </w:r>
      <w:r>
        <w:rPr>
          <w:rFonts w:hint="default" w:ascii="Times New Roman" w:hAnsi="Times New Roman" w:eastAsia="仿宋" w:cs="Times New Roman"/>
          <w:color w:val="auto"/>
          <w:sz w:val="32"/>
          <w:szCs w:val="32"/>
          <w:shd w:val="clear" w:color="auto" w:fill="FFFFFF"/>
          <w:lang w:eastAsia="zh-CN"/>
        </w:rPr>
        <w:t>。</w:t>
      </w:r>
      <w:r>
        <w:rPr>
          <w:rFonts w:hint="default" w:ascii="Times New Roman" w:hAnsi="Times New Roman" w:eastAsia="仿宋" w:cs="Times New Roman"/>
          <w:b/>
          <w:bCs/>
          <w:color w:val="auto"/>
          <w:sz w:val="32"/>
          <w:szCs w:val="32"/>
          <w:shd w:val="clear" w:color="auto" w:fill="FFFFFF"/>
          <w:lang w:val="en-US" w:eastAsia="zh-CN"/>
        </w:rPr>
        <w:t>二是</w:t>
      </w:r>
      <w:r>
        <w:rPr>
          <w:rFonts w:hint="default" w:ascii="Times New Roman" w:hAnsi="Times New Roman" w:eastAsia="仿宋" w:cs="Times New Roman"/>
          <w:color w:val="auto"/>
          <w:sz w:val="32"/>
          <w:szCs w:val="32"/>
          <w:shd w:val="clear" w:color="auto" w:fill="FFFFFF"/>
        </w:rPr>
        <w:t>通过开展岗前就业培训、技能提升培训、创业政策帮扶等培育退役军人市场主体</w:t>
      </w:r>
      <w:r>
        <w:rPr>
          <w:rFonts w:hint="default" w:ascii="Times New Roman" w:hAnsi="Times New Roman" w:eastAsia="仿宋" w:cs="Times New Roman"/>
          <w:color w:val="auto"/>
          <w:sz w:val="32"/>
          <w:szCs w:val="32"/>
          <w:shd w:val="clear" w:color="auto" w:fill="FFFFFF"/>
          <w:lang w:val="en-US" w:eastAsia="zh-CN"/>
        </w:rPr>
        <w:t>13</w:t>
      </w:r>
      <w:r>
        <w:rPr>
          <w:rFonts w:hint="default" w:ascii="Times New Roman" w:hAnsi="Times New Roman" w:eastAsia="仿宋" w:cs="Times New Roman"/>
          <w:color w:val="auto"/>
          <w:sz w:val="32"/>
          <w:szCs w:val="32"/>
          <w:shd w:val="clear" w:color="auto" w:fill="FFFFFF"/>
        </w:rPr>
        <w:t>家</w:t>
      </w:r>
      <w:r>
        <w:rPr>
          <w:rFonts w:hint="default" w:ascii="Times New Roman" w:hAnsi="Times New Roman" w:eastAsia="仿宋" w:cs="Times New Roman"/>
          <w:color w:val="auto"/>
          <w:sz w:val="32"/>
          <w:szCs w:val="32"/>
          <w:shd w:val="clear" w:color="auto" w:fill="FFFFFF"/>
          <w:lang w:eastAsia="zh-CN"/>
        </w:rPr>
        <w:t>，培训抖音电商创业</w:t>
      </w:r>
      <w:r>
        <w:rPr>
          <w:rFonts w:hint="default" w:ascii="Times New Roman" w:hAnsi="Times New Roman" w:eastAsia="仿宋" w:cs="Times New Roman"/>
          <w:color w:val="auto"/>
          <w:sz w:val="32"/>
          <w:szCs w:val="32"/>
          <w:shd w:val="clear" w:color="auto" w:fill="FFFFFF"/>
          <w:lang w:val="en-US" w:eastAsia="zh-CN"/>
        </w:rPr>
        <w:t>30人</w:t>
      </w:r>
      <w:r>
        <w:rPr>
          <w:rFonts w:hint="default" w:ascii="Times New Roman" w:hAnsi="Times New Roman" w:eastAsia="仿宋" w:cs="Times New Roman"/>
          <w:color w:val="auto"/>
          <w:sz w:val="32"/>
          <w:szCs w:val="32"/>
          <w:shd w:val="clear" w:color="auto" w:fill="FFFFFF"/>
        </w:rPr>
        <w:t>。</w:t>
      </w:r>
      <w:r>
        <w:rPr>
          <w:rFonts w:hint="default" w:ascii="Times New Roman" w:hAnsi="Times New Roman" w:eastAsia="仿宋" w:cs="Times New Roman"/>
          <w:b/>
          <w:bCs/>
          <w:color w:val="auto"/>
          <w:sz w:val="32"/>
          <w:szCs w:val="32"/>
          <w:shd w:val="clear" w:color="auto" w:fill="FFFFFF"/>
          <w:lang w:eastAsia="zh-CN"/>
        </w:rPr>
        <w:t>三是</w:t>
      </w:r>
      <w:r>
        <w:rPr>
          <w:rFonts w:hint="default" w:ascii="Times New Roman" w:hAnsi="Times New Roman" w:eastAsia="仿宋" w:cs="Times New Roman"/>
          <w:color w:val="auto"/>
          <w:sz w:val="32"/>
          <w:szCs w:val="32"/>
          <w:shd w:val="clear" w:color="auto" w:fill="FFFFFF"/>
          <w:lang w:val="en-US" w:eastAsia="zh-CN"/>
        </w:rPr>
        <w:t>2022年度我区</w:t>
      </w:r>
      <w:r>
        <w:rPr>
          <w:rFonts w:hint="default" w:ascii="Times New Roman" w:hAnsi="Times New Roman" w:eastAsia="仿宋_GB2312" w:cs="Times New Roman"/>
          <w:color w:val="000000"/>
          <w:sz w:val="32"/>
          <w:szCs w:val="32"/>
        </w:rPr>
        <w:t>接收转业士官安置任务6人，10月底完成</w:t>
      </w:r>
      <w:r>
        <w:rPr>
          <w:rFonts w:hint="default" w:ascii="Times New Roman" w:hAnsi="Times New Roman" w:eastAsia="仿宋_GB2312" w:cs="Times New Roman"/>
          <w:color w:val="000000"/>
          <w:sz w:val="32"/>
          <w:szCs w:val="32"/>
          <w:shd w:val="clear" w:color="auto" w:fill="FFFFFF"/>
        </w:rPr>
        <w:t>区内安置士官分配、入编、上岗、起薪。</w:t>
      </w:r>
    </w:p>
    <w:p w14:paraId="793F60D8">
      <w:pPr>
        <w:keepNext w:val="0"/>
        <w:keepLines w:val="0"/>
        <w:pageBreakBefore w:val="0"/>
        <w:kinsoku/>
        <w:wordWrap/>
        <w:overflowPunct/>
        <w:topLinePunct w:val="0"/>
        <w:bidi w:val="0"/>
        <w:spacing w:line="560" w:lineRule="exact"/>
        <w:ind w:left="0" w:firstLine="643" w:firstLineChars="200"/>
        <w:jc w:val="both"/>
        <w:textAlignment w:val="auto"/>
        <w:rPr>
          <w:rFonts w:hint="default" w:ascii="Times New Roman" w:hAnsi="Times New Roman" w:eastAsia="楷体_GB2312" w:cs="Times New Roman"/>
          <w:b/>
          <w:kern w:val="2"/>
          <w:sz w:val="32"/>
          <w:szCs w:val="32"/>
          <w:shd w:val="clear" w:color="auto" w:fill="auto"/>
          <w:lang w:val="en-US" w:eastAsia="zh-CN" w:bidi="ar-SA"/>
        </w:rPr>
      </w:pPr>
      <w:r>
        <w:rPr>
          <w:rFonts w:hint="default" w:ascii="Times New Roman" w:hAnsi="Times New Roman" w:eastAsia="楷体_GB2312" w:cs="Times New Roman"/>
          <w:b/>
          <w:kern w:val="2"/>
          <w:sz w:val="32"/>
          <w:szCs w:val="32"/>
          <w:shd w:val="clear" w:color="auto" w:fill="auto"/>
          <w:lang w:val="en-US" w:eastAsia="zh-CN" w:bidi="ar-SA"/>
        </w:rPr>
        <w:t>（二）专项资金支出绩效情况</w:t>
      </w:r>
    </w:p>
    <w:p w14:paraId="3E2781CC">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shd w:val="clear" w:color="auto" w:fill="auto"/>
          <w:lang w:val="en-US" w:eastAsia="zh-CN" w:bidi="ar-SA"/>
        </w:rPr>
        <w:t>一般公共服务</w:t>
      </w:r>
      <w:r>
        <w:rPr>
          <w:rFonts w:hint="default" w:ascii="Times New Roman" w:hAnsi="Times New Roman" w:eastAsia="仿宋_GB2312" w:cs="Times New Roman"/>
          <w:color w:val="000000"/>
          <w:kern w:val="2"/>
          <w:sz w:val="32"/>
          <w:szCs w:val="32"/>
          <w:lang w:val="en-US" w:eastAsia="zh-CN" w:bidi="ar-SA"/>
        </w:rPr>
        <w:t>支出6.33万元。</w:t>
      </w:r>
      <w:r>
        <w:rPr>
          <w:rFonts w:hint="eastAsia" w:ascii="Times New Roman" w:hAnsi="Times New Roman" w:eastAsia="仿宋_GB2312" w:cs="Times New Roman"/>
          <w:color w:val="000000"/>
          <w:kern w:val="2"/>
          <w:sz w:val="32"/>
          <w:szCs w:val="32"/>
          <w:lang w:val="en-US" w:eastAsia="zh-CN" w:bidi="ar-SA"/>
        </w:rPr>
        <w:t>主要</w:t>
      </w:r>
      <w:r>
        <w:rPr>
          <w:rFonts w:hint="default" w:ascii="Times New Roman" w:hAnsi="Times New Roman" w:eastAsia="仿宋_GB2312" w:cs="Times New Roman"/>
          <w:color w:val="000000"/>
          <w:kern w:val="2"/>
          <w:sz w:val="32"/>
          <w:szCs w:val="32"/>
          <w:lang w:val="en-US" w:eastAsia="zh-CN" w:bidi="ar-SA"/>
        </w:rPr>
        <w:t>用于保障</w:t>
      </w:r>
      <w:r>
        <w:rPr>
          <w:rFonts w:hint="default" w:ascii="Times New Roman" w:hAnsi="Times New Roman" w:eastAsia="仿宋_GB2312" w:cs="Times New Roman"/>
          <w:color w:val="000000"/>
          <w:sz w:val="32"/>
          <w:szCs w:val="32"/>
          <w:lang w:eastAsia="zh-CN"/>
        </w:rPr>
        <w:t>好重要敏感时期重点群体信访稳定工作。</w:t>
      </w:r>
    </w:p>
    <w:p w14:paraId="6D5D99D7">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shd w:val="clear" w:color="auto" w:fill="auto"/>
          <w:lang w:val="en-US" w:eastAsia="zh-CN" w:bidi="ar-SA"/>
        </w:rPr>
        <w:t>公共安全</w:t>
      </w:r>
      <w:r>
        <w:rPr>
          <w:rFonts w:hint="default" w:ascii="Times New Roman" w:hAnsi="Times New Roman" w:eastAsia="仿宋_GB2312" w:cs="Times New Roman"/>
          <w:color w:val="000000"/>
          <w:kern w:val="2"/>
          <w:sz w:val="32"/>
          <w:szCs w:val="32"/>
          <w:lang w:val="en-US" w:eastAsia="zh-CN" w:bidi="ar-SA"/>
        </w:rPr>
        <w:t>支出1.03万元。</w:t>
      </w:r>
      <w:r>
        <w:rPr>
          <w:rFonts w:hint="eastAsia" w:ascii="Times New Roman" w:hAnsi="Times New Roman" w:eastAsia="仿宋_GB2312" w:cs="Times New Roman"/>
          <w:color w:val="000000"/>
          <w:kern w:val="2"/>
          <w:sz w:val="32"/>
          <w:szCs w:val="32"/>
          <w:lang w:val="en-US" w:eastAsia="zh-CN" w:bidi="ar-SA"/>
        </w:rPr>
        <w:t>主要</w:t>
      </w:r>
      <w:r>
        <w:rPr>
          <w:rFonts w:hint="default" w:ascii="Times New Roman" w:hAnsi="Times New Roman" w:eastAsia="仿宋_GB2312" w:cs="Times New Roman"/>
          <w:color w:val="000000"/>
          <w:kern w:val="2"/>
          <w:sz w:val="32"/>
          <w:szCs w:val="32"/>
          <w:lang w:val="en-US" w:eastAsia="zh-CN" w:bidi="ar-SA"/>
        </w:rPr>
        <w:t>用于保障</w:t>
      </w:r>
      <w:r>
        <w:rPr>
          <w:rFonts w:hint="default" w:ascii="Times New Roman" w:hAnsi="Times New Roman" w:eastAsia="仿宋_GB2312" w:cs="Times New Roman"/>
          <w:color w:val="000000"/>
          <w:sz w:val="32"/>
          <w:szCs w:val="32"/>
          <w:lang w:eastAsia="zh-CN"/>
        </w:rPr>
        <w:t>好重要敏感时期重点群体信访稳定工作。</w:t>
      </w:r>
    </w:p>
    <w:p w14:paraId="47BB5979">
      <w:pPr>
        <w:keepNext w:val="0"/>
        <w:keepLines w:val="0"/>
        <w:pageBreakBefore w:val="0"/>
        <w:tabs>
          <w:tab w:val="left" w:pos="7560"/>
        </w:tabs>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3、社会保障和就业支出1794.19万元。</w:t>
      </w:r>
    </w:p>
    <w:p w14:paraId="34005747">
      <w:pPr>
        <w:keepNext w:val="0"/>
        <w:keepLines w:val="0"/>
        <w:pageBreakBefore w:val="0"/>
        <w:tabs>
          <w:tab w:val="left" w:pos="7560"/>
        </w:tabs>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行政事业单位养老支出经费共计80.19万元，用于补充符合条件的退役士兵补缴养老保险、医疗保险财政承担部分，有效的保障了退役士兵养老问题。</w:t>
      </w:r>
    </w:p>
    <w:p w14:paraId="427A5410">
      <w:pPr>
        <w:pStyle w:val="2"/>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kern w:val="2"/>
          <w:sz w:val="32"/>
          <w:szCs w:val="32"/>
          <w:lang w:val="en-US" w:eastAsia="zh-CN" w:bidi="ar-SA"/>
        </w:rPr>
        <w:t>就业补助支出经费共计0.19万元，用于支付在我局工作的退役军人公益性岗位工资。</w:t>
      </w:r>
    </w:p>
    <w:p w14:paraId="4E89AED8">
      <w:pPr>
        <w:keepNext w:val="0"/>
        <w:keepLines w:val="0"/>
        <w:pageBreakBefore w:val="0"/>
        <w:tabs>
          <w:tab w:val="left" w:pos="7560"/>
        </w:tabs>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抚恤经费共计1483.6万元，通过发放优抚对象抚恤补助资金、开展双拥慰问工作，使优抚对象等人员的基本生活得到有效保障，包含死亡抚恤、伤残定期抚恤、在乡复原军人退伍补助、义务兵优待金、农村籍退役士兵老年生活补助、其他优抚支出。及时、足额保障全区优抚对象抚恤补助发放到位，进一步改善困难退役军人的生活和健康状况，使优抚对象更直接地感受到党和政府的温暖，不断增强他们的幸福感、获得感和荣誉感。</w:t>
      </w:r>
    </w:p>
    <w:p w14:paraId="3DF79B92">
      <w:pPr>
        <w:keepNext w:val="0"/>
        <w:keepLines w:val="0"/>
        <w:pageBreakBefore w:val="0"/>
        <w:tabs>
          <w:tab w:val="left" w:pos="7560"/>
        </w:tabs>
        <w:kinsoku/>
        <w:wordWrap/>
        <w:overflowPunct/>
        <w:topLinePunct w:val="0"/>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退役安置经费共计174.68万元，用于发放自主就业士兵一次性经济补助、军队移交政府的离退休人员安置、军队转业干部安置、其他退役安置支出。大力推行阳光安置，2022年全区退役士官10月份全部安置到位。通过对符合政府安排工作条件而选择自主就业的退役士兵发给一次性就业补助金，提高了退役士兵的获得感、荣誉感。保障军队无军籍退休退职职工移交地方安置后，享受安置地财政全额拨款事业单位同职级退休人员同等津贴补贴待遇。</w:t>
      </w:r>
    </w:p>
    <w:p w14:paraId="321131E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退役军人管理事务经费共计55.52万元，用于整修县级以下零散烈士纪念设施、信访维稳工作、困难帮扶工作、解决历史遗留问题等。通过落实政策、2022年迁移烈士墓23座整修烈士墓12座，走访慰问、协调联系解决退役军人实际困难问题14个，建立各项退役军人信访工作机制，全年接访400余次，有效维护了全区退役军人群体稳定。</w:t>
      </w:r>
    </w:p>
    <w:p w14:paraId="78A8489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卫生健康支出27.46万元。优抚对象医疗保障共计27.46万元，通过发放优抚对象医疗补助资金，使优抚对象参保缴费、住院和门诊费用进行补助，有效帮助解决优抚对象医疗难问题。</w:t>
      </w:r>
    </w:p>
    <w:p w14:paraId="369A65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其他支出0.33万元。用于单位其他中心工作、机关运转服务等。</w:t>
      </w:r>
    </w:p>
    <w:p w14:paraId="3EDF49DB">
      <w:pPr>
        <w:pStyle w:val="8"/>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BF37133">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预算数与决算数存在一定差异，其主要原因是一是2022年有项目资金直拨镇（街道），年底直接在镇（街道）核算资金；二是削减部分人员经费项目；三是今年财政资金紧张，部分专项资金未能在当年度及时拨付发放到位。项目支出绩效评价指标体系不完善，给考核评价及评分工作带来一定的困难。在绩效评价工作中，财政支出子项目多，多个子项目合并为一个主项目时存在一定困难，有些项目绩效评价存在困难。</w:t>
      </w:r>
    </w:p>
    <w:p w14:paraId="0C61B123">
      <w:pPr>
        <w:keepNext w:val="0"/>
        <w:keepLines w:val="0"/>
        <w:pageBreakBefore w:val="0"/>
        <w:numPr>
          <w:ilvl w:val="0"/>
          <w:numId w:val="5"/>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78FACA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一是高度重视绩效管理工作，成立绩效评价工作机构，有计划有步骤的实施绩效评价；二是加强预算执行管理，定期通报项目资金使用进度和预算执行进度，并对做好预算管理工作提出具体要求；三是加强督促跟踪问效，定期对项目、资金管理情况进行跟踪检查，督促按时、按质、按量完成项目建设。四是加强争取上级资金，保证资金及时拨付发放到位。</w:t>
      </w:r>
    </w:p>
    <w:p w14:paraId="6C3BE56A">
      <w:pPr>
        <w:keepNext w:val="0"/>
        <w:keepLines w:val="0"/>
        <w:pageBreakBefore w:val="0"/>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14:paraId="55861237">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绩效自评结果将广泛运用于来年的预算编制和财政资金管理中，以期优化资金配置，提高财政资金使用效率。</w:t>
      </w:r>
      <w:r>
        <w:rPr>
          <w:rFonts w:hint="default" w:ascii="Times New Roman" w:hAnsi="Times New Roman" w:eastAsia="仿宋_GB2312" w:cs="Times New Roman"/>
          <w:sz w:val="32"/>
          <w:szCs w:val="32"/>
        </w:rPr>
        <w:t>本单位没有独立网站，</w:t>
      </w:r>
      <w:r>
        <w:rPr>
          <w:rFonts w:hint="eastAsia" w:ascii="Times New Roman" w:hAnsi="Times New Roman" w:eastAsia="仿宋_GB2312" w:cs="Times New Roman"/>
          <w:sz w:val="32"/>
          <w:szCs w:val="32"/>
          <w:lang w:eastAsia="zh-CN"/>
        </w:rPr>
        <w:t>自评结果将与决算公开一起</w:t>
      </w:r>
      <w:r>
        <w:rPr>
          <w:rFonts w:hint="default" w:ascii="Times New Roman" w:hAnsi="Times New Roman" w:eastAsia="仿宋_GB2312" w:cs="Times New Roman"/>
          <w:sz w:val="32"/>
          <w:szCs w:val="32"/>
        </w:rPr>
        <w:t>在芦淞区政府信息公开专栏中公开</w:t>
      </w:r>
      <w:r>
        <w:rPr>
          <w:rFonts w:hint="eastAsia" w:ascii="Times New Roman" w:hAnsi="Times New Roman" w:eastAsia="仿宋_GB2312" w:cs="Times New Roman"/>
          <w:sz w:val="32"/>
          <w:szCs w:val="32"/>
          <w:lang w:eastAsia="zh-CN"/>
        </w:rPr>
        <w:t>，接受社会监督</w:t>
      </w:r>
      <w:r>
        <w:rPr>
          <w:rFonts w:hint="default" w:ascii="Times New Roman" w:hAnsi="Times New Roman" w:eastAsia="仿宋_GB2312" w:cs="Times New Roman"/>
          <w:sz w:val="32"/>
          <w:szCs w:val="32"/>
        </w:rPr>
        <w:t>。</w:t>
      </w:r>
    </w:p>
    <w:p w14:paraId="394B9DC0">
      <w:pPr>
        <w:keepNext w:val="0"/>
        <w:keepLines w:val="0"/>
        <w:pageBreakBefore w:val="0"/>
        <w:numPr>
          <w:ilvl w:val="0"/>
          <w:numId w:val="6"/>
        </w:numPr>
        <w:kinsoku/>
        <w:wordWrap/>
        <w:overflowPunct/>
        <w:topLinePunct w:val="0"/>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208BE17E">
      <w:pPr>
        <w:keepNext w:val="0"/>
        <w:keepLines w:val="0"/>
        <w:pageBreakBefore w:val="0"/>
        <w:numPr>
          <w:ilvl w:val="0"/>
          <w:numId w:val="0"/>
        </w:numPr>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w:t>
      </w:r>
    </w:p>
    <w:p w14:paraId="1A069C79">
      <w:pPr>
        <w:spacing w:line="600" w:lineRule="exact"/>
        <w:ind w:firstLine="640" w:firstLineChars="200"/>
        <w:rPr>
          <w:rFonts w:eastAsia="仿宋_GB2312"/>
          <w:sz w:val="32"/>
          <w:szCs w:val="32"/>
        </w:rPr>
      </w:pPr>
    </w:p>
    <w:p w14:paraId="54DDC765">
      <w:pPr>
        <w:spacing w:line="600" w:lineRule="exact"/>
        <w:rPr>
          <w:rFonts w:eastAsia="仿宋_GB2312"/>
          <w:kern w:val="0"/>
          <w:sz w:val="32"/>
          <w:szCs w:val="32"/>
        </w:rPr>
      </w:pPr>
    </w:p>
    <w:p w14:paraId="646C14C0">
      <w:r>
        <w:rPr>
          <w:rFonts w:eastAsia="黑体"/>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809A"/>
    <w:multiLevelType w:val="singleLevel"/>
    <w:tmpl w:val="A451809A"/>
    <w:lvl w:ilvl="0" w:tentative="0">
      <w:start w:val="2"/>
      <w:numFmt w:val="chineseCounting"/>
      <w:suff w:val="nothing"/>
      <w:lvlText w:val="（%1）"/>
      <w:lvlJc w:val="left"/>
      <w:rPr>
        <w:rFonts w:hint="eastAsia"/>
      </w:rPr>
    </w:lvl>
  </w:abstractNum>
  <w:abstractNum w:abstractNumId="1">
    <w:nsid w:val="B7537551"/>
    <w:multiLevelType w:val="singleLevel"/>
    <w:tmpl w:val="B7537551"/>
    <w:lvl w:ilvl="0" w:tentative="0">
      <w:start w:val="8"/>
      <w:numFmt w:val="chineseCounting"/>
      <w:suff w:val="nothing"/>
      <w:lvlText w:val="%1、"/>
      <w:lvlJc w:val="left"/>
      <w:rPr>
        <w:rFonts w:hint="eastAsia"/>
      </w:rPr>
    </w:lvl>
  </w:abstractNum>
  <w:abstractNum w:abstractNumId="2">
    <w:nsid w:val="BA988E07"/>
    <w:multiLevelType w:val="singleLevel"/>
    <w:tmpl w:val="BA988E07"/>
    <w:lvl w:ilvl="0" w:tentative="0">
      <w:start w:val="3"/>
      <w:numFmt w:val="chineseCounting"/>
      <w:suff w:val="nothing"/>
      <w:lvlText w:val="%1、"/>
      <w:lvlJc w:val="left"/>
      <w:rPr>
        <w:rFonts w:hint="eastAsia"/>
      </w:rPr>
    </w:lvl>
  </w:abstractNum>
  <w:abstractNum w:abstractNumId="3">
    <w:nsid w:val="1E1DB010"/>
    <w:multiLevelType w:val="singleLevel"/>
    <w:tmpl w:val="1E1DB010"/>
    <w:lvl w:ilvl="0" w:tentative="0">
      <w:start w:val="1"/>
      <w:numFmt w:val="decimal"/>
      <w:suff w:val="nothing"/>
      <w:lvlText w:val="%1、"/>
      <w:lvlJc w:val="left"/>
    </w:lvl>
  </w:abstractNum>
  <w:abstractNum w:abstractNumId="4">
    <w:nsid w:val="2979CA3D"/>
    <w:multiLevelType w:val="singleLevel"/>
    <w:tmpl w:val="2979CA3D"/>
    <w:lvl w:ilvl="0" w:tentative="0">
      <w:start w:val="10"/>
      <w:numFmt w:val="chineseCounting"/>
      <w:suff w:val="nothing"/>
      <w:lvlText w:val="%1、"/>
      <w:lvlJc w:val="left"/>
      <w:rPr>
        <w:rFonts w:hint="eastAsia"/>
      </w:rPr>
    </w:lvl>
  </w:abstractNum>
  <w:abstractNum w:abstractNumId="5">
    <w:nsid w:val="4890FF15"/>
    <w:multiLevelType w:val="singleLevel"/>
    <w:tmpl w:val="4890FF15"/>
    <w:lvl w:ilvl="0" w:tentative="0">
      <w:start w:val="2"/>
      <w:numFmt w:val="chineseCounting"/>
      <w:suff w:val="nothing"/>
      <w:lvlText w:val="（%1）"/>
      <w:lvlJc w:val="left"/>
      <w:rPr>
        <w:rFonts w:hint="eastAsia"/>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ZTRiNjk2NTkwMmIyMjU1NWMzNzE5MzBjNjc5ZGI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05071D"/>
    <w:rsid w:val="046063A3"/>
    <w:rsid w:val="048E4A8E"/>
    <w:rsid w:val="04A8621F"/>
    <w:rsid w:val="052D1124"/>
    <w:rsid w:val="05841760"/>
    <w:rsid w:val="058C239E"/>
    <w:rsid w:val="06334EF1"/>
    <w:rsid w:val="06377F01"/>
    <w:rsid w:val="06A168EC"/>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6D35B6"/>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3F397E"/>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3808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35C6818"/>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BC11CF"/>
    <w:rsid w:val="40CE715B"/>
    <w:rsid w:val="40D508AB"/>
    <w:rsid w:val="40E640CC"/>
    <w:rsid w:val="41D57B43"/>
    <w:rsid w:val="4296524E"/>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01D1B"/>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782049"/>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6F03358"/>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1E1113"/>
    <w:rsid w:val="67303E4C"/>
    <w:rsid w:val="67347CE6"/>
    <w:rsid w:val="673D5A3D"/>
    <w:rsid w:val="675A5E15"/>
    <w:rsid w:val="677549A9"/>
    <w:rsid w:val="678134D4"/>
    <w:rsid w:val="67F2708D"/>
    <w:rsid w:val="68030691"/>
    <w:rsid w:val="689E76A5"/>
    <w:rsid w:val="68DB1AF2"/>
    <w:rsid w:val="68E0427F"/>
    <w:rsid w:val="68F75735"/>
    <w:rsid w:val="694757F4"/>
    <w:rsid w:val="6B3B48D5"/>
    <w:rsid w:val="6BBF4B8D"/>
    <w:rsid w:val="6C483634"/>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center"/>
    </w:pPr>
    <w:rPr>
      <w:rFonts w:ascii="方正小标宋简体" w:hAnsi="方正小标宋简体" w:eastAsia="方正大标宋简体" w:cs="Times New Roman"/>
      <w:kern w:val="2"/>
      <w:sz w:val="4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next w:val="5"/>
    <w:qFormat/>
    <w:uiPriority w:val="99"/>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0">
    <w:name w:val="样式 文字 + 首行缩进:  2 字符3"/>
    <w:basedOn w:val="1"/>
    <w:qFormat/>
    <w:uiPriority w:val="99"/>
    <w:pPr>
      <w:spacing w:line="360" w:lineRule="auto"/>
      <w:jc w:val="left"/>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4217</Words>
  <Characters>4480</Characters>
  <Lines>0</Lines>
  <Paragraphs>0</Paragraphs>
  <TotalTime>0</TotalTime>
  <ScaleCrop>false</ScaleCrop>
  <LinksUpToDate>false</LinksUpToDate>
  <CharactersWithSpaces>4484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2024-07-05T01:41:52Z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3F22320346824ACA895FF1B8A6C21B8D_13</vt:lpwstr>
  </property>
</Properties>
</file>