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line="600" w:lineRule="exact"/>
        <w:ind w:firstLine="723" w:firstLineChars="200"/>
        <w:jc w:val="center"/>
        <w:rPr>
          <w:rFonts w:hAnsi="宋体" w:cs="宋体"/>
          <w:b/>
          <w:sz w:val="36"/>
          <w:szCs w:val="36"/>
        </w:rPr>
      </w:pPr>
      <w:r>
        <w:rPr>
          <w:rFonts w:hint="eastAsia" w:hAnsi="宋体" w:cs="宋体"/>
          <w:b/>
          <w:sz w:val="36"/>
          <w:szCs w:val="36"/>
        </w:rPr>
        <w:t>攸县医疗保障局</w:t>
      </w:r>
    </w:p>
    <w:p>
      <w:pPr>
        <w:pStyle w:val="2"/>
        <w:spacing w:line="600" w:lineRule="exact"/>
        <w:ind w:firstLine="723" w:firstLineChars="200"/>
        <w:jc w:val="center"/>
        <w:rPr>
          <w:rFonts w:hAnsi="宋体" w:cs="宋体"/>
          <w:b/>
          <w:sz w:val="36"/>
          <w:szCs w:val="36"/>
        </w:rPr>
      </w:pPr>
      <w:r>
        <w:rPr>
          <w:rFonts w:hint="eastAsia" w:hAnsi="宋体" w:cs="宋体"/>
          <w:b/>
          <w:sz w:val="36"/>
          <w:szCs w:val="36"/>
        </w:rPr>
        <w:t>2021年部门整体支出绩效自评报告</w:t>
      </w:r>
    </w:p>
    <w:p>
      <w:pPr>
        <w:pStyle w:val="2"/>
        <w:spacing w:line="600" w:lineRule="exact"/>
        <w:ind w:firstLine="2250" w:firstLineChars="750"/>
        <w:rPr>
          <w:rFonts w:hAnsi="宋体" w:cs="宋体"/>
          <w:sz w:val="30"/>
          <w:szCs w:val="30"/>
        </w:rPr>
      </w:pPr>
    </w:p>
    <w:p>
      <w:pPr>
        <w:pStyle w:val="2"/>
        <w:spacing w:line="500" w:lineRule="exact"/>
        <w:ind w:firstLine="600" w:firstLineChars="200"/>
        <w:rPr>
          <w:rFonts w:ascii="仿宋" w:hAnsi="仿宋" w:eastAsia="仿宋" w:cs="宋体"/>
          <w:sz w:val="30"/>
          <w:szCs w:val="30"/>
        </w:rPr>
      </w:pPr>
      <w:r>
        <w:rPr>
          <w:rFonts w:ascii="仿宋" w:hAnsi="仿宋" w:eastAsia="仿宋" w:cs="宋体"/>
          <w:sz w:val="30"/>
          <w:szCs w:val="30"/>
        </w:rPr>
        <w:t>一、部门（单位）概况</w:t>
      </w:r>
    </w:p>
    <w:p>
      <w:pPr>
        <w:pStyle w:val="2"/>
        <w:spacing w:line="500" w:lineRule="exact"/>
        <w:ind w:firstLine="600" w:firstLineChars="200"/>
        <w:rPr>
          <w:rFonts w:ascii="仿宋" w:hAnsi="仿宋" w:eastAsia="仿宋"/>
          <w:sz w:val="30"/>
          <w:szCs w:val="30"/>
        </w:rPr>
      </w:pPr>
      <w:r>
        <w:rPr>
          <w:rFonts w:ascii="仿宋" w:hAnsi="仿宋" w:eastAsia="仿宋" w:cs="宋体"/>
          <w:sz w:val="30"/>
          <w:szCs w:val="30"/>
        </w:rPr>
        <w:t>（一）机构组成：</w:t>
      </w:r>
      <w:r>
        <w:rPr>
          <w:rFonts w:hint="eastAsia" w:ascii="仿宋" w:hAnsi="仿宋" w:eastAsia="仿宋"/>
          <w:sz w:val="30"/>
          <w:szCs w:val="30"/>
        </w:rPr>
        <w:t>攸县医疗保障局是攸县人民政府工作部门，主管全县医疗保障工作的正科级行政机关，属一级预算单位。下设三</w:t>
      </w:r>
      <w:r>
        <w:rPr>
          <w:rFonts w:hint="eastAsia" w:ascii="仿宋" w:hAnsi="仿宋" w:eastAsia="仿宋" w:cs="Times New Roman"/>
          <w:sz w:val="30"/>
          <w:szCs w:val="30"/>
        </w:rPr>
        <w:t>个股室和一个二级事业单位，</w:t>
      </w:r>
      <w:r>
        <w:rPr>
          <w:rFonts w:hint="eastAsia" w:ascii="仿宋" w:hAnsi="仿宋" w:eastAsia="仿宋"/>
          <w:sz w:val="30"/>
          <w:szCs w:val="30"/>
        </w:rPr>
        <w:t>即：办公室、医药管理股、基金财务股和攸县医疗保障事务中心。</w:t>
      </w:r>
    </w:p>
    <w:p>
      <w:pPr>
        <w:pStyle w:val="2"/>
        <w:spacing w:line="500" w:lineRule="exact"/>
        <w:ind w:firstLine="600" w:firstLineChars="200"/>
        <w:rPr>
          <w:rFonts w:ascii="仿宋" w:hAnsi="仿宋" w:eastAsia="仿宋" w:cs="宋体"/>
          <w:sz w:val="30"/>
          <w:szCs w:val="30"/>
        </w:rPr>
      </w:pPr>
      <w:r>
        <w:rPr>
          <w:rFonts w:ascii="仿宋" w:hAnsi="仿宋" w:eastAsia="仿宋" w:cs="宋体"/>
          <w:sz w:val="30"/>
          <w:szCs w:val="30"/>
        </w:rPr>
        <w:t>（二）机构职能：</w:t>
      </w:r>
      <w:r>
        <w:rPr>
          <w:rFonts w:hint="eastAsia" w:ascii="仿宋" w:hAnsi="仿宋" w:eastAsia="仿宋"/>
          <w:sz w:val="30"/>
          <w:szCs w:val="30"/>
        </w:rPr>
        <w:t>本部门主要职责是：1、拟定全县医疗保障制度的政策、规划和标准，并组织实施；2、强化医疗保障基金管理，建立健全医疗保障基金安全防控机制，推进医疗保障基金支付方式改革；3、组织制定并监督、指导全县医疗保障筹资和待遇政策，完善动态调整机制，建立健全与筹资水平相适应的待遇调整机制，组织拟订并实施长期护理保险制度改革方案；4、贯彻落实全省城乡统一的药品、医用耗材、医疗服务项目、医疗服务设施等医保目录和支付标准，按照动态调整机制和医保目录准入谈判规则，及时组织实施；5、贯彻落实全省上药品、医用耍笔杆的价格和医疗服务项目、医疗服务设施收费等政策，协助建立市场主导的社会医药服务价格形成机制，执行全省价格信息检测和信息发布制度；6、贯彻落实全省药品、医用耗材的招标采购政策并监督实施，加强药品和医疗服务价格监督管理；7、制定全县定点医药机构协议和支付管理办法并组织实施，建立健全医疗保障信用评价体系和信息披露制度，监督管理纳入医保范围内的医疗服务行为和医疗费用，依法查处医疗保障领域违法违规行为；8、负责全县医疗保障经办管理、公共服务体系和信息化建设，指导和监督全县医疗保障经办业务工作。完善异地就医管理和费用结算机制，建立健全医疗保障关系转移接续制度；9、做好医疗保障相关政策的宣传和人员培训等工作；10、会同相关部门做好全县医保参保缴费等相关工作；11、会同</w:t>
      </w:r>
      <w:r>
        <w:rPr>
          <w:rFonts w:hint="eastAsia" w:ascii="仿宋" w:hAnsi="仿宋" w:eastAsia="仿宋"/>
          <w:sz w:val="30"/>
          <w:szCs w:val="30"/>
          <w:lang w:eastAsia="zh-CN"/>
        </w:rPr>
        <w:t>卫健</w:t>
      </w:r>
      <w:bookmarkStart w:id="0" w:name="_GoBack"/>
      <w:bookmarkEnd w:id="0"/>
      <w:r>
        <w:rPr>
          <w:rFonts w:hint="eastAsia" w:ascii="仿宋" w:hAnsi="仿宋" w:eastAsia="仿宋"/>
          <w:sz w:val="30"/>
          <w:szCs w:val="30"/>
        </w:rPr>
        <w:t>局等部门推进医疗、医保、医药等方面加强制度、政策衔接，建立沟通协商机制，提高医疗资源使用效率和医疗保障水平 ，为患者提供安全、有效、低廉的医疗服务；12、完成县委、县政府交办的其他任务。13、职能转变。攸县医疗保障局应完善统一城乡居民基本医疗保障制度和大病保险制度，巩固完善城乡居民医疗救助制度，建立健全覆盖全民、城乡统筹的多层次医疗保障体系，不断提高医疗保障水平，确保医保资金合理使用、安全可控，推进医疗、医保、医药“三医联动”改革，更好保障人民群众就医需求、减轻医药费用负担。</w:t>
      </w:r>
    </w:p>
    <w:p>
      <w:pPr>
        <w:tabs>
          <w:tab w:val="left" w:pos="20"/>
        </w:tabs>
        <w:spacing w:line="500" w:lineRule="exact"/>
        <w:ind w:firstLine="600" w:firstLineChars="200"/>
        <w:rPr>
          <w:rFonts w:ascii="仿宋" w:hAnsi="仿宋" w:eastAsia="仿宋" w:cs="方正书宋简体"/>
          <w:sz w:val="30"/>
          <w:szCs w:val="30"/>
        </w:rPr>
      </w:pPr>
      <w:r>
        <w:rPr>
          <w:rFonts w:ascii="仿宋" w:hAnsi="仿宋" w:eastAsia="仿宋" w:cs="宋体"/>
          <w:sz w:val="30"/>
          <w:szCs w:val="30"/>
        </w:rPr>
        <w:t>（</w:t>
      </w:r>
      <w:r>
        <w:rPr>
          <w:rFonts w:ascii="仿宋" w:hAnsi="仿宋" w:eastAsia="仿宋" w:cs="方正书宋简体"/>
          <w:sz w:val="30"/>
          <w:szCs w:val="30"/>
        </w:rPr>
        <w:t>三）人员概况：</w:t>
      </w:r>
      <w:r>
        <w:rPr>
          <w:rFonts w:hint="eastAsia" w:ascii="仿宋" w:hAnsi="仿宋" w:eastAsia="仿宋" w:cs="方正书宋简体"/>
          <w:sz w:val="30"/>
          <w:szCs w:val="30"/>
        </w:rPr>
        <w:t>医保局现有</w:t>
      </w:r>
      <w:r>
        <w:rPr>
          <w:rFonts w:hint="eastAsia" w:ascii="仿宋" w:hAnsi="仿宋" w:eastAsia="仿宋" w:cs="Times New Roman"/>
          <w:sz w:val="30"/>
          <w:szCs w:val="30"/>
        </w:rPr>
        <w:t>在职人员</w:t>
      </w:r>
      <w:r>
        <w:rPr>
          <w:rFonts w:hint="eastAsia" w:ascii="仿宋" w:hAnsi="仿宋" w:eastAsia="仿宋"/>
          <w:sz w:val="30"/>
          <w:szCs w:val="30"/>
        </w:rPr>
        <w:t>30</w:t>
      </w:r>
      <w:r>
        <w:rPr>
          <w:rFonts w:hint="eastAsia" w:ascii="仿宋" w:hAnsi="仿宋" w:eastAsia="仿宋" w:cs="Times New Roman"/>
          <w:sz w:val="30"/>
          <w:szCs w:val="30"/>
        </w:rPr>
        <w:t>人，</w:t>
      </w:r>
      <w:r>
        <w:rPr>
          <w:rFonts w:hint="eastAsia" w:ascii="仿宋" w:hAnsi="仿宋" w:eastAsia="仿宋"/>
          <w:sz w:val="30"/>
          <w:szCs w:val="30"/>
        </w:rPr>
        <w:t>退休人员2人，</w:t>
      </w:r>
      <w:r>
        <w:rPr>
          <w:rFonts w:hint="eastAsia" w:ascii="仿宋" w:hAnsi="仿宋" w:eastAsia="仿宋" w:cs="Times New Roman"/>
          <w:sz w:val="30"/>
          <w:szCs w:val="30"/>
        </w:rPr>
        <w:t>借调</w:t>
      </w:r>
      <w:r>
        <w:rPr>
          <w:rFonts w:hint="eastAsia" w:ascii="仿宋" w:hAnsi="仿宋" w:eastAsia="仿宋"/>
          <w:sz w:val="30"/>
          <w:szCs w:val="30"/>
        </w:rPr>
        <w:t>4</w:t>
      </w:r>
      <w:r>
        <w:rPr>
          <w:rFonts w:hint="eastAsia" w:ascii="仿宋" w:hAnsi="仿宋" w:eastAsia="仿宋" w:cs="Times New Roman"/>
          <w:sz w:val="30"/>
          <w:szCs w:val="30"/>
        </w:rPr>
        <w:t>人，临聘人员6人，</w:t>
      </w:r>
      <w:r>
        <w:rPr>
          <w:rFonts w:hint="eastAsia" w:ascii="仿宋" w:hAnsi="仿宋" w:eastAsia="仿宋"/>
          <w:sz w:val="30"/>
          <w:szCs w:val="30"/>
        </w:rPr>
        <w:t>借用2人</w:t>
      </w:r>
      <w:r>
        <w:rPr>
          <w:rFonts w:hint="eastAsia" w:ascii="仿宋" w:hAnsi="仿宋" w:eastAsia="仿宋" w:cs="Times New Roman"/>
          <w:sz w:val="30"/>
          <w:szCs w:val="30"/>
        </w:rPr>
        <w:t>。</w:t>
      </w:r>
    </w:p>
    <w:p>
      <w:pPr>
        <w:pStyle w:val="2"/>
        <w:spacing w:line="500" w:lineRule="exact"/>
        <w:ind w:firstLine="600" w:firstLineChars="200"/>
        <w:rPr>
          <w:rFonts w:ascii="仿宋" w:hAnsi="仿宋" w:eastAsia="仿宋" w:cs="宋体"/>
          <w:sz w:val="30"/>
          <w:szCs w:val="30"/>
        </w:rPr>
      </w:pPr>
      <w:r>
        <w:rPr>
          <w:rFonts w:ascii="仿宋" w:hAnsi="仿宋" w:eastAsia="仿宋" w:cs="宋体"/>
          <w:sz w:val="30"/>
          <w:szCs w:val="30"/>
        </w:rPr>
        <w:t>二、部门财政资金收支情况</w:t>
      </w:r>
    </w:p>
    <w:p>
      <w:pPr>
        <w:spacing w:line="500" w:lineRule="exact"/>
        <w:ind w:firstLine="600" w:firstLineChars="200"/>
        <w:rPr>
          <w:rFonts w:ascii="仿宋" w:hAnsi="仿宋" w:eastAsia="仿宋" w:cs="宋体"/>
          <w:sz w:val="30"/>
          <w:szCs w:val="30"/>
        </w:rPr>
      </w:pPr>
      <w:r>
        <w:rPr>
          <w:rFonts w:hint="eastAsia" w:ascii="仿宋" w:hAnsi="仿宋" w:eastAsia="仿宋" w:cs="宋体"/>
          <w:sz w:val="30"/>
          <w:szCs w:val="30"/>
        </w:rPr>
        <w:t>（一）收入预算情况</w:t>
      </w:r>
    </w:p>
    <w:p>
      <w:pPr>
        <w:spacing w:line="500" w:lineRule="exact"/>
        <w:ind w:firstLine="600" w:firstLineChars="200"/>
        <w:rPr>
          <w:rFonts w:ascii="仿宋" w:hAnsi="仿宋" w:eastAsia="仿宋" w:cs="宋体"/>
          <w:sz w:val="30"/>
          <w:szCs w:val="30"/>
        </w:rPr>
      </w:pPr>
      <w:r>
        <w:rPr>
          <w:rFonts w:hint="eastAsia" w:ascii="仿宋" w:hAnsi="仿宋" w:eastAsia="仿宋" w:cs="宋体"/>
          <w:sz w:val="30"/>
          <w:szCs w:val="30"/>
        </w:rPr>
        <w:t>2021年预算收入536.36万元，2021年实际收入536.36万元，其中：年初预算403万元，年中追加133.36万元。</w:t>
      </w:r>
    </w:p>
    <w:p>
      <w:pPr>
        <w:spacing w:line="500" w:lineRule="exact"/>
        <w:ind w:firstLine="600" w:firstLineChars="200"/>
        <w:rPr>
          <w:rFonts w:ascii="仿宋" w:hAnsi="仿宋" w:eastAsia="仿宋" w:cs="宋体"/>
          <w:sz w:val="30"/>
          <w:szCs w:val="30"/>
        </w:rPr>
      </w:pPr>
      <w:r>
        <w:rPr>
          <w:rFonts w:hint="eastAsia" w:ascii="仿宋" w:hAnsi="仿宋" w:eastAsia="仿宋" w:cs="宋体"/>
          <w:sz w:val="30"/>
          <w:szCs w:val="30"/>
        </w:rPr>
        <w:t>（二）支出预算情况</w:t>
      </w:r>
    </w:p>
    <w:p>
      <w:pPr>
        <w:spacing w:line="500" w:lineRule="exact"/>
        <w:ind w:firstLine="600" w:firstLineChars="200"/>
        <w:rPr>
          <w:rFonts w:ascii="仿宋" w:hAnsi="仿宋" w:eastAsia="仿宋" w:cs="宋体"/>
          <w:sz w:val="30"/>
          <w:szCs w:val="30"/>
        </w:rPr>
      </w:pPr>
      <w:r>
        <w:rPr>
          <w:rFonts w:hint="eastAsia" w:ascii="仿宋" w:hAnsi="仿宋" w:eastAsia="仿宋" w:cs="宋体"/>
          <w:sz w:val="30"/>
          <w:szCs w:val="30"/>
        </w:rPr>
        <w:t>2021年支出预算536.36万元。2021年度实际支出为536.36万元，其中：基本支出471.36万元，项目支出65万元。</w:t>
      </w:r>
    </w:p>
    <w:p>
      <w:pPr>
        <w:pStyle w:val="2"/>
        <w:spacing w:line="500" w:lineRule="exact"/>
        <w:ind w:firstLine="600" w:firstLineChars="200"/>
        <w:rPr>
          <w:rFonts w:ascii="仿宋" w:hAnsi="仿宋" w:eastAsia="仿宋" w:cs="宋体"/>
          <w:sz w:val="30"/>
          <w:szCs w:val="30"/>
        </w:rPr>
      </w:pPr>
      <w:r>
        <w:rPr>
          <w:rFonts w:ascii="仿宋" w:hAnsi="仿宋" w:eastAsia="仿宋" w:cs="宋体"/>
          <w:sz w:val="30"/>
          <w:szCs w:val="30"/>
        </w:rPr>
        <w:t>三、部门财政支出管理情况</w:t>
      </w:r>
    </w:p>
    <w:p>
      <w:pPr>
        <w:spacing w:line="500" w:lineRule="exact"/>
        <w:ind w:firstLine="900" w:firstLineChars="300"/>
        <w:rPr>
          <w:rFonts w:ascii="仿宋" w:hAnsi="仿宋" w:eastAsia="仿宋" w:cs="宋体"/>
          <w:sz w:val="30"/>
          <w:szCs w:val="30"/>
        </w:rPr>
      </w:pPr>
      <w:r>
        <w:rPr>
          <w:rFonts w:ascii="仿宋" w:hAnsi="仿宋" w:eastAsia="仿宋" w:cs="宋体"/>
          <w:sz w:val="30"/>
          <w:szCs w:val="30"/>
        </w:rPr>
        <w:t>（一）预算编制情况。</w:t>
      </w:r>
      <w:r>
        <w:rPr>
          <w:rFonts w:hint="eastAsia" w:ascii="仿宋" w:hAnsi="仿宋" w:eastAsia="仿宋" w:cs="宋体"/>
          <w:sz w:val="30"/>
          <w:szCs w:val="30"/>
        </w:rPr>
        <w:t>本单位严格按照《预算法》及</w:t>
      </w:r>
      <w:r>
        <w:rPr>
          <w:rFonts w:hint="eastAsia" w:ascii="仿宋" w:hAnsi="仿宋" w:eastAsia="仿宋" w:cs="宋体"/>
          <w:color w:val="000000"/>
          <w:sz w:val="30"/>
          <w:szCs w:val="30"/>
          <w:shd w:val="clear" w:color="auto" w:fill="FFFFFF"/>
        </w:rPr>
        <w:t>县财政局2021年部门预算编制通知要求，按时完成部门年初预算编制工作。在编制过程中，认真核实单位实际财政供养人数和单位实有编制情况，正确编制人员经费和公用经费等，认真填报绩效目标，尽量细化资金支出预算范围和科目，</w:t>
      </w:r>
      <w:r>
        <w:rPr>
          <w:rFonts w:hint="eastAsia" w:ascii="仿宋" w:hAnsi="仿宋" w:eastAsia="仿宋" w:cs="宋体"/>
          <w:sz w:val="30"/>
          <w:szCs w:val="30"/>
        </w:rPr>
        <w:t>全部收入和支出都反映在预决算中</w:t>
      </w:r>
      <w:r>
        <w:rPr>
          <w:rFonts w:hint="eastAsia" w:ascii="仿宋" w:hAnsi="仿宋" w:eastAsia="仿宋" w:cs="宋体"/>
          <w:color w:val="000000"/>
          <w:sz w:val="30"/>
          <w:szCs w:val="30"/>
          <w:shd w:val="clear" w:color="auto" w:fill="FFFFFF"/>
        </w:rPr>
        <w:t>。</w:t>
      </w:r>
    </w:p>
    <w:p>
      <w:pPr>
        <w:spacing w:line="500" w:lineRule="exact"/>
        <w:ind w:firstLine="600" w:firstLineChars="200"/>
        <w:rPr>
          <w:rFonts w:ascii="仿宋" w:hAnsi="仿宋" w:eastAsia="仿宋" w:cs="宋体"/>
          <w:sz w:val="30"/>
          <w:szCs w:val="30"/>
        </w:rPr>
      </w:pPr>
      <w:r>
        <w:rPr>
          <w:rFonts w:ascii="仿宋" w:hAnsi="仿宋" w:eastAsia="仿宋" w:cs="宋体"/>
          <w:sz w:val="30"/>
          <w:szCs w:val="30"/>
        </w:rPr>
        <w:t>（二）执行管理情况。</w:t>
      </w:r>
    </w:p>
    <w:p>
      <w:pPr>
        <w:spacing w:line="500" w:lineRule="exact"/>
        <w:ind w:firstLine="600" w:firstLineChars="200"/>
        <w:rPr>
          <w:rFonts w:ascii="仿宋" w:hAnsi="仿宋" w:eastAsia="仿宋" w:cs="Times New Roman"/>
          <w:sz w:val="30"/>
          <w:szCs w:val="30"/>
        </w:rPr>
      </w:pPr>
      <w:r>
        <w:rPr>
          <w:rFonts w:hint="eastAsia" w:ascii="仿宋" w:hAnsi="仿宋" w:eastAsia="仿宋" w:cs="Times New Roman"/>
          <w:sz w:val="30"/>
          <w:szCs w:val="30"/>
        </w:rPr>
        <w:t>1．基本支出：</w:t>
      </w:r>
    </w:p>
    <w:p>
      <w:pPr>
        <w:spacing w:line="500" w:lineRule="exact"/>
        <w:ind w:firstLine="600" w:firstLineChars="200"/>
        <w:rPr>
          <w:rFonts w:ascii="仿宋" w:hAnsi="仿宋" w:eastAsia="仿宋" w:cs="Times New Roman"/>
          <w:sz w:val="30"/>
          <w:szCs w:val="30"/>
        </w:rPr>
      </w:pPr>
      <w:r>
        <w:rPr>
          <w:rFonts w:hint="eastAsia" w:ascii="仿宋" w:hAnsi="仿宋" w:eastAsia="仿宋" w:cs="Times New Roman"/>
          <w:sz w:val="30"/>
          <w:szCs w:val="30"/>
        </w:rPr>
        <w:t>2021年全年基本支出</w:t>
      </w:r>
      <w:r>
        <w:rPr>
          <w:rFonts w:hint="eastAsia" w:ascii="仿宋" w:hAnsi="仿宋" w:eastAsia="仿宋"/>
          <w:sz w:val="30"/>
          <w:szCs w:val="30"/>
        </w:rPr>
        <w:t>471.36</w:t>
      </w:r>
      <w:r>
        <w:rPr>
          <w:rFonts w:hint="eastAsia" w:ascii="仿宋" w:hAnsi="仿宋" w:eastAsia="仿宋" w:cs="Times New Roman"/>
          <w:sz w:val="30"/>
          <w:szCs w:val="30"/>
        </w:rPr>
        <w:t>万元，其中工资福利支出374.09万元，主要包括：基本工资、津贴补贴、社会保障缴费、伙食补助费、绩效工资、基本养老保险、职业年金等；商品和服务支出</w:t>
      </w:r>
      <w:r>
        <w:rPr>
          <w:rFonts w:hint="eastAsia" w:ascii="仿宋" w:hAnsi="仿宋" w:eastAsia="仿宋"/>
          <w:sz w:val="30"/>
          <w:szCs w:val="30"/>
        </w:rPr>
        <w:t>84.4</w:t>
      </w:r>
      <w:r>
        <w:rPr>
          <w:rFonts w:hint="eastAsia" w:ascii="仿宋" w:hAnsi="仿宋" w:eastAsia="仿宋" w:cs="Times New Roman"/>
          <w:sz w:val="30"/>
          <w:szCs w:val="30"/>
        </w:rPr>
        <w:t>万元，主要包括：办公费、邮电费、差旅费、维修（护）费、培训费、工会经费、福利费、其他交通费用、其他商品和服务支出等；对个人和家庭的补助</w:t>
      </w:r>
      <w:r>
        <w:rPr>
          <w:rFonts w:hint="eastAsia" w:ascii="仿宋" w:hAnsi="仿宋" w:eastAsia="仿宋"/>
          <w:sz w:val="30"/>
          <w:szCs w:val="30"/>
        </w:rPr>
        <w:t>12.87</w:t>
      </w:r>
      <w:r>
        <w:rPr>
          <w:rFonts w:hint="eastAsia" w:ascii="仿宋" w:hAnsi="仿宋" w:eastAsia="仿宋" w:cs="Times New Roman"/>
          <w:sz w:val="30"/>
          <w:szCs w:val="30"/>
        </w:rPr>
        <w:t>万元，主要包括：生活补助、奖励金、其他个人家庭补助；其他资金性支出</w:t>
      </w:r>
      <w:r>
        <w:rPr>
          <w:rFonts w:hint="eastAsia" w:ascii="仿宋" w:hAnsi="仿宋" w:eastAsia="仿宋"/>
          <w:sz w:val="30"/>
          <w:szCs w:val="30"/>
        </w:rPr>
        <w:t>0万元</w:t>
      </w:r>
      <w:r>
        <w:rPr>
          <w:rFonts w:hint="eastAsia" w:ascii="仿宋" w:hAnsi="仿宋" w:eastAsia="仿宋" w:cs="Times New Roman"/>
          <w:sz w:val="30"/>
          <w:szCs w:val="30"/>
        </w:rPr>
        <w:t>。</w:t>
      </w:r>
    </w:p>
    <w:p>
      <w:pPr>
        <w:spacing w:line="460" w:lineRule="exact"/>
        <w:ind w:firstLine="600" w:firstLineChars="200"/>
        <w:rPr>
          <w:rFonts w:ascii="仿宋" w:hAnsi="仿宋" w:eastAsia="仿宋"/>
          <w:sz w:val="30"/>
          <w:szCs w:val="30"/>
        </w:rPr>
      </w:pPr>
      <w:r>
        <w:rPr>
          <w:rFonts w:hint="eastAsia" w:ascii="仿宋" w:hAnsi="仿宋" w:eastAsia="仿宋"/>
          <w:sz w:val="30"/>
          <w:szCs w:val="30"/>
        </w:rPr>
        <w:t>2．项目支出；</w:t>
      </w:r>
    </w:p>
    <w:p>
      <w:pPr>
        <w:spacing w:line="360" w:lineRule="auto"/>
        <w:ind w:firstLine="600" w:firstLineChars="200"/>
        <w:rPr>
          <w:rFonts w:ascii="仿宋" w:hAnsi="仿宋" w:eastAsia="仿宋"/>
          <w:sz w:val="30"/>
          <w:szCs w:val="30"/>
        </w:rPr>
      </w:pPr>
      <w:r>
        <w:rPr>
          <w:rFonts w:hint="eastAsia" w:ascii="仿宋" w:hAnsi="仿宋" w:eastAsia="仿宋"/>
          <w:sz w:val="30"/>
          <w:szCs w:val="30"/>
        </w:rPr>
        <w:t>2021年全年项目支出65万元,主要包括：基金审计、印刷费、宣传费、飞检、交叉检查差旅费等。</w:t>
      </w:r>
    </w:p>
    <w:p>
      <w:pPr>
        <w:spacing w:line="500" w:lineRule="exact"/>
        <w:ind w:firstLine="600" w:firstLineChars="200"/>
        <w:rPr>
          <w:rFonts w:ascii="仿宋" w:hAnsi="仿宋" w:eastAsia="仿宋" w:cs="Times New Roman"/>
          <w:sz w:val="30"/>
          <w:szCs w:val="30"/>
        </w:rPr>
      </w:pPr>
      <w:r>
        <w:rPr>
          <w:rFonts w:hint="eastAsia" w:ascii="仿宋" w:hAnsi="仿宋" w:eastAsia="仿宋" w:cs="Times New Roman"/>
          <w:sz w:val="30"/>
          <w:szCs w:val="30"/>
        </w:rPr>
        <w:t>3．“三公”经费支出情况：</w:t>
      </w:r>
    </w:p>
    <w:p>
      <w:pPr>
        <w:spacing w:line="500" w:lineRule="exact"/>
        <w:ind w:firstLine="600" w:firstLineChars="200"/>
        <w:rPr>
          <w:rFonts w:ascii="仿宋" w:hAnsi="仿宋" w:eastAsia="仿宋" w:cs="Times New Roman"/>
          <w:sz w:val="30"/>
          <w:szCs w:val="30"/>
        </w:rPr>
      </w:pPr>
      <w:r>
        <w:rPr>
          <w:rFonts w:hint="eastAsia" w:ascii="仿宋" w:hAnsi="仿宋" w:eastAsia="仿宋" w:cs="宋体"/>
          <w:color w:val="000000"/>
          <w:sz w:val="30"/>
          <w:szCs w:val="30"/>
        </w:rPr>
        <w:t>2021年我局严格执行中央八项规定和省、市、县有关财务规定，着力控制“三公”经费预算支出。</w:t>
      </w:r>
      <w:r>
        <w:rPr>
          <w:rFonts w:hint="eastAsia" w:ascii="仿宋" w:hAnsi="仿宋" w:eastAsia="仿宋" w:cs="宋体"/>
          <w:color w:val="000000"/>
          <w:sz w:val="30"/>
          <w:szCs w:val="30"/>
          <w:shd w:val="clear" w:color="auto" w:fill="FFFFFF"/>
        </w:rPr>
        <w:t>全年无因公出国（境）费用。2021年“三公”经费预算数2万元，</w:t>
      </w:r>
      <w:r>
        <w:rPr>
          <w:rFonts w:hint="eastAsia" w:ascii="仿宋" w:hAnsi="仿宋" w:eastAsia="仿宋" w:cs="宋体"/>
          <w:sz w:val="30"/>
          <w:szCs w:val="30"/>
        </w:rPr>
        <w:t>2021年“三公”经费决算数2544元，与去年同期减少1873元。</w:t>
      </w:r>
      <w:r>
        <w:rPr>
          <w:rFonts w:hint="eastAsia" w:ascii="仿宋" w:hAnsi="仿宋" w:eastAsia="仿宋" w:cs="Times New Roman"/>
          <w:sz w:val="30"/>
          <w:szCs w:val="30"/>
        </w:rPr>
        <w:t>其中：公务接待费2544元，公车运行维护费0万元。</w:t>
      </w:r>
    </w:p>
    <w:p>
      <w:pPr>
        <w:pStyle w:val="2"/>
        <w:spacing w:line="500" w:lineRule="exact"/>
        <w:ind w:firstLine="600" w:firstLineChars="200"/>
        <w:rPr>
          <w:rFonts w:ascii="仿宋" w:hAnsi="仿宋" w:eastAsia="仿宋" w:cs="宋体"/>
          <w:sz w:val="30"/>
          <w:szCs w:val="30"/>
        </w:rPr>
      </w:pPr>
      <w:r>
        <w:rPr>
          <w:rFonts w:ascii="仿宋" w:hAnsi="仿宋" w:eastAsia="仿宋" w:cs="宋体"/>
          <w:sz w:val="30"/>
          <w:szCs w:val="30"/>
        </w:rPr>
        <w:t>（三）综合管理情况。</w:t>
      </w:r>
    </w:p>
    <w:p>
      <w:pPr>
        <w:shd w:val="clear" w:color="auto" w:fill="FFFFFF"/>
        <w:spacing w:line="500" w:lineRule="exact"/>
        <w:ind w:firstLine="600" w:firstLineChars="200"/>
        <w:rPr>
          <w:rFonts w:ascii="仿宋" w:hAnsi="仿宋" w:eastAsia="仿宋" w:cs="宋体"/>
          <w:color w:val="000000"/>
          <w:sz w:val="30"/>
          <w:szCs w:val="30"/>
          <w:shd w:val="clear" w:color="auto" w:fill="FFFFFF"/>
        </w:rPr>
      </w:pPr>
      <w:r>
        <w:rPr>
          <w:rFonts w:hint="eastAsia" w:ascii="仿宋" w:hAnsi="仿宋" w:eastAsia="仿宋" w:cs="Times New Roman"/>
          <w:sz w:val="30"/>
          <w:szCs w:val="30"/>
        </w:rPr>
        <w:t>按照财政及上级要求，对单位内部控制情况进行了评价并对照结果完善单位内部控制制度，进一步优化单位资产管理制度、预、决算制度、严格执行政府采购制度收支管理制度等确保了支出管理流程、审批手续的完整。</w:t>
      </w:r>
    </w:p>
    <w:p>
      <w:pPr>
        <w:spacing w:line="500" w:lineRule="exact"/>
        <w:ind w:firstLine="600" w:firstLineChars="200"/>
        <w:rPr>
          <w:rFonts w:ascii="仿宋" w:hAnsi="仿宋" w:eastAsia="仿宋" w:cs="宋体"/>
          <w:sz w:val="30"/>
          <w:szCs w:val="30"/>
        </w:rPr>
      </w:pPr>
      <w:r>
        <w:rPr>
          <w:rFonts w:ascii="仿宋" w:hAnsi="仿宋" w:eastAsia="仿宋" w:cs="宋体"/>
          <w:sz w:val="30"/>
          <w:szCs w:val="30"/>
        </w:rPr>
        <w:t>（四）整体绩效。</w:t>
      </w:r>
    </w:p>
    <w:p>
      <w:pPr>
        <w:spacing w:line="360" w:lineRule="auto"/>
        <w:ind w:firstLine="600" w:firstLineChars="200"/>
        <w:rPr>
          <w:rFonts w:ascii="仿宋" w:hAnsi="仿宋" w:eastAsia="仿宋" w:cs="仿宋"/>
          <w:color w:val="000000" w:themeColor="text1"/>
          <w:sz w:val="30"/>
          <w:szCs w:val="30"/>
        </w:rPr>
      </w:pPr>
      <w:r>
        <w:rPr>
          <w:rFonts w:hint="eastAsia" w:ascii="仿宋" w:hAnsi="仿宋" w:eastAsia="仿宋" w:cs="仿宋"/>
          <w:sz w:val="30"/>
          <w:szCs w:val="30"/>
        </w:rPr>
        <w:t>（一）围绕初心中心重心，点亮政治引领“航向灯”。以党史学习教育为契机，重温为民初心。以为群众办实事为抓手，践行服务宗旨。以打赢疫情防控阻击战为目标，彰显担当</w:t>
      </w:r>
      <w:r>
        <w:rPr>
          <w:rFonts w:hint="eastAsia" w:ascii="仿宋" w:hAnsi="仿宋" w:eastAsia="仿宋" w:cs="仿宋"/>
          <w:color w:val="000000" w:themeColor="text1"/>
          <w:sz w:val="30"/>
          <w:szCs w:val="30"/>
        </w:rPr>
        <w:t>作为</w:t>
      </w:r>
      <w:r>
        <w:rPr>
          <w:rFonts w:hint="eastAsia" w:ascii="仿宋" w:hAnsi="仿宋" w:eastAsia="仿宋" w:cs="仿宋"/>
          <w:sz w:val="30"/>
          <w:szCs w:val="30"/>
        </w:rPr>
        <w:t>。</w:t>
      </w:r>
      <w:r>
        <w:rPr>
          <w:rFonts w:hint="eastAsia" w:ascii="仿宋" w:hAnsi="仿宋" w:eastAsia="仿宋" w:cs="仿宋"/>
          <w:color w:val="000000" w:themeColor="text1"/>
          <w:sz w:val="30"/>
          <w:szCs w:val="30"/>
        </w:rPr>
        <w:t xml:space="preserve"> </w:t>
      </w:r>
    </w:p>
    <w:p>
      <w:pPr>
        <w:spacing w:line="360" w:lineRule="auto"/>
        <w:ind w:firstLine="600" w:firstLineChars="200"/>
        <w:rPr>
          <w:rFonts w:ascii="仿宋" w:hAnsi="仿宋" w:eastAsia="仿宋" w:cs="仿宋"/>
          <w:color w:val="000000" w:themeColor="text1"/>
          <w:sz w:val="30"/>
          <w:szCs w:val="30"/>
        </w:rPr>
      </w:pPr>
      <w:r>
        <w:rPr>
          <w:rFonts w:hint="eastAsia" w:ascii="仿宋" w:hAnsi="仿宋" w:eastAsia="仿宋" w:cs="仿宋"/>
          <w:sz w:val="30"/>
          <w:szCs w:val="30"/>
        </w:rPr>
        <w:t>（二）聚焦守责负责尽责，全力织牢待遇“保障网”。</w:t>
      </w:r>
      <w:r>
        <w:rPr>
          <w:rFonts w:hint="eastAsia" w:ascii="仿宋" w:hAnsi="仿宋" w:eastAsia="仿宋" w:cs="仿宋"/>
          <w:color w:val="000000" w:themeColor="text1"/>
          <w:sz w:val="30"/>
          <w:szCs w:val="30"/>
        </w:rPr>
        <w:t>一是坚持基本医保公平普惠。2021年，全县城乡居民基本医疗保险参保人数为603230人，职工5</w:t>
      </w:r>
      <w:r>
        <w:rPr>
          <w:rFonts w:hint="eastAsia" w:ascii="仿宋" w:hAnsi="仿宋" w:eastAsia="仿宋" w:cs="仿宋"/>
          <w:color w:val="000000" w:themeColor="text1"/>
          <w:kern w:val="2"/>
          <w:sz w:val="30"/>
          <w:szCs w:val="30"/>
        </w:rPr>
        <w:t>3222人，参保率为97.5%。截至2021年8月底，全县城乡居民普通门诊享受376711人次，基金支付953.87万元；特门特药享受47424人次，基金支付1445.78万元；住院108080人次，基金支付29874.24万元。职工特门特药享受23432人次，基金支付736.63万元；住院10535人次，基金支付4863.1万元；</w:t>
      </w:r>
      <w:r>
        <w:rPr>
          <w:rFonts w:hint="eastAsia" w:ascii="仿宋" w:hAnsi="仿宋" w:eastAsia="仿宋" w:cs="仿宋"/>
          <w:color w:val="000000" w:themeColor="text1"/>
          <w:sz w:val="30"/>
          <w:szCs w:val="30"/>
        </w:rPr>
        <w:t>职工生育待遇享受403人次，基金支付402.08万元。二是做到大病保险梯次减负。大病保险覆盖城乡居民基本医疗保险所有参保人员。在基本医保报销完自付部分超过1.8万元（建档立卡脱贫对象减半）可报销部分，分阶段按比例再次补充保障。大病保险享受1585人次，医保基金支付1575.16万元。三是夯实医疗救助托底保障。共有43824人次享受医疗救助，救助金额为1431.22万元。四是做好医保巩固脱贫攻坚成果与乡村振兴的有效衔接。2021年建档立卡脱贫对象31869人，完成100%参保，并在医保系统全部录入、精准标识。截止2021年8月底，建档立卡脱贫对象住院14432人次，医疗总费用5753.23万元，报销总金额4989.27万元，综合支付报销比例86.72%。</w:t>
      </w:r>
    </w:p>
    <w:p>
      <w:pPr>
        <w:spacing w:line="360" w:lineRule="auto"/>
        <w:ind w:firstLine="600" w:firstLineChars="200"/>
        <w:rPr>
          <w:rFonts w:ascii="仿宋" w:hAnsi="仿宋" w:eastAsia="仿宋" w:cs="仿宋"/>
          <w:color w:val="000000" w:themeColor="text1"/>
          <w:sz w:val="30"/>
          <w:szCs w:val="30"/>
        </w:rPr>
      </w:pPr>
      <w:r>
        <w:rPr>
          <w:rFonts w:hint="eastAsia" w:ascii="仿宋" w:hAnsi="仿宋" w:eastAsia="仿宋" w:cs="仿宋"/>
          <w:sz w:val="30"/>
          <w:szCs w:val="30"/>
        </w:rPr>
        <w:t>（三）紧盯热点焦点难点，抡起改革攻坚“开山斧”。</w:t>
      </w:r>
      <w:r>
        <w:rPr>
          <w:rFonts w:hint="eastAsia" w:ascii="仿宋" w:hAnsi="仿宋" w:eastAsia="仿宋" w:cs="仿宋"/>
          <w:color w:val="000000" w:themeColor="text1"/>
          <w:sz w:val="30"/>
          <w:szCs w:val="30"/>
        </w:rPr>
        <w:t>一是扎实开展医药集中带量采购工作。二是继续推行医保支付方式改革。三是认真做好医保新系统上线工作。</w:t>
      </w:r>
    </w:p>
    <w:p>
      <w:pPr>
        <w:spacing w:line="360" w:lineRule="auto"/>
        <w:ind w:firstLine="600" w:firstLineChars="200"/>
        <w:textAlignment w:val="baseline"/>
        <w:rPr>
          <w:rFonts w:ascii="仿宋" w:hAnsi="仿宋" w:eastAsia="仿宋" w:cs="仿宋"/>
          <w:color w:val="000000" w:themeColor="text1"/>
          <w:sz w:val="30"/>
          <w:szCs w:val="30"/>
          <w:shd w:val="clear" w:color="auto" w:fill="FFFFFF"/>
        </w:rPr>
      </w:pPr>
      <w:r>
        <w:rPr>
          <w:rFonts w:hint="eastAsia" w:ascii="仿宋" w:hAnsi="仿宋" w:eastAsia="仿宋" w:cs="仿宋"/>
          <w:sz w:val="30"/>
          <w:szCs w:val="30"/>
        </w:rPr>
        <w:t>（四）持续真抓严抓常抓，构建基金监管“大格局”。</w:t>
      </w:r>
      <w:r>
        <w:rPr>
          <w:rFonts w:hint="eastAsia" w:ascii="仿宋" w:hAnsi="仿宋" w:eastAsia="仿宋" w:cs="仿宋"/>
          <w:color w:val="000000" w:themeColor="text1"/>
          <w:sz w:val="30"/>
          <w:szCs w:val="30"/>
        </w:rPr>
        <w:t>通过日常检查、专项检查、飞行检查、群众举报、集中整治等方式开展打击欺诈骗保行动。自医保局组建以来，核减违规并冲医保基金约2254.53万元，行政罚款92.64万元。其中暂停医疗机构服务协议8家、零售药店服务协议5家，约谈了5家医院负责人。</w:t>
      </w:r>
      <w:r>
        <w:rPr>
          <w:rFonts w:hint="eastAsia" w:ascii="仿宋" w:hAnsi="仿宋" w:eastAsia="仿宋" w:cs="仿宋"/>
          <w:color w:val="000000" w:themeColor="text1"/>
          <w:spacing w:val="-6"/>
          <w:sz w:val="30"/>
          <w:szCs w:val="30"/>
        </w:rPr>
        <w:t>通报相关问题和处理情况，责令及时整改，并函告其主管部门，</w:t>
      </w:r>
      <w:r>
        <w:rPr>
          <w:rFonts w:hint="eastAsia" w:ascii="仿宋" w:hAnsi="仿宋" w:eastAsia="仿宋" w:cs="仿宋"/>
          <w:color w:val="000000" w:themeColor="text1"/>
          <w:sz w:val="30"/>
          <w:szCs w:val="30"/>
        </w:rPr>
        <w:t>不断构建筑牢了医保基金“不敢骗”“不能骗”“不想骗”的良好局面。</w:t>
      </w:r>
    </w:p>
    <w:p>
      <w:pPr>
        <w:spacing w:line="500" w:lineRule="exact"/>
        <w:ind w:firstLine="600" w:firstLineChars="200"/>
        <w:rPr>
          <w:rFonts w:ascii="仿宋" w:hAnsi="仿宋" w:eastAsia="仿宋" w:cs="宋体"/>
          <w:sz w:val="30"/>
          <w:szCs w:val="30"/>
        </w:rPr>
      </w:pPr>
      <w:r>
        <w:rPr>
          <w:rFonts w:hint="eastAsia" w:ascii="仿宋" w:hAnsi="仿宋" w:eastAsia="仿宋" w:cs="楷体"/>
          <w:color w:val="000000" w:themeColor="text1"/>
          <w:sz w:val="30"/>
          <w:szCs w:val="30"/>
        </w:rPr>
        <w:t xml:space="preserve"> </w:t>
      </w:r>
      <w:r>
        <w:rPr>
          <w:rFonts w:ascii="仿宋" w:hAnsi="仿宋" w:eastAsia="仿宋" w:cs="宋体"/>
          <w:sz w:val="30"/>
          <w:szCs w:val="30"/>
        </w:rPr>
        <w:t>四、评价结论及建议</w:t>
      </w:r>
    </w:p>
    <w:p>
      <w:pPr>
        <w:pStyle w:val="2"/>
        <w:spacing w:line="500" w:lineRule="exact"/>
        <w:ind w:firstLine="600" w:firstLineChars="200"/>
        <w:rPr>
          <w:rFonts w:ascii="仿宋" w:hAnsi="仿宋" w:eastAsia="仿宋" w:cs="宋体"/>
          <w:sz w:val="30"/>
          <w:szCs w:val="30"/>
        </w:rPr>
      </w:pPr>
      <w:r>
        <w:rPr>
          <w:rFonts w:hint="eastAsia" w:ascii="仿宋" w:hAnsi="仿宋" w:eastAsia="仿宋" w:cs="宋体"/>
          <w:sz w:val="30"/>
          <w:szCs w:val="30"/>
        </w:rPr>
        <w:t>（一）评价结论</w:t>
      </w:r>
    </w:p>
    <w:p>
      <w:pPr>
        <w:spacing w:line="500" w:lineRule="exact"/>
        <w:ind w:firstLine="600" w:firstLineChars="200"/>
        <w:rPr>
          <w:rFonts w:ascii="仿宋" w:hAnsi="仿宋" w:eastAsia="仿宋" w:cs="仿宋_GB2312"/>
          <w:color w:val="000000" w:themeColor="text1"/>
          <w:sz w:val="30"/>
          <w:szCs w:val="30"/>
        </w:rPr>
      </w:pPr>
      <w:r>
        <w:rPr>
          <w:rFonts w:hint="eastAsia" w:ascii="仿宋" w:hAnsi="仿宋" w:eastAsia="仿宋" w:cs="Times New Roman"/>
          <w:sz w:val="30"/>
          <w:szCs w:val="30"/>
        </w:rPr>
        <w:t>2021年</w:t>
      </w:r>
      <w:r>
        <w:rPr>
          <w:rFonts w:hint="eastAsia" w:ascii="仿宋" w:hAnsi="仿宋" w:eastAsia="仿宋"/>
          <w:sz w:val="30"/>
          <w:szCs w:val="30"/>
        </w:rPr>
        <w:t>医保局</w:t>
      </w:r>
      <w:r>
        <w:rPr>
          <w:rFonts w:hint="eastAsia" w:ascii="仿宋" w:hAnsi="仿宋" w:eastAsia="仿宋" w:cs="Times New Roman"/>
          <w:sz w:val="30"/>
          <w:szCs w:val="30"/>
        </w:rPr>
        <w:t>部门预算支出保障了各项工作的正常运转，</w:t>
      </w:r>
      <w:r>
        <w:rPr>
          <w:rFonts w:hint="eastAsia" w:ascii="仿宋" w:hAnsi="仿宋" w:eastAsia="仿宋" w:cs="仿宋_GB2312"/>
          <w:color w:val="000000" w:themeColor="text1"/>
          <w:sz w:val="30"/>
          <w:szCs w:val="30"/>
        </w:rPr>
        <w:t>有效推动了全县医疗保障事业健康、可持续发展。</w:t>
      </w:r>
    </w:p>
    <w:p>
      <w:pPr>
        <w:spacing w:line="500" w:lineRule="exact"/>
        <w:ind w:firstLine="600" w:firstLineChars="200"/>
        <w:rPr>
          <w:rFonts w:ascii="仿宋" w:hAnsi="仿宋" w:eastAsia="仿宋" w:cs="仿宋_GB2312"/>
          <w:color w:val="000000" w:themeColor="text1"/>
          <w:sz w:val="30"/>
          <w:szCs w:val="30"/>
        </w:rPr>
      </w:pPr>
      <w:r>
        <w:rPr>
          <w:rFonts w:hint="eastAsia" w:ascii="仿宋" w:hAnsi="仿宋" w:eastAsia="仿宋" w:cs="仿宋_GB2312"/>
          <w:color w:val="000000" w:themeColor="text1"/>
          <w:sz w:val="30"/>
          <w:szCs w:val="30"/>
        </w:rPr>
        <w:t>（二）存在的问题</w:t>
      </w:r>
    </w:p>
    <w:p>
      <w:pPr>
        <w:spacing w:line="500" w:lineRule="exact"/>
        <w:ind w:firstLine="600" w:firstLineChars="200"/>
        <w:rPr>
          <w:rFonts w:ascii="仿宋" w:hAnsi="仿宋" w:eastAsia="仿宋"/>
          <w:sz w:val="30"/>
          <w:szCs w:val="30"/>
        </w:rPr>
      </w:pPr>
      <w:r>
        <w:rPr>
          <w:rFonts w:hint="eastAsia" w:ascii="仿宋" w:hAnsi="仿宋" w:eastAsia="仿宋"/>
          <w:sz w:val="30"/>
          <w:szCs w:val="30"/>
        </w:rPr>
        <w:t>预算编制工作有待完善，对项目支出有待进一步细化，预算执行中，有时基本支出与项目支出界限不明。</w:t>
      </w:r>
    </w:p>
    <w:p>
      <w:pPr>
        <w:spacing w:line="500" w:lineRule="exact"/>
        <w:ind w:firstLine="600" w:firstLineChars="200"/>
        <w:rPr>
          <w:rFonts w:ascii="仿宋" w:hAnsi="仿宋" w:eastAsia="仿宋" w:cs="Times New Roman"/>
          <w:sz w:val="30"/>
          <w:szCs w:val="30"/>
        </w:rPr>
      </w:pPr>
      <w:r>
        <w:rPr>
          <w:rFonts w:hint="eastAsia" w:ascii="仿宋" w:hAnsi="仿宋" w:eastAsia="仿宋"/>
          <w:sz w:val="30"/>
          <w:szCs w:val="30"/>
        </w:rPr>
        <w:t>（三）改进建议</w:t>
      </w:r>
    </w:p>
    <w:p>
      <w:pPr>
        <w:spacing w:line="500" w:lineRule="exact"/>
        <w:ind w:firstLine="600" w:firstLineChars="200"/>
        <w:rPr>
          <w:rFonts w:ascii="仿宋" w:hAnsi="仿宋" w:eastAsia="仿宋" w:cs="Times New Roman"/>
          <w:sz w:val="30"/>
          <w:szCs w:val="30"/>
        </w:rPr>
      </w:pPr>
      <w:r>
        <w:rPr>
          <w:rFonts w:hint="eastAsia" w:ascii="仿宋" w:hAnsi="仿宋" w:eastAsia="仿宋" w:cs="Times New Roman"/>
          <w:sz w:val="30"/>
          <w:szCs w:val="30"/>
        </w:rPr>
        <w:t>1、细化预算编制工作，认真做好预算的编制。严格遵守预算管理流程和制度，优先保障固定性的、相对刚性的费用支出项目。</w:t>
      </w:r>
      <w:r>
        <w:rPr>
          <w:rFonts w:hint="eastAsia" w:ascii="仿宋" w:hAnsi="仿宋" w:eastAsia="仿宋"/>
          <w:sz w:val="30"/>
          <w:szCs w:val="30"/>
        </w:rPr>
        <w:t>完善资产管理，继续抓好“三公”经费控制。</w:t>
      </w:r>
    </w:p>
    <w:p>
      <w:pPr>
        <w:spacing w:line="500" w:lineRule="exact"/>
        <w:ind w:firstLine="600" w:firstLineChars="200"/>
        <w:rPr>
          <w:rFonts w:ascii="仿宋" w:hAnsi="仿宋" w:eastAsia="仿宋" w:cs="Times New Roman"/>
          <w:sz w:val="30"/>
          <w:szCs w:val="30"/>
        </w:rPr>
      </w:pPr>
      <w:r>
        <w:rPr>
          <w:rFonts w:hint="eastAsia" w:ascii="仿宋" w:hAnsi="仿宋" w:eastAsia="仿宋" w:cs="Times New Roman"/>
          <w:sz w:val="30"/>
          <w:szCs w:val="30"/>
        </w:rPr>
        <w:t xml:space="preserve"> 2、加强绩效评价政策学习，深入了解绩效评价各项指标含义，提高财务人员绩效评价水平。</w:t>
      </w:r>
    </w:p>
    <w:p>
      <w:pPr>
        <w:spacing w:line="500" w:lineRule="exact"/>
        <w:ind w:firstLine="600" w:firstLineChars="200"/>
        <w:rPr>
          <w:rFonts w:ascii="仿宋" w:hAnsi="仿宋" w:eastAsia="仿宋" w:cs="Times New Roman"/>
          <w:sz w:val="30"/>
          <w:szCs w:val="30"/>
        </w:rPr>
      </w:pPr>
    </w:p>
    <w:p>
      <w:pPr>
        <w:spacing w:line="500" w:lineRule="exact"/>
        <w:ind w:firstLine="600" w:firstLineChars="200"/>
        <w:rPr>
          <w:rFonts w:ascii="仿宋" w:hAnsi="仿宋" w:eastAsia="仿宋" w:cs="Times New Roman"/>
          <w:sz w:val="30"/>
          <w:szCs w:val="30"/>
        </w:rPr>
      </w:pPr>
    </w:p>
    <w:p>
      <w:pPr>
        <w:spacing w:line="500" w:lineRule="exact"/>
        <w:ind w:firstLine="600" w:firstLineChars="200"/>
        <w:rPr>
          <w:rFonts w:ascii="仿宋" w:hAnsi="仿宋" w:eastAsia="仿宋" w:cs="Times New Roman"/>
          <w:sz w:val="30"/>
          <w:szCs w:val="30"/>
        </w:rPr>
      </w:pPr>
    </w:p>
    <w:p>
      <w:pPr>
        <w:spacing w:line="500" w:lineRule="exact"/>
        <w:ind w:firstLine="600" w:firstLineChars="200"/>
        <w:rPr>
          <w:rFonts w:ascii="仿宋" w:hAnsi="仿宋" w:eastAsia="仿宋" w:cs="Times New Roman"/>
          <w:sz w:val="30"/>
          <w:szCs w:val="30"/>
        </w:rPr>
      </w:pPr>
    </w:p>
    <w:p>
      <w:pPr>
        <w:spacing w:line="500" w:lineRule="exact"/>
        <w:ind w:firstLine="600" w:firstLineChars="200"/>
        <w:rPr>
          <w:rFonts w:ascii="仿宋" w:hAnsi="仿宋" w:eastAsia="仿宋" w:cs="Times New Roman"/>
          <w:sz w:val="30"/>
          <w:szCs w:val="30"/>
        </w:rPr>
      </w:pPr>
    </w:p>
    <w:p>
      <w:pPr>
        <w:spacing w:line="500" w:lineRule="exact"/>
        <w:ind w:firstLine="600" w:firstLineChars="200"/>
        <w:rPr>
          <w:rFonts w:ascii="仿宋" w:hAnsi="仿宋" w:eastAsia="仿宋" w:cs="Times New Roman"/>
          <w:sz w:val="30"/>
          <w:szCs w:val="30"/>
        </w:rPr>
      </w:pPr>
    </w:p>
    <w:p>
      <w:pPr>
        <w:spacing w:line="500" w:lineRule="exact"/>
        <w:ind w:firstLine="600" w:firstLineChars="200"/>
        <w:rPr>
          <w:rFonts w:ascii="仿宋" w:hAnsi="仿宋" w:eastAsia="仿宋" w:cs="Times New Roman"/>
          <w:sz w:val="30"/>
          <w:szCs w:val="30"/>
        </w:rPr>
      </w:pPr>
    </w:p>
    <w:p>
      <w:pPr>
        <w:spacing w:line="500" w:lineRule="exact"/>
        <w:ind w:firstLine="600" w:firstLineChars="200"/>
        <w:rPr>
          <w:rFonts w:ascii="仿宋" w:hAnsi="仿宋" w:eastAsia="仿宋" w:cs="Times New Roman"/>
          <w:sz w:val="30"/>
          <w:szCs w:val="30"/>
        </w:rPr>
      </w:pPr>
    </w:p>
    <w:p>
      <w:pPr>
        <w:spacing w:line="500" w:lineRule="exact"/>
        <w:ind w:firstLine="600" w:firstLineChars="200"/>
        <w:rPr>
          <w:rFonts w:ascii="仿宋" w:hAnsi="仿宋" w:eastAsia="仿宋" w:cs="Times New Roman"/>
          <w:sz w:val="30"/>
          <w:szCs w:val="30"/>
        </w:rPr>
      </w:pPr>
    </w:p>
    <w:p>
      <w:pPr>
        <w:spacing w:line="220" w:lineRule="atLeast"/>
        <w:rPr>
          <w:sz w:val="30"/>
          <w:szCs w:val="30"/>
        </w:rPr>
      </w:pPr>
    </w:p>
    <w:sectPr>
      <w:pgSz w:w="11906" w:h="16838"/>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方正小标宋简体">
    <w:panose1 w:val="02010601030101010101"/>
    <w:charset w:val="86"/>
    <w:family w:val="auto"/>
    <w:pitch w:val="default"/>
    <w:sig w:usb0="00000283" w:usb1="180F0C10" w:usb2="00000012" w:usb3="00000000" w:csb0="00040001"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swiss"/>
    <w:pitch w:val="default"/>
    <w:sig w:usb0="80000287" w:usb1="280F3C52" w:usb2="00000016" w:usb3="00000000" w:csb0="0004001F" w:csb1="00000000"/>
  </w:font>
  <w:font w:name="Tahoma">
    <w:panose1 w:val="020B0604030504040204"/>
    <w:charset w:val="00"/>
    <w:family w:val="swiss"/>
    <w:pitch w:val="default"/>
    <w:sig w:usb0="E1002EFF" w:usb1="C000605B" w:usb2="00000029" w:usb3="00000000" w:csb0="200101FF" w:csb1="20280000"/>
  </w:font>
  <w:font w:name="Courier New">
    <w:panose1 w:val="02070309020205020404"/>
    <w:charset w:val="00"/>
    <w:family w:val="modern"/>
    <w:pitch w:val="default"/>
    <w:sig w:usb0="E0002AFF" w:usb1="C0007843" w:usb2="00000009" w:usb3="00000000" w:csb0="400001FF" w:csb1="FFFF0000"/>
  </w:font>
  <w:font w:name="方正书宋简体">
    <w:altName w:val="微软雅黑"/>
    <w:panose1 w:val="00000000000000000000"/>
    <w:charset w:val="86"/>
    <w:family w:val="auto"/>
    <w:pitch w:val="default"/>
    <w:sig w:usb0="00000000" w:usb1="00000000" w:usb2="0000001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720"/>
  <w:characterSpacingControl w:val="doNotCompress"/>
  <w:footnotePr>
    <w:footnote w:id="0"/>
    <w:footnote w:id="1"/>
  </w:footnotePr>
  <w:endnotePr>
    <w:endnote w:id="0"/>
    <w:endnote w:id="1"/>
  </w:endnotePr>
  <w:compat>
    <w:useFELayout/>
    <w:compatSetting w:name="compatibilityMode" w:uri="http://schemas.microsoft.com/office/word" w:val="12"/>
  </w:compat>
  <w:docVars>
    <w:docVar w:name="commondata" w:val="eyJoZGlkIjoiMWY3OGY0MjBjYzg2MWQ0OGNlN2RiN2I5ZWI3OTQzMjUifQ=="/>
  </w:docVars>
  <w:rsids>
    <w:rsidRoot w:val="00D31D50"/>
    <w:rsid w:val="000541AF"/>
    <w:rsid w:val="000B78DB"/>
    <w:rsid w:val="000D422B"/>
    <w:rsid w:val="002E3C29"/>
    <w:rsid w:val="00323B43"/>
    <w:rsid w:val="00340F3E"/>
    <w:rsid w:val="003D37D8"/>
    <w:rsid w:val="00426133"/>
    <w:rsid w:val="004358AB"/>
    <w:rsid w:val="004F754D"/>
    <w:rsid w:val="0050250B"/>
    <w:rsid w:val="005F666D"/>
    <w:rsid w:val="007B22F7"/>
    <w:rsid w:val="007D1DEE"/>
    <w:rsid w:val="00855696"/>
    <w:rsid w:val="008832AF"/>
    <w:rsid w:val="008B7726"/>
    <w:rsid w:val="00B03300"/>
    <w:rsid w:val="00C2286F"/>
    <w:rsid w:val="00D31D50"/>
    <w:rsid w:val="00E65983"/>
    <w:rsid w:val="1CD80C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微软雅黑"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adjustRightInd w:val="0"/>
      <w:snapToGrid w:val="0"/>
      <w:spacing w:after="200" w:line="240" w:lineRule="auto"/>
    </w:pPr>
    <w:rPr>
      <w:rFonts w:ascii="Tahoma" w:hAnsi="Tahoma" w:eastAsia="微软雅黑" w:cstheme="minorBidi"/>
      <w:sz w:val="22"/>
      <w:szCs w:val="22"/>
      <w:lang w:val="en-US" w:eastAsia="zh-CN" w:bidi="ar-SA"/>
    </w:rPr>
  </w:style>
  <w:style w:type="character" w:default="1" w:styleId="6">
    <w:name w:val="Default Paragraph Font"/>
    <w:autoRedefine/>
    <w:semiHidden/>
    <w:unhideWhenUsed/>
    <w:qFormat/>
    <w:uiPriority w:val="1"/>
  </w:style>
  <w:style w:type="table" w:default="1" w:styleId="5">
    <w:name w:val="Normal Table"/>
    <w:autoRedefine/>
    <w:semiHidden/>
    <w:unhideWhenUsed/>
    <w:qFormat/>
    <w:uiPriority w:val="99"/>
    <w:tblPr>
      <w:tblCellMar>
        <w:top w:w="0" w:type="dxa"/>
        <w:left w:w="108" w:type="dxa"/>
        <w:bottom w:w="0" w:type="dxa"/>
        <w:right w:w="108" w:type="dxa"/>
      </w:tblCellMar>
    </w:tblPr>
  </w:style>
  <w:style w:type="paragraph" w:styleId="2">
    <w:name w:val="Plain Text"/>
    <w:basedOn w:val="1"/>
    <w:link w:val="10"/>
    <w:autoRedefine/>
    <w:unhideWhenUsed/>
    <w:qFormat/>
    <w:uiPriority w:val="0"/>
    <w:pPr>
      <w:widowControl w:val="0"/>
      <w:adjustRightInd/>
      <w:snapToGrid/>
      <w:spacing w:after="0"/>
      <w:jc w:val="both"/>
    </w:pPr>
    <w:rPr>
      <w:rFonts w:ascii="宋体" w:hAnsi="Courier New" w:eastAsia="宋体" w:cs="Courier New"/>
      <w:szCs w:val="21"/>
    </w:rPr>
  </w:style>
  <w:style w:type="paragraph" w:styleId="3">
    <w:name w:val="footer"/>
    <w:basedOn w:val="1"/>
    <w:link w:val="8"/>
    <w:autoRedefine/>
    <w:semiHidden/>
    <w:unhideWhenUsed/>
    <w:qFormat/>
    <w:uiPriority w:val="99"/>
    <w:pPr>
      <w:tabs>
        <w:tab w:val="center" w:pos="4153"/>
        <w:tab w:val="right" w:pos="8306"/>
      </w:tabs>
    </w:pPr>
    <w:rPr>
      <w:sz w:val="18"/>
      <w:szCs w:val="18"/>
    </w:rPr>
  </w:style>
  <w:style w:type="paragraph" w:styleId="4">
    <w:name w:val="header"/>
    <w:basedOn w:val="1"/>
    <w:link w:val="7"/>
    <w:autoRedefine/>
    <w:semiHidden/>
    <w:unhideWhenUsed/>
    <w:qFormat/>
    <w:uiPriority w:val="99"/>
    <w:pPr>
      <w:pBdr>
        <w:bottom w:val="single" w:color="auto" w:sz="6" w:space="1"/>
      </w:pBdr>
      <w:tabs>
        <w:tab w:val="center" w:pos="4153"/>
        <w:tab w:val="right" w:pos="8306"/>
      </w:tabs>
      <w:jc w:val="center"/>
    </w:pPr>
    <w:rPr>
      <w:sz w:val="18"/>
      <w:szCs w:val="18"/>
    </w:rPr>
  </w:style>
  <w:style w:type="character" w:customStyle="1" w:styleId="7">
    <w:name w:val="页眉 Char"/>
    <w:basedOn w:val="6"/>
    <w:link w:val="4"/>
    <w:autoRedefine/>
    <w:semiHidden/>
    <w:qFormat/>
    <w:uiPriority w:val="99"/>
    <w:rPr>
      <w:rFonts w:ascii="Tahoma" w:hAnsi="Tahoma"/>
      <w:sz w:val="18"/>
      <w:szCs w:val="18"/>
    </w:rPr>
  </w:style>
  <w:style w:type="character" w:customStyle="1" w:styleId="8">
    <w:name w:val="页脚 Char"/>
    <w:basedOn w:val="6"/>
    <w:link w:val="3"/>
    <w:autoRedefine/>
    <w:semiHidden/>
    <w:qFormat/>
    <w:uiPriority w:val="99"/>
    <w:rPr>
      <w:rFonts w:ascii="Tahoma" w:hAnsi="Tahoma"/>
      <w:sz w:val="18"/>
      <w:szCs w:val="18"/>
    </w:rPr>
  </w:style>
  <w:style w:type="character" w:customStyle="1" w:styleId="9">
    <w:name w:val="纯文本 Char"/>
    <w:basedOn w:val="6"/>
    <w:link w:val="2"/>
    <w:autoRedefine/>
    <w:semiHidden/>
    <w:qFormat/>
    <w:uiPriority w:val="99"/>
    <w:rPr>
      <w:rFonts w:ascii="宋体" w:hAnsi="Courier New" w:eastAsia="宋体" w:cs="Courier New"/>
      <w:sz w:val="21"/>
      <w:szCs w:val="21"/>
    </w:rPr>
  </w:style>
  <w:style w:type="character" w:customStyle="1" w:styleId="10">
    <w:name w:val="纯文本 Char1"/>
    <w:basedOn w:val="6"/>
    <w:link w:val="2"/>
    <w:autoRedefine/>
    <w:qFormat/>
    <w:locked/>
    <w:uiPriority w:val="0"/>
    <w:rPr>
      <w:rFonts w:ascii="宋体" w:hAnsi="Courier New" w:eastAsia="宋体" w:cs="Courier New"/>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457</Words>
  <Characters>2609</Characters>
  <Lines>21</Lines>
  <Paragraphs>6</Paragraphs>
  <TotalTime>46</TotalTime>
  <ScaleCrop>false</ScaleCrop>
  <LinksUpToDate>false</LinksUpToDate>
  <CharactersWithSpaces>3060</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2008-09-11T17:20:00Z</dcterms:created>
  <dc:creator>Administrator</dc:creator>
  <cp:lastModifiedBy>。</cp:lastModifiedBy>
  <dcterms:modified xsi:type="dcterms:W3CDTF">2024-07-01T02:15:25Z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A73BBDB55D3C4ED4B6607A9B44A4A33E_12</vt:lpwstr>
  </property>
</Properties>
</file>